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6</w:t>
            </w:r>
            <w:bookmarkStart w:id="1" w:name="_GoBack"/>
            <w:bookmarkEnd w:id="1"/>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关于上海滢弘环保科技有限公司河南分公司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300台套隔油提升一体化设备项目固体废物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上海滢弘环保科技有限公司河南分公司：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上海滢弘环保科技有限公司河南分公司年产</w:t>
            </w:r>
            <w:r>
              <w:rPr>
                <w:rFonts w:hint="eastAsia" w:ascii="宋体" w:hAnsi="宋体" w:eastAsia="宋体" w:cs="宋体"/>
                <w:sz w:val="28"/>
                <w:szCs w:val="28"/>
                <w:lang w:val="en-US" w:eastAsia="zh-CN"/>
              </w:rPr>
              <w:t>300台套隔油提升一体化设备500项目</w:t>
            </w:r>
            <w:r>
              <w:rPr>
                <w:rFonts w:hint="eastAsia" w:ascii="宋体" w:hAnsi="宋体" w:eastAsia="宋体" w:cs="宋体"/>
                <w:sz w:val="28"/>
                <w:szCs w:val="28"/>
                <w:lang w:eastAsia="zh-CN"/>
              </w:rPr>
              <w:t>（固废）竣工环境保护验收申</w:t>
            </w:r>
            <w:r>
              <w:rPr>
                <w:rFonts w:hint="eastAsia" w:ascii="宋体" w:hAnsi="宋体" w:eastAsia="宋体" w:cs="宋体"/>
                <w:sz w:val="28"/>
                <w:szCs w:val="28"/>
              </w:rPr>
              <w:t>请》及</w:t>
            </w:r>
            <w:r>
              <w:rPr>
                <w:rFonts w:hint="eastAsia" w:ascii="宋体" w:hAnsi="宋体" w:eastAsia="宋体" w:cs="宋体"/>
                <w:sz w:val="28"/>
                <w:szCs w:val="28"/>
                <w:lang w:eastAsia="zh-CN"/>
              </w:rPr>
              <w:t>附送的《上海滢弘环保科技有限公司河南分公司年产</w:t>
            </w:r>
            <w:r>
              <w:rPr>
                <w:rFonts w:hint="eastAsia" w:ascii="宋体" w:hAnsi="宋体" w:eastAsia="宋体" w:cs="宋体"/>
                <w:sz w:val="28"/>
                <w:szCs w:val="28"/>
                <w:lang w:val="en-US" w:eastAsia="zh-CN"/>
              </w:rPr>
              <w:t>300台套隔油提升一体化设备500项目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上海滢弘环保科技有限公司河南分公司位于新乡市新乡县朗公庙镇曲水村村北，生产规模为年产</w:t>
            </w:r>
            <w:r>
              <w:rPr>
                <w:rFonts w:hint="eastAsia" w:ascii="宋体" w:hAnsi="宋体" w:eastAsia="宋体" w:cs="宋体"/>
                <w:sz w:val="28"/>
                <w:szCs w:val="28"/>
                <w:lang w:val="en-US" w:eastAsia="zh-CN"/>
              </w:rPr>
              <w:t>300台套隔油提升一体化设备，项</w:t>
            </w:r>
            <w:r>
              <w:rPr>
                <w:rFonts w:hint="eastAsia" w:ascii="宋体" w:hAnsi="宋体" w:eastAsia="宋体" w:cs="宋体"/>
                <w:color w:val="000000" w:themeColor="text1"/>
                <w:sz w:val="28"/>
                <w:szCs w:val="28"/>
                <w:lang w:val="en-US" w:eastAsia="zh-CN"/>
                <w14:textFill>
                  <w14:solidFill>
                    <w14:schemeClr w14:val="tx1"/>
                  </w14:solidFill>
                </w14:textFill>
              </w:rPr>
              <w:t>目投资550万元，其中环保投资20万元。该项目环评报告表于2017年10月由贵州成达环保科技服务有限公司编制完成，于2018年1月经新乡县环境保护局批复，批复文号：新环表</w:t>
            </w:r>
            <w:r>
              <w:rPr>
                <w:rFonts w:hint="eastAsia" w:ascii="宋体" w:hAnsi="宋体" w:eastAsia="宋体" w:cs="宋体"/>
                <w:sz w:val="28"/>
                <w:szCs w:val="28"/>
                <w:lang w:val="en-US" w:eastAsia="zh-CN"/>
              </w:rPr>
              <w:t>[2018]06号。项目于2018年8月投入试运行。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项目实际建设中1台车床不再建设。以上变动不属于重大变更。</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9m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危废暂存间，废边角料、废焊条、废焊丝收集后出售，食堂隔油产生的油渣收集后交由附近养殖户收购</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废液压油暂未产生，已和有资质的危废处置单位签订了处置协议，生活垃圾收集后交由环卫部门处理。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上海滢弘环保科技有限公司河南分公司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《上海滢弘环保科技有限公司河南分公司年产</w:t>
            </w:r>
            <w:r>
              <w:rPr>
                <w:rFonts w:hint="eastAsia" w:ascii="宋体" w:hAnsi="宋体" w:eastAsia="宋体" w:cs="宋体"/>
                <w:sz w:val="28"/>
                <w:szCs w:val="28"/>
                <w:lang w:val="en-US" w:eastAsia="zh-CN"/>
              </w:rPr>
              <w:t>300台套隔油提升一体化设备500项目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及河南省格瑞德环境检测有限公司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GRD-WT-514-2018）表明：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9m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危废暂存间，废边角料、废焊条、废焊丝收集后出售，食堂隔油产生的油渣收集后交由附近养殖户收购，废液压油暂未产生，已和有资质的危废处置单位签订了处置协议，生活垃圾收集后交由环卫部门处理。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该项目在实施过程中基本按照环境影响评价文件及其批复要求配套建设了相应的固体废物污染防治设施，废液压油产生后，要委托</w:t>
            </w:r>
            <w:r>
              <w:rPr>
                <w:rFonts w:hint="eastAsia" w:ascii="宋体" w:hAnsi="宋体" w:eastAsia="宋体" w:cs="宋体"/>
                <w:sz w:val="28"/>
                <w:szCs w:val="28"/>
                <w:lang w:eastAsia="zh-CN"/>
              </w:rPr>
              <w:t>有危废处理资质的处置单位处置。经研究，</w:t>
            </w:r>
            <w:r>
              <w:rPr>
                <w:rFonts w:hint="eastAsia" w:ascii="宋体" w:hAnsi="宋体" w:eastAsia="宋体" w:cs="宋体"/>
                <w:sz w:val="28"/>
                <w:szCs w:val="28"/>
                <w:vertAlign w:val="baseline"/>
                <w:lang w:eastAsia="zh-CN"/>
              </w:rPr>
              <w:t>我局同意该项目固体废物环境保护设施验收合格。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2019年2月27日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2B6C56"/>
    <w:rsid w:val="0350751B"/>
    <w:rsid w:val="035B4ACA"/>
    <w:rsid w:val="0485304B"/>
    <w:rsid w:val="049C4D82"/>
    <w:rsid w:val="060020CB"/>
    <w:rsid w:val="06897E15"/>
    <w:rsid w:val="06C740FD"/>
    <w:rsid w:val="06C746CC"/>
    <w:rsid w:val="06F439EC"/>
    <w:rsid w:val="07091306"/>
    <w:rsid w:val="0747353F"/>
    <w:rsid w:val="09651E91"/>
    <w:rsid w:val="09DD61B1"/>
    <w:rsid w:val="0B97455C"/>
    <w:rsid w:val="0BE9048F"/>
    <w:rsid w:val="0C4C484F"/>
    <w:rsid w:val="0D2A0F7F"/>
    <w:rsid w:val="0DB71BB9"/>
    <w:rsid w:val="0E212029"/>
    <w:rsid w:val="0EE5577C"/>
    <w:rsid w:val="100A42D4"/>
    <w:rsid w:val="10905975"/>
    <w:rsid w:val="11725D25"/>
    <w:rsid w:val="126D04A1"/>
    <w:rsid w:val="141E5CAE"/>
    <w:rsid w:val="14980AA1"/>
    <w:rsid w:val="149C03F2"/>
    <w:rsid w:val="164B0309"/>
    <w:rsid w:val="16711D71"/>
    <w:rsid w:val="16B05670"/>
    <w:rsid w:val="17107217"/>
    <w:rsid w:val="184952E2"/>
    <w:rsid w:val="186954A5"/>
    <w:rsid w:val="19054614"/>
    <w:rsid w:val="1A352DF2"/>
    <w:rsid w:val="1A4C2C9C"/>
    <w:rsid w:val="1A811411"/>
    <w:rsid w:val="1B050C9A"/>
    <w:rsid w:val="1B1A5193"/>
    <w:rsid w:val="1B2506BF"/>
    <w:rsid w:val="1E1A30CF"/>
    <w:rsid w:val="1E363E5E"/>
    <w:rsid w:val="1E52788D"/>
    <w:rsid w:val="1E997700"/>
    <w:rsid w:val="1F3F290D"/>
    <w:rsid w:val="1F5E6342"/>
    <w:rsid w:val="1FC85F08"/>
    <w:rsid w:val="1FFB0FA6"/>
    <w:rsid w:val="212146F1"/>
    <w:rsid w:val="21525AE3"/>
    <w:rsid w:val="22CB5A0C"/>
    <w:rsid w:val="24CB6F25"/>
    <w:rsid w:val="2516422B"/>
    <w:rsid w:val="252F0066"/>
    <w:rsid w:val="260F4087"/>
    <w:rsid w:val="26505109"/>
    <w:rsid w:val="26BC00F3"/>
    <w:rsid w:val="2739164A"/>
    <w:rsid w:val="27771117"/>
    <w:rsid w:val="283F6B2A"/>
    <w:rsid w:val="28BC2FD2"/>
    <w:rsid w:val="290B64F5"/>
    <w:rsid w:val="29BD7AAE"/>
    <w:rsid w:val="29DB5E2B"/>
    <w:rsid w:val="2AA25B2C"/>
    <w:rsid w:val="2AAD3BB5"/>
    <w:rsid w:val="2B80738B"/>
    <w:rsid w:val="2BB53690"/>
    <w:rsid w:val="2D041E2B"/>
    <w:rsid w:val="2D073FEF"/>
    <w:rsid w:val="2F753DDA"/>
    <w:rsid w:val="3076465F"/>
    <w:rsid w:val="30842A66"/>
    <w:rsid w:val="30B17A9E"/>
    <w:rsid w:val="316E7915"/>
    <w:rsid w:val="318C2EEB"/>
    <w:rsid w:val="31D26814"/>
    <w:rsid w:val="322045A7"/>
    <w:rsid w:val="32372178"/>
    <w:rsid w:val="32456F78"/>
    <w:rsid w:val="333E530C"/>
    <w:rsid w:val="346213B1"/>
    <w:rsid w:val="3501139C"/>
    <w:rsid w:val="350F147C"/>
    <w:rsid w:val="356F7CFD"/>
    <w:rsid w:val="35A20882"/>
    <w:rsid w:val="35D47DB5"/>
    <w:rsid w:val="36A24186"/>
    <w:rsid w:val="36A52AF6"/>
    <w:rsid w:val="37397E72"/>
    <w:rsid w:val="37A448A5"/>
    <w:rsid w:val="39956310"/>
    <w:rsid w:val="39A23655"/>
    <w:rsid w:val="3A616ADB"/>
    <w:rsid w:val="3DE52EE8"/>
    <w:rsid w:val="3F3A5BF8"/>
    <w:rsid w:val="3F46592B"/>
    <w:rsid w:val="3FA54BF6"/>
    <w:rsid w:val="407E0EC3"/>
    <w:rsid w:val="42744F22"/>
    <w:rsid w:val="43760FDC"/>
    <w:rsid w:val="43E82B9A"/>
    <w:rsid w:val="44046008"/>
    <w:rsid w:val="444A50A8"/>
    <w:rsid w:val="44951DF1"/>
    <w:rsid w:val="44AF63EE"/>
    <w:rsid w:val="46256657"/>
    <w:rsid w:val="480F3E60"/>
    <w:rsid w:val="4842232D"/>
    <w:rsid w:val="4857341B"/>
    <w:rsid w:val="48F06DF1"/>
    <w:rsid w:val="491475A6"/>
    <w:rsid w:val="49B722E0"/>
    <w:rsid w:val="4B770C32"/>
    <w:rsid w:val="4B8B7B39"/>
    <w:rsid w:val="4C754CA5"/>
    <w:rsid w:val="4CF92E19"/>
    <w:rsid w:val="4D1646F8"/>
    <w:rsid w:val="4E330A9B"/>
    <w:rsid w:val="4EF1082B"/>
    <w:rsid w:val="4FBC0391"/>
    <w:rsid w:val="4FED0A3C"/>
    <w:rsid w:val="4FF90AAD"/>
    <w:rsid w:val="51045079"/>
    <w:rsid w:val="5180359E"/>
    <w:rsid w:val="51F87EB6"/>
    <w:rsid w:val="51F900D7"/>
    <w:rsid w:val="52503BD7"/>
    <w:rsid w:val="52E37785"/>
    <w:rsid w:val="540D7E26"/>
    <w:rsid w:val="5443540D"/>
    <w:rsid w:val="54C12286"/>
    <w:rsid w:val="56150D58"/>
    <w:rsid w:val="581255DD"/>
    <w:rsid w:val="58196E2F"/>
    <w:rsid w:val="582779DA"/>
    <w:rsid w:val="5858356B"/>
    <w:rsid w:val="58584983"/>
    <w:rsid w:val="58A1256C"/>
    <w:rsid w:val="58D156F4"/>
    <w:rsid w:val="59950F47"/>
    <w:rsid w:val="59C71AB9"/>
    <w:rsid w:val="5A9F6DFF"/>
    <w:rsid w:val="5AAA49D1"/>
    <w:rsid w:val="5B48399E"/>
    <w:rsid w:val="5BC967EA"/>
    <w:rsid w:val="5C152D4D"/>
    <w:rsid w:val="5C75652A"/>
    <w:rsid w:val="5C9E3C6F"/>
    <w:rsid w:val="5CDC4A3F"/>
    <w:rsid w:val="5E1A0D7D"/>
    <w:rsid w:val="5E36065A"/>
    <w:rsid w:val="5E6F0B24"/>
    <w:rsid w:val="5F3D7F55"/>
    <w:rsid w:val="600F7701"/>
    <w:rsid w:val="60124C14"/>
    <w:rsid w:val="60EC2655"/>
    <w:rsid w:val="642B2139"/>
    <w:rsid w:val="64AD2CF6"/>
    <w:rsid w:val="658C6C8B"/>
    <w:rsid w:val="667E0BF5"/>
    <w:rsid w:val="674811BC"/>
    <w:rsid w:val="679536FB"/>
    <w:rsid w:val="67CA593E"/>
    <w:rsid w:val="680405E8"/>
    <w:rsid w:val="680D7865"/>
    <w:rsid w:val="68197C43"/>
    <w:rsid w:val="68316DBC"/>
    <w:rsid w:val="699C0906"/>
    <w:rsid w:val="6A030CFC"/>
    <w:rsid w:val="6ADE7370"/>
    <w:rsid w:val="6BC85889"/>
    <w:rsid w:val="6BF64A94"/>
    <w:rsid w:val="6CAD35DC"/>
    <w:rsid w:val="6DBF1AE2"/>
    <w:rsid w:val="6EF15C5A"/>
    <w:rsid w:val="6F4E1ED3"/>
    <w:rsid w:val="6FC64AC4"/>
    <w:rsid w:val="709B5911"/>
    <w:rsid w:val="71217B1C"/>
    <w:rsid w:val="715427B0"/>
    <w:rsid w:val="71CF17B6"/>
    <w:rsid w:val="72185E1F"/>
    <w:rsid w:val="725267CD"/>
    <w:rsid w:val="72C66AF3"/>
    <w:rsid w:val="734D0BC6"/>
    <w:rsid w:val="74443FB4"/>
    <w:rsid w:val="74B841C2"/>
    <w:rsid w:val="75351251"/>
    <w:rsid w:val="75881BD6"/>
    <w:rsid w:val="75AE4990"/>
    <w:rsid w:val="75CA7DDB"/>
    <w:rsid w:val="77250C2F"/>
    <w:rsid w:val="77396C62"/>
    <w:rsid w:val="77A10D34"/>
    <w:rsid w:val="78873114"/>
    <w:rsid w:val="78E4372C"/>
    <w:rsid w:val="79EB2A2B"/>
    <w:rsid w:val="79F62EA3"/>
    <w:rsid w:val="7AA63CAE"/>
    <w:rsid w:val="7AAD209B"/>
    <w:rsid w:val="7ACD67F4"/>
    <w:rsid w:val="7BFE38A0"/>
    <w:rsid w:val="7C840037"/>
    <w:rsid w:val="7D3A7DBF"/>
    <w:rsid w:val="7D7504E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2019-03-05T06:17:45Z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