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14</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新乡市惟德化工有限公司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91410721769497001D</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地址：新乡县大召营镇文营村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法定代表人：杨先成</w:t>
      </w:r>
      <w:r>
        <w:rPr>
          <w:rFonts w:hint="eastAsia" w:ascii="Times New Roman" w:hAnsi="Times New Roman" w:eastAsia="仿宋_GB2312"/>
          <w:color w:val="000000"/>
          <w:sz w:val="28"/>
          <w:szCs w:val="28"/>
          <w:u w:val="none"/>
          <w:lang w:val="en-US" w:eastAsia="zh-CN"/>
        </w:rPr>
        <w:t xml:space="preserve">   410721196504210030</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2019年4月22日，我局监察大队对你单位进行检查并在废水总排口取样监测，监测报告显示排污口化学需氧量浓度为36 mg/L（排放标准为50mg/L）；氨氮浓度为0.588mg/L（排放标准为5mg/L）；总磷浓度为1.10mg/L（排放标准为0.5mg/L），超标1.2倍。该行为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bookmarkStart w:id="1" w:name="_GoBack"/>
      <w:bookmarkEnd w:id="1"/>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2019年4月28日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E52D3"/>
    <w:rsid w:val="03945919"/>
    <w:rsid w:val="0A080644"/>
    <w:rsid w:val="0AB87AE0"/>
    <w:rsid w:val="0B7111DA"/>
    <w:rsid w:val="0CBC058F"/>
    <w:rsid w:val="0D010CB0"/>
    <w:rsid w:val="0FA44A58"/>
    <w:rsid w:val="0FA8404B"/>
    <w:rsid w:val="17070ACC"/>
    <w:rsid w:val="18F316F8"/>
    <w:rsid w:val="19C31D1B"/>
    <w:rsid w:val="1F5616D6"/>
    <w:rsid w:val="20254E6E"/>
    <w:rsid w:val="2262295A"/>
    <w:rsid w:val="22CA370D"/>
    <w:rsid w:val="23912C3F"/>
    <w:rsid w:val="2BD53F94"/>
    <w:rsid w:val="2C5F7266"/>
    <w:rsid w:val="30F21EDB"/>
    <w:rsid w:val="35C879CF"/>
    <w:rsid w:val="37406354"/>
    <w:rsid w:val="379E5E1A"/>
    <w:rsid w:val="38B2538B"/>
    <w:rsid w:val="399B0732"/>
    <w:rsid w:val="39AE5C68"/>
    <w:rsid w:val="3A2E79E8"/>
    <w:rsid w:val="3C9D31B5"/>
    <w:rsid w:val="3D8F6E17"/>
    <w:rsid w:val="3DE23555"/>
    <w:rsid w:val="43EE1D3A"/>
    <w:rsid w:val="45510D1B"/>
    <w:rsid w:val="47954C9F"/>
    <w:rsid w:val="49364E07"/>
    <w:rsid w:val="4F6467F2"/>
    <w:rsid w:val="4F6A5E45"/>
    <w:rsid w:val="59DB60C7"/>
    <w:rsid w:val="5B9260A6"/>
    <w:rsid w:val="61F44D9E"/>
    <w:rsid w:val="623D2D05"/>
    <w:rsid w:val="657127BF"/>
    <w:rsid w:val="65ED1020"/>
    <w:rsid w:val="661E5A1D"/>
    <w:rsid w:val="67F37212"/>
    <w:rsid w:val="69695E56"/>
    <w:rsid w:val="6C046568"/>
    <w:rsid w:val="6CBF0BA9"/>
    <w:rsid w:val="6DC12A84"/>
    <w:rsid w:val="6E4E4F00"/>
    <w:rsid w:val="71C05F59"/>
    <w:rsid w:val="73842105"/>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2019-04-30T01:30:18Z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