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15</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新乡县利源食业有限公司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914107216780886593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地址：新乡县合河乡合河村南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法定代表人：朱修宾</w:t>
      </w:r>
      <w:r>
        <w:rPr>
          <w:rFonts w:hint="eastAsia" w:ascii="Times New Roman" w:hAnsi="Times New Roman" w:eastAsia="仿宋_GB2312"/>
          <w:color w:val="000000"/>
          <w:sz w:val="28"/>
          <w:szCs w:val="28"/>
          <w:u w:val="none"/>
          <w:lang w:val="en-US" w:eastAsia="zh-CN"/>
        </w:rPr>
        <w:t xml:space="preserve">   410721197311131015</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2019年5月8日，我局监察大队对你单位进行检查并在废水总排口取样监测，监测报告显示废水总排污口化学需氧量浓度为152 mg/L（排放标准为50mg/L），超标2倍；氨氮浓度为123mg/L（排放标准为5mg/L），超标23.6倍；总磷浓度为20.9mg/L（排放标准为0.5mg/L），超标40.8倍。该行为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2019年5月14日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3C61EA7"/>
    <w:rsid w:val="0A080644"/>
    <w:rsid w:val="0AB87AE0"/>
    <w:rsid w:val="0B7111DA"/>
    <w:rsid w:val="0CBC058F"/>
    <w:rsid w:val="0D010CB0"/>
    <w:rsid w:val="0FA44A58"/>
    <w:rsid w:val="0FA8404B"/>
    <w:rsid w:val="12957A55"/>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2019-05-14T01:54:47Z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