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201</w:t>
            </w:r>
            <w:r>
              <w:rPr>
                <w:rFonts w:hint="eastAsia" w:ascii="宋体" w:hAnsi="宋体" w:eastAsia="宋体" w:cs="宋体"/>
                <w:position w:val="6"/>
                <w:sz w:val="32"/>
                <w:szCs w:val="32"/>
                <w:vertAlign w:val="baseline"/>
                <w:lang w:val="en-US" w:eastAsia="zh-CN"/>
              </w:rPr>
              <w:t>9]077</w:t>
            </w:r>
            <w:bookmarkStart w:id="0" w:name="_GoBack"/>
            <w:bookmarkEnd w:id="0"/>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8" w:leftChars="152" w:right="0" w:rightChars="0" w:hanging="2249" w:hangingChars="7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新乡县新力塑业有限公司年产</w:t>
            </w:r>
            <w:r>
              <w:rPr>
                <w:rFonts w:hint="eastAsia" w:asciiTheme="majorEastAsia" w:hAnsiTheme="majorEastAsia" w:eastAsiaTheme="majorEastAsia" w:cstheme="majorEastAsia"/>
                <w:b/>
                <w:bCs/>
                <w:sz w:val="32"/>
                <w:szCs w:val="32"/>
                <w:vertAlign w:val="baseline"/>
                <w:lang w:val="en-US" w:eastAsia="zh-CN"/>
              </w:rPr>
              <w:t>2万套卫生洁具、塑料制品</w:t>
            </w:r>
            <w:r>
              <w:rPr>
                <w:rFonts w:hint="eastAsia" w:asciiTheme="majorEastAsia" w:hAnsiTheme="majorEastAsia" w:eastAsiaTheme="majorEastAsia" w:cstheme="majorEastAsia"/>
                <w:b/>
                <w:bCs/>
                <w:sz w:val="32"/>
                <w:szCs w:val="32"/>
                <w:vertAlign w:val="baseline"/>
              </w:rPr>
              <w:t>项目环境影响报告表》的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outlineLvl w:val="9"/>
              <w:rPr>
                <w:rFonts w:hint="eastAsia" w:ascii="宋体" w:hAnsi="宋体" w:eastAsia="宋体" w:cs="宋体"/>
                <w:sz w:val="30"/>
                <w:szCs w:val="30"/>
                <w:vertAlign w:val="baseline"/>
                <w:lang w:eastAsia="zh-CN"/>
              </w:rPr>
            </w:pPr>
            <w:r>
              <w:rPr>
                <w:rFonts w:hint="eastAsia" w:ascii="宋体" w:hAnsi="宋体" w:eastAsia="宋体" w:cs="宋体"/>
                <w:sz w:val="28"/>
                <w:szCs w:val="28"/>
                <w:vertAlign w:val="baseline"/>
                <w:lang w:eastAsia="zh-CN"/>
              </w:rPr>
              <w:t>新乡县新力塑业有限公司</w:t>
            </w:r>
            <w:r>
              <w:rPr>
                <w:rFonts w:hint="eastAsia" w:ascii="宋体" w:hAnsi="宋体" w:eastAsia="宋体" w:cs="宋体"/>
                <w:sz w:val="30"/>
                <w:szCs w:val="30"/>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你公司上报的由重庆大润环境科学研究院有限公司环评工程师陈蔚和</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资格证书编号</w:t>
            </w:r>
            <w:r>
              <w:rPr>
                <w:rFonts w:hint="eastAsia" w:ascii="宋体" w:hAnsi="宋体" w:eastAsia="宋体" w:cs="宋体"/>
                <w:sz w:val="28"/>
                <w:szCs w:val="28"/>
                <w:vertAlign w:val="baseline"/>
                <w:lang w:val="en-US" w:eastAsia="zh-CN"/>
              </w:rPr>
              <w:t>:00015419)</w:t>
            </w:r>
            <w:r>
              <w:rPr>
                <w:rFonts w:hint="eastAsia" w:ascii="宋体" w:hAnsi="宋体" w:eastAsia="宋体" w:cs="宋体"/>
                <w:sz w:val="28"/>
                <w:szCs w:val="28"/>
                <w:vertAlign w:val="baseline"/>
                <w:lang w:eastAsia="zh-CN"/>
              </w:rPr>
              <w:t>编制的《新乡县新力塑业有限公司年产</w:t>
            </w:r>
            <w:r>
              <w:rPr>
                <w:rFonts w:hint="eastAsia" w:ascii="宋体" w:hAnsi="宋体" w:eastAsia="宋体" w:cs="宋体"/>
                <w:sz w:val="28"/>
                <w:szCs w:val="28"/>
                <w:vertAlign w:val="baseline"/>
                <w:lang w:val="en-US" w:eastAsia="zh-CN"/>
              </w:rPr>
              <w:t>2万套卫生洁具、塑料制品</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环境影响</w:t>
            </w:r>
            <w:r>
              <w:rPr>
                <w:rFonts w:hint="eastAsia" w:ascii="宋体" w:hAnsi="宋体" w:eastAsia="宋体" w:cs="宋体"/>
                <w:sz w:val="28"/>
                <w:szCs w:val="28"/>
                <w:vertAlign w:val="baseline"/>
                <w:lang w:eastAsia="zh-CN"/>
              </w:rPr>
              <w:t>报告表》（以下简称《报告表》）收悉。该项目环评审批事项已在新乡县政府网站公示期满，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中所列项目的地点、性质、规模、生产工艺和环境保护对策措施建设。项目总投资</w:t>
            </w:r>
            <w:r>
              <w:rPr>
                <w:rFonts w:hint="eastAsia" w:ascii="宋体" w:hAnsi="宋体" w:eastAsia="宋体" w:cs="宋体"/>
                <w:sz w:val="28"/>
                <w:szCs w:val="28"/>
                <w:vertAlign w:val="baseline"/>
                <w:lang w:val="en-US" w:eastAsia="zh-CN"/>
              </w:rPr>
              <w:t>200万元，在新乡县翟坡镇工业路中段利用现有厂房建设年产2万套卫生洁具、塑料制品项目。</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kern w:val="21"/>
                <w:sz w:val="28"/>
                <w:szCs w:val="28"/>
                <w:vertAlign w:val="baseline"/>
                <w:lang w:val="en-US" w:eastAsia="zh-CN"/>
              </w:rPr>
              <w:t>1、废气：注塑、印字工序产生的废气经集气罩收集后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通过UV光催化氧化装置+活性炭吸附装置处理</w:t>
            </w:r>
            <w:r>
              <w:rPr>
                <w:rFonts w:hint="eastAsia" w:ascii="宋体" w:hAnsi="宋体" w:eastAsia="宋体" w:cs="宋体"/>
                <w:kern w:val="21"/>
                <w:sz w:val="28"/>
                <w:szCs w:val="28"/>
                <w:vertAlign w:val="baseline"/>
                <w:lang w:val="en-US" w:eastAsia="zh-CN"/>
              </w:rPr>
              <w:t>，尾气经不低于15米高排气筒排放,非甲烷总烃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废气排放应满足《合成树脂工业污染物排放标准》（GB31572-2015）表5排放浓度60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、同时</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满足《大气污染物综合排放标准》（GB16297-1996）表2排放速率10kg/h（15米高排气筒）排放限值要求。破碎工序产生的粉尘经集气罩收集后通过脉冲袋式除尘器处理，尾气通过不低于15米高排气筒排放，粉尘排放满足《合成树脂工业污染物排放标准》（GB31572-2015）表5颗粒物排放浓度20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同时满足《大气污染物综合排放标准》（GB16297-1996）表2排放速率3.5kg/h（15米高排气筒）的排放限值要求。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物料密闭库存放，地面保持清洁干净，严格控制无组织排放。非甲烷总烃无组织排放应满足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[2017]162号非甲烷总烃厂界2.0mg/m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的排放限值要求，颗粒物无组织排放应满足</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《大气污染物综合排放标准》（GB16297-1996）表2中厂界无组织排放监控浓度1.0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2、废水：冷却水循环使用不外排，生活污水经防渗漏化粪池处理后定期清运不外排。</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五、</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建成</w:t>
            </w:r>
            <w:r>
              <w:rPr>
                <w:rFonts w:hint="eastAsia" w:ascii="宋体" w:hAnsi="宋体" w:eastAsia="宋体" w:cs="宋体"/>
                <w:sz w:val="28"/>
                <w:szCs w:val="28"/>
                <w:vertAlign w:val="baseline"/>
              </w:rPr>
              <w:t>后，</w:t>
            </w:r>
            <w:r>
              <w:rPr>
                <w:rFonts w:hint="eastAsia" w:ascii="宋体" w:hAnsi="宋体" w:eastAsia="宋体" w:cs="宋体"/>
                <w:sz w:val="28"/>
                <w:szCs w:val="28"/>
                <w:vertAlign w:val="baseline"/>
                <w:lang w:eastAsia="zh-CN"/>
              </w:rPr>
              <w:t>按照生态环境部《固定污染源排污许可分类管理名录》规定的时限，及时办理排污许可证，并</w:t>
            </w:r>
            <w:r>
              <w:rPr>
                <w:rFonts w:hint="eastAsia" w:ascii="宋体" w:hAnsi="宋体" w:eastAsia="宋体" w:cs="宋体"/>
                <w:sz w:val="28"/>
                <w:szCs w:val="28"/>
                <w:vertAlign w:val="baseline"/>
              </w:rPr>
              <w:t>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环境保护</w:t>
            </w:r>
            <w:r>
              <w:rPr>
                <w:rFonts w:hint="eastAsia" w:ascii="宋体" w:hAnsi="宋体" w:eastAsia="宋体" w:cs="宋体"/>
                <w:sz w:val="28"/>
                <w:szCs w:val="28"/>
                <w:vertAlign w:val="baseline"/>
                <w:lang w:eastAsia="zh-CN"/>
              </w:rPr>
              <w:t>竣工</w:t>
            </w:r>
            <w:r>
              <w:rPr>
                <w:rFonts w:hint="eastAsia" w:ascii="宋体" w:hAnsi="宋体" w:eastAsia="宋体" w:cs="宋体"/>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六、按大气污染防治要求，安装废气在线监测、监控设施和用电量监控系统，并与环保部门监控平台联网。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七</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如该项目逾期方开工建设，其环境影响报告表应报我局重新审核。项目的性质、规模、地点、采用的生产工艺或者污染防治措施发生重大变化的，应当重新报批项目的环境影响评价文件。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八、如</w:t>
            </w:r>
            <w:r>
              <w:rPr>
                <w:rFonts w:hint="eastAsia" w:ascii="宋体" w:hAnsi="宋体" w:eastAsia="宋体" w:cs="宋体"/>
                <w:spacing w:val="-6"/>
                <w:sz w:val="28"/>
                <w:szCs w:val="28"/>
                <w:vertAlign w:val="baseline"/>
                <w:lang w:eastAsia="zh-CN"/>
              </w:rPr>
              <w:t>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6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2019年10月31日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366822"/>
    <w:rsid w:val="00D75969"/>
    <w:rsid w:val="01166CC2"/>
    <w:rsid w:val="018A3977"/>
    <w:rsid w:val="019155B0"/>
    <w:rsid w:val="028228A3"/>
    <w:rsid w:val="02D66B05"/>
    <w:rsid w:val="02DC20C2"/>
    <w:rsid w:val="0310085A"/>
    <w:rsid w:val="035B4ACA"/>
    <w:rsid w:val="03CF7849"/>
    <w:rsid w:val="0485304B"/>
    <w:rsid w:val="067544E5"/>
    <w:rsid w:val="06897E15"/>
    <w:rsid w:val="06C67556"/>
    <w:rsid w:val="06C746CC"/>
    <w:rsid w:val="071978CA"/>
    <w:rsid w:val="0747353F"/>
    <w:rsid w:val="0749319D"/>
    <w:rsid w:val="08EC09A8"/>
    <w:rsid w:val="091D6C37"/>
    <w:rsid w:val="095B56A3"/>
    <w:rsid w:val="098C4F15"/>
    <w:rsid w:val="09DD61B1"/>
    <w:rsid w:val="0A7118F2"/>
    <w:rsid w:val="0B1D0576"/>
    <w:rsid w:val="0B97455C"/>
    <w:rsid w:val="0EDE3F8E"/>
    <w:rsid w:val="116577B2"/>
    <w:rsid w:val="11725D25"/>
    <w:rsid w:val="1189194D"/>
    <w:rsid w:val="11953944"/>
    <w:rsid w:val="12996ECD"/>
    <w:rsid w:val="12F9188D"/>
    <w:rsid w:val="141D2373"/>
    <w:rsid w:val="141E5CAE"/>
    <w:rsid w:val="144460EF"/>
    <w:rsid w:val="146144C8"/>
    <w:rsid w:val="14902342"/>
    <w:rsid w:val="15C922E4"/>
    <w:rsid w:val="1644041E"/>
    <w:rsid w:val="16711D71"/>
    <w:rsid w:val="16B05670"/>
    <w:rsid w:val="16C11989"/>
    <w:rsid w:val="16DC0C18"/>
    <w:rsid w:val="178C0B83"/>
    <w:rsid w:val="184952E2"/>
    <w:rsid w:val="1A826A1E"/>
    <w:rsid w:val="1BA05B5E"/>
    <w:rsid w:val="1C363243"/>
    <w:rsid w:val="1CBC313A"/>
    <w:rsid w:val="1E1A30CF"/>
    <w:rsid w:val="1FA34BC0"/>
    <w:rsid w:val="1FC85F08"/>
    <w:rsid w:val="1FEA569B"/>
    <w:rsid w:val="1FFB0FA6"/>
    <w:rsid w:val="21081E14"/>
    <w:rsid w:val="212146F1"/>
    <w:rsid w:val="21427F4E"/>
    <w:rsid w:val="21525AE3"/>
    <w:rsid w:val="219F3BD5"/>
    <w:rsid w:val="23573F2C"/>
    <w:rsid w:val="240F08BB"/>
    <w:rsid w:val="25006461"/>
    <w:rsid w:val="25A03248"/>
    <w:rsid w:val="260A4230"/>
    <w:rsid w:val="2631315F"/>
    <w:rsid w:val="269E27ED"/>
    <w:rsid w:val="26BC00F3"/>
    <w:rsid w:val="2739164A"/>
    <w:rsid w:val="27771117"/>
    <w:rsid w:val="27F47B62"/>
    <w:rsid w:val="28D561F5"/>
    <w:rsid w:val="2904030E"/>
    <w:rsid w:val="297C242C"/>
    <w:rsid w:val="29AC17F7"/>
    <w:rsid w:val="29CC02FB"/>
    <w:rsid w:val="2A9E7499"/>
    <w:rsid w:val="2B2D3722"/>
    <w:rsid w:val="2B913320"/>
    <w:rsid w:val="2C307D4A"/>
    <w:rsid w:val="2C7F018E"/>
    <w:rsid w:val="2DBD3E67"/>
    <w:rsid w:val="2E7A4C98"/>
    <w:rsid w:val="2F793FEF"/>
    <w:rsid w:val="2FE971FC"/>
    <w:rsid w:val="30842A66"/>
    <w:rsid w:val="317F54C2"/>
    <w:rsid w:val="31EC016F"/>
    <w:rsid w:val="32280D3B"/>
    <w:rsid w:val="32DB0A92"/>
    <w:rsid w:val="333E530C"/>
    <w:rsid w:val="336D0DD2"/>
    <w:rsid w:val="338F5945"/>
    <w:rsid w:val="346213B1"/>
    <w:rsid w:val="3501139C"/>
    <w:rsid w:val="350F147C"/>
    <w:rsid w:val="353E42A5"/>
    <w:rsid w:val="35D83E6B"/>
    <w:rsid w:val="36451647"/>
    <w:rsid w:val="36787C4F"/>
    <w:rsid w:val="37397E72"/>
    <w:rsid w:val="37A448A5"/>
    <w:rsid w:val="37D131DD"/>
    <w:rsid w:val="383D222A"/>
    <w:rsid w:val="390F1F94"/>
    <w:rsid w:val="39A23655"/>
    <w:rsid w:val="3A616ADB"/>
    <w:rsid w:val="3B221DEF"/>
    <w:rsid w:val="3B7B0E75"/>
    <w:rsid w:val="3DBD7D4B"/>
    <w:rsid w:val="3DE52EE8"/>
    <w:rsid w:val="3E6B3C4E"/>
    <w:rsid w:val="3F3A5BF8"/>
    <w:rsid w:val="3F703939"/>
    <w:rsid w:val="3F9E6513"/>
    <w:rsid w:val="3FA54BF6"/>
    <w:rsid w:val="400B0D82"/>
    <w:rsid w:val="407E0EC3"/>
    <w:rsid w:val="420A37AC"/>
    <w:rsid w:val="42744F22"/>
    <w:rsid w:val="42F22293"/>
    <w:rsid w:val="431C250B"/>
    <w:rsid w:val="436974C4"/>
    <w:rsid w:val="43F27C7E"/>
    <w:rsid w:val="444A50A8"/>
    <w:rsid w:val="448A15FC"/>
    <w:rsid w:val="448E5741"/>
    <w:rsid w:val="44AF63EE"/>
    <w:rsid w:val="46DB3F33"/>
    <w:rsid w:val="4734745A"/>
    <w:rsid w:val="47653A9F"/>
    <w:rsid w:val="47AD2233"/>
    <w:rsid w:val="491475A6"/>
    <w:rsid w:val="49327430"/>
    <w:rsid w:val="49632CBE"/>
    <w:rsid w:val="4995745B"/>
    <w:rsid w:val="4B3138B0"/>
    <w:rsid w:val="4B770C32"/>
    <w:rsid w:val="4B8B7B39"/>
    <w:rsid w:val="4BFE5131"/>
    <w:rsid w:val="4C754CA5"/>
    <w:rsid w:val="4C784044"/>
    <w:rsid w:val="4CA70326"/>
    <w:rsid w:val="4CC81579"/>
    <w:rsid w:val="4CEA7F0C"/>
    <w:rsid w:val="4D5044C8"/>
    <w:rsid w:val="4EB12CC0"/>
    <w:rsid w:val="4ECA56B5"/>
    <w:rsid w:val="4ECD6FDA"/>
    <w:rsid w:val="4EDA5EE4"/>
    <w:rsid w:val="4EFB1B67"/>
    <w:rsid w:val="4F0E5091"/>
    <w:rsid w:val="4F27006D"/>
    <w:rsid w:val="4FBC0391"/>
    <w:rsid w:val="4FED0A3C"/>
    <w:rsid w:val="4FF90AAD"/>
    <w:rsid w:val="5140241A"/>
    <w:rsid w:val="5180359E"/>
    <w:rsid w:val="51F900D7"/>
    <w:rsid w:val="52E37785"/>
    <w:rsid w:val="53373138"/>
    <w:rsid w:val="540422B6"/>
    <w:rsid w:val="540D7E26"/>
    <w:rsid w:val="545A2831"/>
    <w:rsid w:val="54B84D1C"/>
    <w:rsid w:val="54C12286"/>
    <w:rsid w:val="54C7515C"/>
    <w:rsid w:val="55764681"/>
    <w:rsid w:val="56124160"/>
    <w:rsid w:val="56150D58"/>
    <w:rsid w:val="571A4EDF"/>
    <w:rsid w:val="582779DA"/>
    <w:rsid w:val="58A1256C"/>
    <w:rsid w:val="58E16081"/>
    <w:rsid w:val="59687E9B"/>
    <w:rsid w:val="59950F47"/>
    <w:rsid w:val="59C71AB9"/>
    <w:rsid w:val="5A2C40E8"/>
    <w:rsid w:val="5A436D58"/>
    <w:rsid w:val="5AAA49D1"/>
    <w:rsid w:val="5B491B47"/>
    <w:rsid w:val="5C152D4D"/>
    <w:rsid w:val="5C9E3C6F"/>
    <w:rsid w:val="5CDC4A3F"/>
    <w:rsid w:val="5CDD02FB"/>
    <w:rsid w:val="5CE6417D"/>
    <w:rsid w:val="5D1B5229"/>
    <w:rsid w:val="5E36065A"/>
    <w:rsid w:val="5E6F0B24"/>
    <w:rsid w:val="5F026F34"/>
    <w:rsid w:val="5FCF2D6D"/>
    <w:rsid w:val="60124C14"/>
    <w:rsid w:val="614D245D"/>
    <w:rsid w:val="61764C74"/>
    <w:rsid w:val="626D2A39"/>
    <w:rsid w:val="629921E7"/>
    <w:rsid w:val="646F5D11"/>
    <w:rsid w:val="65600C06"/>
    <w:rsid w:val="65E9358D"/>
    <w:rsid w:val="66D07ABE"/>
    <w:rsid w:val="67FE4D7A"/>
    <w:rsid w:val="680405E8"/>
    <w:rsid w:val="68B32B93"/>
    <w:rsid w:val="699C0906"/>
    <w:rsid w:val="6A030CFC"/>
    <w:rsid w:val="6A4D4300"/>
    <w:rsid w:val="6B3E35DA"/>
    <w:rsid w:val="6BF64A94"/>
    <w:rsid w:val="6BFB7679"/>
    <w:rsid w:val="6C4C21E7"/>
    <w:rsid w:val="6CB70AFB"/>
    <w:rsid w:val="6DD85620"/>
    <w:rsid w:val="6E110328"/>
    <w:rsid w:val="6E575F6E"/>
    <w:rsid w:val="6EF9633A"/>
    <w:rsid w:val="6F0A5F77"/>
    <w:rsid w:val="6FE730C0"/>
    <w:rsid w:val="70367D47"/>
    <w:rsid w:val="70BA0D2B"/>
    <w:rsid w:val="70D35898"/>
    <w:rsid w:val="71217B1C"/>
    <w:rsid w:val="715029C4"/>
    <w:rsid w:val="71603B54"/>
    <w:rsid w:val="716C14D7"/>
    <w:rsid w:val="71781FCE"/>
    <w:rsid w:val="717E3158"/>
    <w:rsid w:val="71892882"/>
    <w:rsid w:val="71CB5327"/>
    <w:rsid w:val="72185E1F"/>
    <w:rsid w:val="725267CD"/>
    <w:rsid w:val="73AF72B1"/>
    <w:rsid w:val="73C41C3A"/>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C41F5"/>
    <w:rsid w:val="7896326B"/>
    <w:rsid w:val="78A71751"/>
    <w:rsid w:val="78E4372C"/>
    <w:rsid w:val="79902828"/>
    <w:rsid w:val="79DE3185"/>
    <w:rsid w:val="7AA63CAE"/>
    <w:rsid w:val="7AAD209B"/>
    <w:rsid w:val="7ACD67F4"/>
    <w:rsid w:val="7AD54E21"/>
    <w:rsid w:val="7D3A7DBF"/>
    <w:rsid w:val="7D5406AE"/>
    <w:rsid w:val="7D6873B3"/>
    <w:rsid w:val="7E91605C"/>
    <w:rsid w:val="7F561F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2019-10-30T02:08:00Z</cp:lastPrinted>
  <dcterms:modified xsi:type="dcterms:W3CDTF">2019-10-31T01:55:14Z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