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8" w:hRule="atLeast"/>
        </w:trPr>
        <w:tc>
          <w:tcPr>
            <w:tcW w:w="8761" w:type="dxa"/>
            <w:vAlign w:val="top"/>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宋体" w:hAnsi="宋体" w:eastAsia="宋体" w:cs="宋体"/>
                <w:sz w:val="32"/>
                <w:szCs w:val="32"/>
                <w:vertAlign w:val="baseline"/>
              </w:rPr>
            </w:pPr>
            <w:r>
              <w:rPr>
                <w:rFonts w:hint="eastAsia" w:ascii="宋体" w:hAnsi="宋体" w:eastAsia="宋体" w:cs="宋体"/>
                <w:position w:val="6"/>
                <w:sz w:val="32"/>
                <w:szCs w:val="32"/>
                <w:vertAlign w:val="baseline"/>
                <w:lang w:eastAsia="zh-CN"/>
              </w:rPr>
              <w:t>审批</w:t>
            </w:r>
            <w:r>
              <w:rPr>
                <w:rFonts w:hint="eastAsia" w:ascii="宋体" w:hAnsi="宋体" w:eastAsia="宋体" w:cs="宋体"/>
                <w:position w:val="6"/>
                <w:sz w:val="32"/>
                <w:szCs w:val="32"/>
                <w:vertAlign w:val="baseline"/>
              </w:rPr>
              <w:t>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仿宋" w:hAnsi="仿宋" w:eastAsia="仿宋" w:cs="仿宋"/>
                <w:sz w:val="32"/>
                <w:szCs w:val="32"/>
                <w:vertAlign w:val="baseline"/>
              </w:rPr>
            </w:pPr>
            <w:r>
              <w:rPr>
                <w:rFonts w:hint="eastAsia" w:ascii="仿宋" w:hAnsi="仿宋" w:eastAsia="仿宋" w:cs="仿宋"/>
                <w:sz w:val="32"/>
                <w:szCs w:val="32"/>
                <w:vertAlign w:val="baseline"/>
                <w:lang w:eastAsia="zh-CN"/>
              </w:rPr>
              <w:tab/>
            </w:r>
            <w:r>
              <w:rPr>
                <w:rFonts w:hint="eastAsia" w:ascii="仿宋" w:hAnsi="仿宋" w:eastAsia="仿宋" w:cs="仿宋"/>
                <w:sz w:val="32"/>
                <w:szCs w:val="32"/>
                <w:vertAlign w:val="baseline"/>
                <w:lang w:val="en-US" w:eastAsia="zh-CN"/>
              </w:rPr>
              <w:t xml:space="preserve">                          </w:t>
            </w:r>
            <w:r>
              <w:rPr>
                <w:rFonts w:hint="eastAsia" w:ascii="宋体" w:hAnsi="宋体" w:eastAsia="宋体" w:cs="宋体"/>
                <w:sz w:val="32"/>
                <w:szCs w:val="32"/>
                <w:vertAlign w:val="baseline"/>
                <w:lang w:val="en-US" w:eastAsia="zh-CN"/>
              </w:rPr>
              <w:t xml:space="preserve">  </w:t>
            </w:r>
            <w:r>
              <w:rPr>
                <w:rFonts w:hint="eastAsia" w:ascii="宋体" w:hAnsi="宋体" w:eastAsia="宋体" w:cs="宋体"/>
                <w:position w:val="6"/>
                <w:sz w:val="32"/>
                <w:szCs w:val="32"/>
                <w:vertAlign w:val="baseline"/>
              </w:rPr>
              <w:t>新环</w:t>
            </w:r>
            <w:r>
              <w:rPr>
                <w:rFonts w:hint="eastAsia" w:ascii="宋体" w:hAnsi="宋体" w:eastAsia="宋体" w:cs="宋体"/>
                <w:position w:val="6"/>
                <w:sz w:val="32"/>
                <w:szCs w:val="32"/>
                <w:vertAlign w:val="baseline"/>
                <w:lang w:eastAsia="zh-CN"/>
              </w:rPr>
              <w:t>表</w:t>
            </w:r>
            <w:r>
              <w:rPr>
                <w:rFonts w:hint="eastAsia" w:ascii="宋体" w:hAnsi="宋体" w:eastAsia="宋体" w:cs="宋体"/>
                <w:position w:val="6"/>
                <w:sz w:val="32"/>
                <w:szCs w:val="32"/>
                <w:vertAlign w:val="baseline"/>
                <w:lang w:val="en-US" w:eastAsia="zh-CN"/>
              </w:rPr>
              <w:t>[</w:t>
            </w:r>
            <w:r>
              <w:rPr>
                <w:rFonts w:hint="eastAsia" w:ascii="宋体" w:hAnsi="宋体" w:eastAsia="宋体" w:cs="宋体"/>
                <w:position w:val="6"/>
                <w:sz w:val="32"/>
                <w:szCs w:val="32"/>
                <w:vertAlign w:val="baseline"/>
              </w:rPr>
              <w:t>20</w:t>
            </w:r>
            <w:r>
              <w:rPr>
                <w:rFonts w:hint="eastAsia" w:ascii="宋体" w:hAnsi="宋体" w:eastAsia="宋体" w:cs="宋体"/>
                <w:position w:val="6"/>
                <w:sz w:val="32"/>
                <w:szCs w:val="32"/>
                <w:vertAlign w:val="baseline"/>
                <w:lang w:val="en-US" w:eastAsia="zh-CN"/>
              </w:rPr>
              <w:t>20]013</w:t>
            </w:r>
            <w:r>
              <w:rPr>
                <w:rFonts w:hint="eastAsia" w:ascii="宋体" w:hAnsi="宋体" w:eastAsia="宋体" w:cs="宋体"/>
                <w:position w:val="6"/>
                <w:sz w:val="32"/>
                <w:szCs w:val="32"/>
                <w:vertAlign w:val="baseline"/>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left="2566" w:leftChars="304" w:right="0" w:rightChars="0" w:hanging="1928" w:hangingChars="600"/>
              <w:jc w:val="both"/>
              <w:textAlignment w:val="auto"/>
              <w:outlineLvl w:val="9"/>
              <w:rPr>
                <w:rFonts w:hint="eastAsia" w:asciiTheme="majorEastAsia" w:hAnsiTheme="majorEastAsia" w:eastAsiaTheme="majorEastAsia" w:cstheme="majorEastAsia"/>
                <w:b/>
                <w:bCs/>
                <w:sz w:val="32"/>
                <w:szCs w:val="32"/>
                <w:vertAlign w:val="baseline"/>
                <w:lang w:val="en-US" w:eastAsia="zh-CN"/>
              </w:rPr>
            </w:pPr>
            <w:r>
              <w:rPr>
                <w:rFonts w:hint="eastAsia" w:asciiTheme="majorEastAsia" w:hAnsiTheme="majorEastAsia" w:eastAsiaTheme="majorEastAsia" w:cstheme="majorEastAsia"/>
                <w:b/>
                <w:bCs/>
                <w:sz w:val="32"/>
                <w:szCs w:val="32"/>
                <w:vertAlign w:val="baseline"/>
              </w:rPr>
              <w:t>关于《</w:t>
            </w:r>
            <w:r>
              <w:rPr>
                <w:rFonts w:hint="eastAsia" w:asciiTheme="majorEastAsia" w:hAnsiTheme="majorEastAsia" w:eastAsiaTheme="majorEastAsia" w:cstheme="majorEastAsia"/>
                <w:b/>
                <w:bCs/>
                <w:sz w:val="32"/>
                <w:szCs w:val="32"/>
                <w:vertAlign w:val="baseline"/>
                <w:lang w:eastAsia="zh-CN"/>
              </w:rPr>
              <w:t>新乡市中晶塑业有限公司年产</w:t>
            </w:r>
            <w:r>
              <w:rPr>
                <w:rFonts w:hint="eastAsia" w:asciiTheme="majorEastAsia" w:hAnsiTheme="majorEastAsia" w:eastAsiaTheme="majorEastAsia" w:cstheme="majorEastAsia"/>
                <w:b/>
                <w:bCs/>
                <w:sz w:val="32"/>
                <w:szCs w:val="32"/>
                <w:vertAlign w:val="baseline"/>
                <w:lang w:val="en-US" w:eastAsia="zh-CN"/>
              </w:rPr>
              <w:t>600吨塑料制品</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left="2564" w:leftChars="456" w:right="0" w:rightChars="0" w:hanging="1606" w:hangingChars="500"/>
              <w:jc w:val="both"/>
              <w:textAlignment w:val="auto"/>
              <w:outlineLvl w:val="9"/>
              <w:rPr>
                <w:rFonts w:hint="eastAsia" w:asciiTheme="majorEastAsia" w:hAnsiTheme="majorEastAsia" w:eastAsiaTheme="majorEastAsia" w:cstheme="majorEastAsia"/>
                <w:b/>
                <w:bCs/>
                <w:sz w:val="32"/>
                <w:szCs w:val="32"/>
                <w:vertAlign w:val="baseline"/>
              </w:rPr>
            </w:pPr>
            <w:r>
              <w:rPr>
                <w:rFonts w:hint="eastAsia" w:asciiTheme="majorEastAsia" w:hAnsiTheme="majorEastAsia" w:eastAsiaTheme="majorEastAsia" w:cstheme="majorEastAsia"/>
                <w:b/>
                <w:bCs/>
                <w:sz w:val="32"/>
                <w:szCs w:val="32"/>
                <w:vertAlign w:val="baseline"/>
                <w:lang w:val="en-US" w:eastAsia="zh-CN"/>
              </w:rPr>
              <w:t>(塑料中空板、塑料包装箱)</w:t>
            </w:r>
            <w:r>
              <w:rPr>
                <w:rFonts w:hint="eastAsia" w:asciiTheme="majorEastAsia" w:hAnsiTheme="majorEastAsia" w:eastAsiaTheme="majorEastAsia" w:cstheme="majorEastAsia"/>
                <w:b/>
                <w:bCs/>
                <w:sz w:val="32"/>
                <w:szCs w:val="32"/>
                <w:vertAlign w:val="baseline"/>
              </w:rPr>
              <w:t>项目环境影响报告表》</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left="2554" w:leftChars="1216" w:right="0" w:rightChars="0" w:firstLine="1606" w:firstLineChars="500"/>
              <w:jc w:val="both"/>
              <w:textAlignment w:val="auto"/>
              <w:outlineLvl w:val="9"/>
              <w:rPr>
                <w:rFonts w:hint="eastAsia" w:asciiTheme="majorEastAsia" w:hAnsiTheme="majorEastAsia" w:eastAsiaTheme="majorEastAsia" w:cstheme="majorEastAsia"/>
                <w:b/>
                <w:bCs/>
                <w:sz w:val="32"/>
                <w:szCs w:val="32"/>
                <w:vertAlign w:val="baseline"/>
                <w:lang w:eastAsia="zh-CN"/>
              </w:rPr>
            </w:pPr>
            <w:r>
              <w:rPr>
                <w:rFonts w:hint="eastAsia" w:asciiTheme="majorEastAsia" w:hAnsiTheme="majorEastAsia" w:eastAsiaTheme="majorEastAsia" w:cstheme="majorEastAsia"/>
                <w:b/>
                <w:bCs/>
                <w:sz w:val="32"/>
                <w:szCs w:val="32"/>
                <w:vertAlign w:val="baseline"/>
                <w:lang w:eastAsia="zh-CN"/>
              </w:rPr>
              <w:t>批复</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outlineLvl w:val="9"/>
              <w:rPr>
                <w:rFonts w:hint="eastAsia" w:ascii="宋体" w:hAnsi="宋体" w:eastAsia="宋体" w:cs="宋体"/>
                <w:sz w:val="30"/>
                <w:szCs w:val="30"/>
                <w:vertAlign w:val="baseline"/>
                <w:lang w:eastAsia="zh-CN"/>
              </w:rPr>
            </w:pPr>
            <w:bookmarkStart w:id="0" w:name="_GoBack"/>
            <w:r>
              <w:rPr>
                <w:rFonts w:hint="eastAsia" w:ascii="宋体" w:hAnsi="宋体" w:eastAsia="宋体" w:cs="宋体"/>
                <w:b/>
                <w:bCs/>
                <w:color w:val="000000" w:themeColor="text1"/>
                <w:sz w:val="32"/>
                <w:szCs w:val="32"/>
                <w:vertAlign w:val="baseline"/>
                <w:lang w:eastAsia="zh-CN"/>
                <w14:textFill>
                  <w14:solidFill>
                    <w14:schemeClr w14:val="tx1"/>
                  </w14:solidFill>
                </w14:textFill>
              </w:rPr>
              <w:t>（含行政复议与行政诉讼权利告知）</w:t>
            </w:r>
          </w:p>
          <w:bookmarkEnd w:id="0"/>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outlineLvl w:val="9"/>
              <w:rPr>
                <w:rFonts w:hint="eastAsia" w:ascii="宋体" w:hAnsi="宋体" w:eastAsia="宋体" w:cs="宋体"/>
                <w:sz w:val="30"/>
                <w:szCs w:val="30"/>
                <w:vertAlign w:val="baseline"/>
                <w:lang w:eastAsia="zh-CN"/>
              </w:rPr>
            </w:pPr>
            <w:r>
              <w:rPr>
                <w:rFonts w:hint="eastAsia" w:ascii="宋体" w:hAnsi="宋体" w:eastAsia="宋体" w:cs="宋体"/>
                <w:sz w:val="30"/>
                <w:szCs w:val="30"/>
                <w:vertAlign w:val="baseline"/>
                <w:lang w:eastAsia="zh-CN"/>
              </w:rPr>
              <w:t>新乡市中晶塑业有限公司：</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你公司上报的由河南润正环境科技有限公司环评工程师朱哲</w:t>
            </w:r>
            <w:r>
              <w:rPr>
                <w:rFonts w:hint="eastAsia" w:ascii="宋体" w:hAnsi="宋体" w:eastAsia="宋体" w:cs="宋体"/>
                <w:sz w:val="28"/>
                <w:szCs w:val="28"/>
                <w:vertAlign w:val="baseline"/>
                <w:lang w:val="en-US" w:eastAsia="zh-CN"/>
              </w:rPr>
              <w:t>(</w:t>
            </w:r>
            <w:r>
              <w:rPr>
                <w:rFonts w:hint="eastAsia" w:ascii="宋体" w:hAnsi="宋体" w:eastAsia="宋体" w:cs="宋体"/>
                <w:sz w:val="28"/>
                <w:szCs w:val="28"/>
                <w:vertAlign w:val="baseline"/>
                <w:lang w:eastAsia="zh-CN"/>
              </w:rPr>
              <w:t>资格证书编号</w:t>
            </w:r>
            <w:r>
              <w:rPr>
                <w:rFonts w:hint="eastAsia" w:ascii="宋体" w:hAnsi="宋体" w:eastAsia="宋体" w:cs="宋体"/>
                <w:sz w:val="28"/>
                <w:szCs w:val="28"/>
                <w:vertAlign w:val="baseline"/>
                <w:lang w:val="en-US" w:eastAsia="zh-CN"/>
              </w:rPr>
              <w:t>:2017035410352016411801000770)</w:t>
            </w:r>
            <w:r>
              <w:rPr>
                <w:rFonts w:hint="eastAsia" w:ascii="宋体" w:hAnsi="宋体" w:eastAsia="宋体" w:cs="宋体"/>
                <w:sz w:val="28"/>
                <w:szCs w:val="28"/>
                <w:vertAlign w:val="baseline"/>
                <w:lang w:eastAsia="zh-CN"/>
              </w:rPr>
              <w:t>编制的《</w:t>
            </w:r>
            <w:r>
              <w:rPr>
                <w:rFonts w:hint="eastAsia" w:ascii="宋体" w:hAnsi="宋体" w:eastAsia="宋体" w:cs="宋体"/>
                <w:sz w:val="30"/>
                <w:szCs w:val="30"/>
                <w:vertAlign w:val="baseline"/>
                <w:lang w:eastAsia="zh-CN"/>
              </w:rPr>
              <w:t>新乡市中晶塑业有限公司</w:t>
            </w:r>
            <w:r>
              <w:rPr>
                <w:rFonts w:hint="eastAsia" w:ascii="宋体" w:hAnsi="宋体" w:eastAsia="宋体" w:cs="宋体"/>
                <w:sz w:val="28"/>
                <w:szCs w:val="28"/>
                <w:vertAlign w:val="baseline"/>
                <w:lang w:eastAsia="zh-CN"/>
              </w:rPr>
              <w:t>年产</w:t>
            </w:r>
            <w:r>
              <w:rPr>
                <w:rFonts w:hint="eastAsia" w:ascii="宋体" w:hAnsi="宋体" w:eastAsia="宋体" w:cs="宋体"/>
                <w:sz w:val="28"/>
                <w:szCs w:val="28"/>
                <w:vertAlign w:val="baseline"/>
                <w:lang w:val="en-US" w:eastAsia="zh-CN"/>
              </w:rPr>
              <w:t>600吨塑料制品（塑料中空板、塑料包装箱）</w:t>
            </w:r>
            <w:r>
              <w:rPr>
                <w:rFonts w:hint="eastAsia" w:ascii="宋体" w:hAnsi="宋体" w:eastAsia="宋体" w:cs="宋体"/>
                <w:sz w:val="28"/>
                <w:szCs w:val="28"/>
                <w:vertAlign w:val="baseline"/>
                <w:lang w:eastAsia="zh-CN"/>
              </w:rPr>
              <w:t>项目</w:t>
            </w:r>
            <w:r>
              <w:rPr>
                <w:rFonts w:hint="eastAsia" w:ascii="宋体" w:hAnsi="宋体" w:eastAsia="宋体" w:cs="宋体"/>
                <w:sz w:val="28"/>
                <w:szCs w:val="28"/>
                <w:vertAlign w:val="baseline"/>
                <w:lang w:val="en-US" w:eastAsia="zh-CN"/>
              </w:rPr>
              <w:t>环境影响</w:t>
            </w:r>
            <w:r>
              <w:rPr>
                <w:rFonts w:hint="eastAsia" w:ascii="宋体" w:hAnsi="宋体" w:eastAsia="宋体" w:cs="宋体"/>
                <w:sz w:val="28"/>
                <w:szCs w:val="28"/>
                <w:vertAlign w:val="baseline"/>
                <w:lang w:eastAsia="zh-CN"/>
              </w:rPr>
              <w:t>报告表》（以下简称《报告表》）收悉。该项目环评审批事项已在新乡县政府网站公示期满，</w:t>
            </w:r>
            <w:r>
              <w:rPr>
                <w:rFonts w:hint="eastAsia" w:ascii="宋体" w:hAnsi="宋体" w:eastAsia="宋体" w:cs="宋体"/>
                <w:sz w:val="28"/>
                <w:szCs w:val="28"/>
                <w:vertAlign w:val="baseline"/>
              </w:rPr>
              <w:t>根据</w:t>
            </w:r>
            <w:r>
              <w:rPr>
                <w:rFonts w:hint="eastAsia" w:ascii="宋体" w:hAnsi="宋体" w:eastAsia="宋体" w:cs="宋体"/>
                <w:sz w:val="28"/>
                <w:szCs w:val="28"/>
                <w:vertAlign w:val="baseline"/>
                <w:lang w:eastAsia="zh-CN"/>
              </w:rPr>
              <w:t>《报告表》</w:t>
            </w:r>
            <w:r>
              <w:rPr>
                <w:rFonts w:hint="eastAsia" w:ascii="宋体" w:hAnsi="宋体" w:eastAsia="宋体" w:cs="宋体"/>
                <w:sz w:val="28"/>
                <w:szCs w:val="28"/>
                <w:vertAlign w:val="baseline"/>
              </w:rPr>
              <w:t>结论</w:t>
            </w:r>
            <w:r>
              <w:rPr>
                <w:rFonts w:hint="eastAsia" w:ascii="宋体" w:hAnsi="宋体" w:eastAsia="宋体" w:cs="宋体"/>
                <w:sz w:val="28"/>
                <w:szCs w:val="28"/>
                <w:vertAlign w:val="baseline"/>
                <w:lang w:eastAsia="zh-CN"/>
              </w:rPr>
              <w:t>，</w:t>
            </w:r>
            <w:r>
              <w:rPr>
                <w:rFonts w:hint="eastAsia" w:ascii="宋体" w:hAnsi="宋体" w:eastAsia="宋体" w:cs="宋体"/>
                <w:sz w:val="28"/>
                <w:szCs w:val="28"/>
                <w:vertAlign w:val="baseline"/>
              </w:rPr>
              <w:t>经研究，</w:t>
            </w:r>
            <w:r>
              <w:rPr>
                <w:rFonts w:hint="eastAsia" w:ascii="宋体" w:hAnsi="宋体" w:eastAsia="宋体" w:cs="宋体"/>
                <w:sz w:val="28"/>
                <w:szCs w:val="28"/>
                <w:vertAlign w:val="baseline"/>
                <w:lang w:eastAsia="zh-CN"/>
              </w:rPr>
              <w:t>批复</w:t>
            </w:r>
            <w:r>
              <w:rPr>
                <w:rFonts w:hint="eastAsia" w:ascii="宋体" w:hAnsi="宋体" w:eastAsia="宋体" w:cs="宋体"/>
                <w:sz w:val="28"/>
                <w:szCs w:val="28"/>
                <w:vertAlign w:val="baseline"/>
              </w:rPr>
              <w:t>如下：</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560" w:firstLineChars="200"/>
              <w:textAlignment w:val="auto"/>
              <w:outlineLvl w:val="9"/>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rPr>
              <w:t>一、</w:t>
            </w:r>
            <w:r>
              <w:rPr>
                <w:rFonts w:hint="eastAsia" w:ascii="宋体" w:hAnsi="宋体" w:eastAsia="宋体" w:cs="宋体"/>
                <w:sz w:val="28"/>
                <w:szCs w:val="28"/>
                <w:vertAlign w:val="baseline"/>
                <w:lang w:eastAsia="zh-CN"/>
              </w:rPr>
              <w:t>我局批准</w:t>
            </w:r>
            <w:r>
              <w:rPr>
                <w:rFonts w:hint="eastAsia" w:ascii="宋体" w:hAnsi="宋体" w:eastAsia="宋体" w:cs="宋体"/>
                <w:sz w:val="28"/>
                <w:szCs w:val="28"/>
                <w:vertAlign w:val="baseline"/>
                <w:lang w:val="en-US" w:eastAsia="zh-CN"/>
              </w:rPr>
              <w:t>《报告表》，原则</w:t>
            </w:r>
            <w:r>
              <w:rPr>
                <w:rFonts w:hint="eastAsia" w:ascii="宋体" w:hAnsi="宋体" w:eastAsia="宋体" w:cs="宋体"/>
                <w:sz w:val="28"/>
                <w:szCs w:val="28"/>
                <w:vertAlign w:val="baseline"/>
              </w:rPr>
              <w:t>同意</w:t>
            </w:r>
            <w:r>
              <w:rPr>
                <w:rFonts w:hint="eastAsia" w:ascii="宋体" w:hAnsi="宋体" w:eastAsia="宋体" w:cs="宋体"/>
                <w:sz w:val="28"/>
                <w:szCs w:val="28"/>
                <w:vertAlign w:val="baseline"/>
                <w:lang w:eastAsia="zh-CN"/>
              </w:rPr>
              <w:t>你公司按照</w:t>
            </w:r>
            <w:r>
              <w:rPr>
                <w:rFonts w:hint="eastAsia" w:ascii="宋体" w:hAnsi="宋体" w:eastAsia="宋体" w:cs="宋体"/>
                <w:sz w:val="28"/>
                <w:szCs w:val="28"/>
                <w:vertAlign w:val="baseline"/>
                <w:lang w:val="en-US" w:eastAsia="zh-CN"/>
              </w:rPr>
              <w:t>《报告表》</w:t>
            </w:r>
            <w:r>
              <w:rPr>
                <w:rFonts w:hint="eastAsia" w:ascii="宋体" w:hAnsi="宋体" w:eastAsia="宋体" w:cs="宋体"/>
                <w:sz w:val="28"/>
                <w:szCs w:val="28"/>
                <w:vertAlign w:val="baseline"/>
                <w:lang w:eastAsia="zh-CN"/>
              </w:rPr>
              <w:t>中所列项目的地点、性质、规模、生产工艺和环境保护对策措施建设。项目总投资</w:t>
            </w:r>
            <w:r>
              <w:rPr>
                <w:rFonts w:hint="eastAsia" w:ascii="宋体" w:hAnsi="宋体" w:eastAsia="宋体" w:cs="宋体"/>
                <w:sz w:val="28"/>
                <w:szCs w:val="28"/>
                <w:vertAlign w:val="baseline"/>
                <w:lang w:val="en-US" w:eastAsia="zh-CN"/>
              </w:rPr>
              <w:t>100万元，在新乡市新乡县翟坡镇东营村宏业大道158号利用现有厂房建设</w:t>
            </w:r>
            <w:r>
              <w:rPr>
                <w:rFonts w:hint="eastAsia" w:ascii="宋体" w:hAnsi="宋体" w:eastAsia="宋体" w:cs="宋体"/>
                <w:sz w:val="28"/>
                <w:szCs w:val="28"/>
                <w:vertAlign w:val="baseline"/>
                <w:lang w:eastAsia="zh-CN"/>
              </w:rPr>
              <w:t>年产</w:t>
            </w:r>
            <w:r>
              <w:rPr>
                <w:rFonts w:hint="eastAsia" w:ascii="宋体" w:hAnsi="宋体" w:eastAsia="宋体" w:cs="宋体"/>
                <w:sz w:val="28"/>
                <w:szCs w:val="28"/>
                <w:vertAlign w:val="baseline"/>
                <w:lang w:val="en-US" w:eastAsia="zh-CN"/>
              </w:rPr>
              <w:t>600吨塑料制品（塑料中空板、塑料包装箱）</w:t>
            </w:r>
            <w:r>
              <w:rPr>
                <w:rFonts w:hint="eastAsia" w:ascii="宋体" w:hAnsi="宋体" w:eastAsia="宋体" w:cs="宋体"/>
                <w:sz w:val="28"/>
                <w:szCs w:val="28"/>
                <w:vertAlign w:val="baseline"/>
                <w:lang w:eastAsia="zh-CN"/>
              </w:rPr>
              <w:t>项目</w:t>
            </w:r>
            <w:r>
              <w:rPr>
                <w:rFonts w:hint="eastAsia" w:ascii="宋体" w:hAnsi="宋体" w:eastAsia="宋体" w:cs="宋体"/>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rPr>
              <w:t>二</w:t>
            </w:r>
            <w:r>
              <w:rPr>
                <w:rFonts w:hint="eastAsia" w:ascii="宋体" w:hAnsi="宋体" w:eastAsia="宋体" w:cs="宋体"/>
                <w:sz w:val="28"/>
                <w:szCs w:val="28"/>
                <w:vertAlign w:val="baseline"/>
                <w:lang w:eastAsia="zh-CN"/>
              </w:rPr>
              <w:t>、你公司</w:t>
            </w:r>
            <w:r>
              <w:rPr>
                <w:rFonts w:hint="eastAsia" w:ascii="宋体" w:hAnsi="宋体" w:eastAsia="宋体" w:cs="宋体"/>
                <w:sz w:val="28"/>
                <w:szCs w:val="28"/>
                <w:vertAlign w:val="baseline"/>
              </w:rPr>
              <w:t>应主动向社会公众公开经批准的《报告表》及项目建设情况，并接受相关方的咨询。</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rPr>
              <w:t>三</w:t>
            </w:r>
            <w:r>
              <w:rPr>
                <w:rFonts w:hint="eastAsia" w:ascii="宋体" w:hAnsi="宋体" w:eastAsia="宋体" w:cs="宋体"/>
                <w:sz w:val="28"/>
                <w:szCs w:val="28"/>
                <w:vertAlign w:val="baseline"/>
                <w:lang w:eastAsia="zh-CN"/>
              </w:rPr>
              <w:t>、你公司应全面落实《报告表》提出的</w:t>
            </w:r>
            <w:r>
              <w:rPr>
                <w:rFonts w:hint="eastAsia" w:ascii="宋体" w:hAnsi="宋体" w:eastAsia="宋体" w:cs="宋体"/>
                <w:sz w:val="28"/>
                <w:szCs w:val="28"/>
                <w:vertAlign w:val="baseline"/>
              </w:rPr>
              <w:t>各项</w:t>
            </w:r>
            <w:r>
              <w:rPr>
                <w:rFonts w:hint="eastAsia" w:ascii="宋体" w:hAnsi="宋体" w:eastAsia="宋体" w:cs="宋体"/>
                <w:sz w:val="28"/>
                <w:szCs w:val="28"/>
                <w:vertAlign w:val="baseline"/>
                <w:lang w:eastAsia="zh-CN"/>
              </w:rPr>
              <w:t>环保对策措施及环保投资概算，确保各项环保设施与主体工程同时设计、同时施工、同时投入使用，确保各项污染物达标排放。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（一）依据《报告表》和本批复文件，对建设项目建设过程中产生的废气、废水、噪声、固体废物等污染物采取相应的防治措施。</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eastAsia="zh-CN"/>
              </w:rPr>
              <w:t>（二）项目运行时，外排污染物应满足以下要求：</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jc w:val="both"/>
              <w:textAlignment w:val="auto"/>
              <w:outlineLvl w:val="9"/>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pPr>
            <w:r>
              <w:rPr>
                <w:rFonts w:hint="eastAsia" w:ascii="宋体" w:hAnsi="宋体" w:eastAsia="宋体" w:cs="宋体"/>
                <w:kern w:val="21"/>
                <w:sz w:val="28"/>
                <w:szCs w:val="28"/>
                <w:vertAlign w:val="baseline"/>
                <w:lang w:val="en-US" w:eastAsia="zh-CN"/>
              </w:rPr>
              <w:t>1、废气：挤出</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工序产生的非甲烷总烃废气经负压抽风收集后通过低温等离子+UV光催化氧化装置+活性炭吸附装置处理</w:t>
            </w:r>
            <w:r>
              <w:rPr>
                <w:rFonts w:hint="eastAsia" w:ascii="宋体" w:hAnsi="宋体" w:eastAsia="宋体" w:cs="宋体"/>
                <w:kern w:val="21"/>
                <w:sz w:val="28"/>
                <w:szCs w:val="28"/>
                <w:vertAlign w:val="baseline"/>
                <w:lang w:val="en-US" w:eastAsia="zh-CN"/>
              </w:rPr>
              <w:t>，尾气经不低于15米高排气筒排放,</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废气排放满足《大气污染物综合排放标准》（GB16297-1996）表2二级非甲烷总烃排放速率10kg/h（15米高排气筒）排放标准要求，</w:t>
            </w:r>
            <w:r>
              <w:rPr>
                <w:rFonts w:hint="eastAsia" w:ascii="宋体" w:hAnsi="宋体" w:eastAsia="宋体" w:cs="宋体"/>
                <w:kern w:val="21"/>
                <w:sz w:val="28"/>
                <w:szCs w:val="28"/>
                <w:vertAlign w:val="baseline"/>
                <w:lang w:val="en-US" w:eastAsia="zh-CN"/>
              </w:rPr>
              <w:t>非甲烷总烃</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废气排放满足</w:t>
            </w:r>
            <w:r>
              <w:rPr>
                <w:rFonts w:hint="eastAsia" w:ascii="宋体" w:hAnsi="宋体" w:eastAsia="宋体" w:cs="宋体"/>
                <w:color w:val="000000" w:themeColor="text1"/>
                <w:sz w:val="28"/>
                <w:szCs w:val="28"/>
                <w:vertAlign w:val="baseline"/>
                <w:lang w:eastAsia="zh-CN"/>
                <w14:textFill>
                  <w14:solidFill>
                    <w14:schemeClr w14:val="tx1"/>
                  </w14:solidFill>
                </w14:textFill>
              </w:rPr>
              <w:t>《合成树脂工业污染物排放标准》（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GB31572-2015)排气口排放浓度60mg/m</w:t>
            </w:r>
            <w:r>
              <w:rPr>
                <w:rFonts w:hint="eastAsia" w:ascii="宋体" w:hAnsi="宋体" w:eastAsia="宋体" w:cs="宋体"/>
                <w:color w:val="000000" w:themeColor="text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的排放限值要求；破碎工序产生的粉尘集气罩收集经二级袋式除尘器处理后通过</w:t>
            </w:r>
            <w:r>
              <w:rPr>
                <w:rFonts w:hint="eastAsia" w:ascii="宋体" w:hAnsi="宋体" w:eastAsia="宋体" w:cs="宋体"/>
                <w:kern w:val="21"/>
                <w:sz w:val="28"/>
                <w:szCs w:val="28"/>
                <w:vertAlign w:val="baseline"/>
                <w:lang w:val="en-US" w:eastAsia="zh-CN"/>
              </w:rPr>
              <w:t>不低于15米高排气筒排放,粉尘</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排放满足《大气污染物综合排放标准》（GB16297-1996）表2二级排放速率3.5kg/h（15米高排气筒）、同时满足</w:t>
            </w:r>
            <w:r>
              <w:rPr>
                <w:rFonts w:hint="eastAsia" w:ascii="宋体" w:hAnsi="宋体" w:eastAsia="宋体" w:cs="宋体"/>
                <w:color w:val="000000" w:themeColor="text1"/>
                <w:sz w:val="28"/>
                <w:szCs w:val="28"/>
                <w:vertAlign w:val="baseline"/>
                <w:lang w:eastAsia="zh-CN"/>
                <w14:textFill>
                  <w14:solidFill>
                    <w14:schemeClr w14:val="tx1"/>
                  </w14:solidFill>
                </w14:textFill>
              </w:rPr>
              <w:t>《合成树脂工业污染物排放标准》（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GB31572-2015)排气口排放浓度20mg/m</w:t>
            </w:r>
            <w:r>
              <w:rPr>
                <w:rFonts w:hint="eastAsia" w:ascii="宋体" w:hAnsi="宋体" w:eastAsia="宋体" w:cs="宋体"/>
                <w:color w:val="000000" w:themeColor="text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的</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排放限值要求。</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jc w:val="both"/>
              <w:textAlignment w:val="auto"/>
              <w:outlineLvl w:val="9"/>
              <w:rPr>
                <w:rFonts w:hint="default" w:ascii="宋体" w:hAnsi="宋体" w:eastAsia="宋体" w:cs="宋体"/>
                <w:sz w:val="28"/>
                <w:szCs w:val="28"/>
                <w:vertAlign w:val="baseline"/>
                <w:lang w:val="en-US" w:eastAsia="zh-CN"/>
              </w:rPr>
            </w:pP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物料密闭库存放，地面保持清洁干净，严格控制无组织排放。非甲烷总烃无组织排放应满足</w:t>
            </w:r>
            <w:r>
              <w:rPr>
                <w:rFonts w:hint="eastAsia" w:ascii="宋体" w:hAnsi="宋体" w:eastAsia="宋体" w:cs="宋体"/>
                <w:color w:val="000000" w:themeColor="text1"/>
                <w:sz w:val="28"/>
                <w:szCs w:val="28"/>
                <w:vertAlign w:val="baseline"/>
                <w:lang w:eastAsia="zh-CN"/>
                <w14:textFill>
                  <w14:solidFill>
                    <w14:schemeClr w14:val="tx1"/>
                  </w14:solidFill>
                </w14:textFill>
              </w:rPr>
              <w:t>《关于全省工业企业挥发性有机物专项治理工作中排放建议值的通知》（豫环攻坚办</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[2017]162号）厂界2.0mg/m</w:t>
            </w:r>
            <w:r>
              <w:rPr>
                <w:rFonts w:hint="eastAsia" w:ascii="宋体" w:hAnsi="宋体" w:eastAsia="宋体" w:cs="宋体"/>
                <w:color w:val="000000" w:themeColor="text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的排放限值要求，颗粒物</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满足《大气污染物综合排放标准》（GB16297-1996）表2厂界1.0</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mg/m</w:t>
            </w:r>
            <w:r>
              <w:rPr>
                <w:rFonts w:hint="eastAsia" w:ascii="宋体" w:hAnsi="宋体" w:eastAsia="宋体" w:cs="宋体"/>
                <w:color w:val="000000" w:themeColor="text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的标准要求。</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kern w:val="21"/>
                <w:sz w:val="28"/>
                <w:szCs w:val="28"/>
                <w:vertAlign w:val="baseline"/>
                <w:lang w:val="en-US" w:eastAsia="zh-CN"/>
              </w:rPr>
              <w:t>2、废水：生活污水经防渗漏化粪池处理后定期清运。</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val="en-US" w:eastAsia="zh-CN"/>
              </w:rPr>
              <w:t>3、噪声：</w:t>
            </w:r>
            <w:r>
              <w:rPr>
                <w:rFonts w:hint="eastAsia" w:ascii="宋体" w:hAnsi="宋体" w:eastAsia="宋体" w:cs="宋体"/>
                <w:sz w:val="28"/>
                <w:szCs w:val="28"/>
                <w:vertAlign w:val="baseline"/>
                <w:lang w:eastAsia="zh-CN"/>
              </w:rPr>
              <w:t>高噪声设备</w:t>
            </w:r>
            <w:r>
              <w:rPr>
                <w:rFonts w:hint="eastAsia" w:ascii="宋体" w:hAnsi="宋体" w:eastAsia="宋体" w:cs="宋体"/>
                <w:sz w:val="28"/>
                <w:szCs w:val="28"/>
                <w:vertAlign w:val="baseline"/>
              </w:rPr>
              <w:t>采取厂房密闭隔音、减震基础</w:t>
            </w:r>
            <w:r>
              <w:rPr>
                <w:rFonts w:hint="eastAsia" w:ascii="宋体" w:hAnsi="宋体" w:eastAsia="宋体" w:cs="宋体"/>
                <w:sz w:val="28"/>
                <w:szCs w:val="28"/>
                <w:vertAlign w:val="baseline"/>
                <w:lang w:eastAsia="zh-CN"/>
              </w:rPr>
              <w:t>、</w:t>
            </w:r>
            <w:r>
              <w:rPr>
                <w:rFonts w:hint="eastAsia" w:ascii="宋体" w:hAnsi="宋体" w:eastAsia="宋体" w:cs="宋体"/>
                <w:sz w:val="28"/>
                <w:szCs w:val="28"/>
                <w:vertAlign w:val="baseline"/>
              </w:rPr>
              <w:t>距离衰减等有效降噪措施，厂界噪声</w:t>
            </w:r>
            <w:r>
              <w:rPr>
                <w:rFonts w:hint="eastAsia" w:ascii="宋体" w:hAnsi="宋体" w:eastAsia="宋体" w:cs="宋体"/>
                <w:sz w:val="28"/>
                <w:szCs w:val="28"/>
                <w:vertAlign w:val="baseline"/>
                <w:lang w:eastAsia="zh-CN"/>
              </w:rPr>
              <w:t>值</w:t>
            </w:r>
            <w:r>
              <w:rPr>
                <w:rFonts w:hint="eastAsia" w:ascii="宋体" w:hAnsi="宋体" w:eastAsia="宋体" w:cs="宋体"/>
                <w:sz w:val="28"/>
                <w:szCs w:val="28"/>
                <w:vertAlign w:val="baseline"/>
              </w:rPr>
              <w:t>须满足《工业企业厂界环境噪声排放标准》（GB12348-2008）</w:t>
            </w:r>
            <w:r>
              <w:rPr>
                <w:rFonts w:hint="eastAsia" w:ascii="宋体" w:hAnsi="宋体" w:eastAsia="宋体" w:cs="宋体"/>
                <w:sz w:val="28"/>
                <w:szCs w:val="28"/>
                <w:vertAlign w:val="baseline"/>
                <w:lang w:val="en-US" w:eastAsia="zh-CN"/>
              </w:rPr>
              <w:t>2</w:t>
            </w:r>
            <w:r>
              <w:rPr>
                <w:rFonts w:hint="eastAsia" w:ascii="宋体" w:hAnsi="宋体" w:eastAsia="宋体" w:cs="宋体"/>
                <w:sz w:val="28"/>
                <w:szCs w:val="28"/>
                <w:vertAlign w:val="baseline"/>
              </w:rPr>
              <w:t>类标准要求。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560" w:firstLineChars="200"/>
              <w:textAlignment w:val="auto"/>
              <w:outlineLvl w:val="9"/>
              <w:rPr>
                <w:rFonts w:hint="default"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sz w:val="28"/>
                <w:szCs w:val="28"/>
                <w:vertAlign w:val="baseline"/>
                <w:lang w:val="en-US" w:eastAsia="zh-CN"/>
              </w:rPr>
              <w:t>4、固废：</w:t>
            </w:r>
            <w:r>
              <w:rPr>
                <w:rFonts w:hint="eastAsia" w:ascii="宋体" w:hAnsi="宋体" w:eastAsia="宋体" w:cs="宋体"/>
                <w:sz w:val="28"/>
                <w:szCs w:val="28"/>
                <w:vertAlign w:val="baseline"/>
                <w:lang w:eastAsia="zh-CN"/>
              </w:rPr>
              <w:t>按照环评提出的措施妥善处置生产过程中产生的各种固废，</w:t>
            </w:r>
            <w:r>
              <w:rPr>
                <w:rFonts w:hint="eastAsia" w:ascii="宋体" w:hAnsi="宋体" w:eastAsia="宋体" w:cs="宋体"/>
                <w:sz w:val="28"/>
                <w:szCs w:val="28"/>
                <w:vertAlign w:val="baseline"/>
              </w:rPr>
              <w:t>固废</w:t>
            </w:r>
            <w:r>
              <w:rPr>
                <w:rFonts w:hint="eastAsia" w:ascii="宋体" w:hAnsi="宋体" w:eastAsia="宋体" w:cs="宋体"/>
                <w:sz w:val="28"/>
                <w:szCs w:val="28"/>
                <w:vertAlign w:val="baseline"/>
                <w:lang w:eastAsia="zh-CN"/>
              </w:rPr>
              <w:t>临时贮存按《一般固体废物贮存、处理场污染控制标准》（</w:t>
            </w:r>
            <w:r>
              <w:rPr>
                <w:rFonts w:hint="eastAsia" w:ascii="宋体" w:hAnsi="宋体" w:eastAsia="宋体" w:cs="宋体"/>
                <w:sz w:val="28"/>
                <w:szCs w:val="28"/>
                <w:vertAlign w:val="baseline"/>
                <w:lang w:val="en-US" w:eastAsia="zh-CN"/>
              </w:rPr>
              <w:t>GB18599-2001</w:t>
            </w:r>
            <w:r>
              <w:rPr>
                <w:rFonts w:hint="eastAsia" w:ascii="宋体" w:hAnsi="宋体" w:eastAsia="宋体" w:cs="宋体"/>
                <w:sz w:val="28"/>
                <w:szCs w:val="28"/>
                <w:vertAlign w:val="baseline"/>
                <w:lang w:eastAsia="zh-CN"/>
              </w:rPr>
              <w:t>）、《危险废物贮存污染控制标准》（</w:t>
            </w:r>
            <w:r>
              <w:rPr>
                <w:rFonts w:hint="eastAsia" w:ascii="宋体" w:hAnsi="宋体" w:eastAsia="宋体" w:cs="宋体"/>
                <w:sz w:val="28"/>
                <w:szCs w:val="28"/>
                <w:vertAlign w:val="baseline"/>
                <w:lang w:val="en-US" w:eastAsia="zh-CN"/>
              </w:rPr>
              <w:t>GB18597-2001</w:t>
            </w:r>
            <w:r>
              <w:rPr>
                <w:rFonts w:hint="eastAsia" w:ascii="宋体" w:hAnsi="宋体" w:eastAsia="宋体" w:cs="宋体"/>
                <w:sz w:val="28"/>
                <w:szCs w:val="28"/>
                <w:vertAlign w:val="baseline"/>
                <w:lang w:eastAsia="zh-CN"/>
              </w:rPr>
              <w:t>）及其</w:t>
            </w:r>
            <w:r>
              <w:rPr>
                <w:rFonts w:hint="eastAsia" w:ascii="宋体" w:hAnsi="宋体" w:eastAsia="宋体" w:cs="宋体"/>
                <w:sz w:val="28"/>
                <w:szCs w:val="28"/>
                <w:vertAlign w:val="baseline"/>
                <w:lang w:val="en-US" w:eastAsia="zh-CN"/>
              </w:rPr>
              <w:t>2013年</w:t>
            </w:r>
            <w:r>
              <w:rPr>
                <w:rFonts w:hint="eastAsia" w:ascii="宋体" w:hAnsi="宋体" w:eastAsia="宋体" w:cs="宋体"/>
                <w:sz w:val="28"/>
                <w:szCs w:val="28"/>
                <w:vertAlign w:val="baseline"/>
                <w:lang w:eastAsia="zh-CN"/>
              </w:rPr>
              <w:t>修改单进行控制。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sz w:val="28"/>
                <w:szCs w:val="28"/>
                <w:vertAlign w:val="baseline"/>
                <w:lang w:eastAsia="zh-CN"/>
              </w:rPr>
              <w:t>四、</w:t>
            </w:r>
            <w:r>
              <w:rPr>
                <w:rFonts w:hint="eastAsia" w:ascii="宋体" w:hAnsi="宋体" w:eastAsia="宋体" w:cs="宋体"/>
                <w:color w:val="000000" w:themeColor="text1"/>
                <w:sz w:val="28"/>
                <w:szCs w:val="28"/>
                <w:vertAlign w:val="baseline"/>
                <w:lang w:eastAsia="zh-CN"/>
                <w14:textFill>
                  <w14:solidFill>
                    <w14:schemeClr w14:val="tx1"/>
                  </w14:solidFill>
                </w14:textFill>
              </w:rPr>
              <w:t>按环评报告确定四周设防距离</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做好规划控制工作，确保卫生防护距离内不规划学校、医院、居民等环境敏感点。</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五、</w:t>
            </w:r>
            <w:r>
              <w:rPr>
                <w:rFonts w:hint="eastAsia" w:ascii="宋体" w:hAnsi="宋体" w:eastAsia="宋体" w:cs="宋体"/>
                <w:sz w:val="28"/>
                <w:szCs w:val="28"/>
                <w:vertAlign w:val="baseline"/>
              </w:rPr>
              <w:t>项目</w:t>
            </w:r>
            <w:r>
              <w:rPr>
                <w:rFonts w:hint="eastAsia" w:ascii="宋体" w:hAnsi="宋体" w:eastAsia="宋体" w:cs="宋体"/>
                <w:sz w:val="28"/>
                <w:szCs w:val="28"/>
                <w:vertAlign w:val="baseline"/>
                <w:lang w:eastAsia="zh-CN"/>
              </w:rPr>
              <w:t>建成</w:t>
            </w:r>
            <w:r>
              <w:rPr>
                <w:rFonts w:hint="eastAsia" w:ascii="宋体" w:hAnsi="宋体" w:eastAsia="宋体" w:cs="宋体"/>
                <w:sz w:val="28"/>
                <w:szCs w:val="28"/>
                <w:vertAlign w:val="baseline"/>
              </w:rPr>
              <w:t>后，</w:t>
            </w:r>
            <w:r>
              <w:rPr>
                <w:rFonts w:hint="eastAsia" w:ascii="宋体" w:hAnsi="宋体" w:eastAsia="宋体" w:cs="宋体"/>
                <w:sz w:val="28"/>
                <w:szCs w:val="28"/>
                <w:vertAlign w:val="baseline"/>
                <w:lang w:eastAsia="zh-CN"/>
              </w:rPr>
              <w:t>按照生态环境部《固定污染源排污许可分类管理名录》规定的时限，及时办理排污许可证，并</w:t>
            </w:r>
            <w:r>
              <w:rPr>
                <w:rFonts w:hint="eastAsia" w:ascii="宋体" w:hAnsi="宋体" w:eastAsia="宋体" w:cs="宋体"/>
                <w:sz w:val="28"/>
                <w:szCs w:val="28"/>
                <w:vertAlign w:val="baseline"/>
              </w:rPr>
              <w:t>按规定程序</w:t>
            </w:r>
            <w:r>
              <w:rPr>
                <w:rFonts w:hint="eastAsia" w:ascii="宋体" w:hAnsi="宋体" w:eastAsia="宋体" w:cs="宋体"/>
                <w:sz w:val="28"/>
                <w:szCs w:val="28"/>
                <w:vertAlign w:val="baseline"/>
                <w:lang w:eastAsia="zh-CN"/>
              </w:rPr>
              <w:t>和要求进行</w:t>
            </w:r>
            <w:r>
              <w:rPr>
                <w:rFonts w:hint="eastAsia" w:ascii="宋体" w:hAnsi="宋体" w:eastAsia="宋体" w:cs="宋体"/>
                <w:sz w:val="28"/>
                <w:szCs w:val="28"/>
                <w:vertAlign w:val="baseline"/>
              </w:rPr>
              <w:t>环境保护</w:t>
            </w:r>
            <w:r>
              <w:rPr>
                <w:rFonts w:hint="eastAsia" w:ascii="宋体" w:hAnsi="宋体" w:eastAsia="宋体" w:cs="宋体"/>
                <w:sz w:val="28"/>
                <w:szCs w:val="28"/>
                <w:vertAlign w:val="baseline"/>
                <w:lang w:eastAsia="zh-CN"/>
              </w:rPr>
              <w:t>竣工</w:t>
            </w:r>
            <w:r>
              <w:rPr>
                <w:rFonts w:hint="eastAsia" w:ascii="宋体" w:hAnsi="宋体" w:eastAsia="宋体" w:cs="宋体"/>
                <w:sz w:val="28"/>
                <w:szCs w:val="28"/>
                <w:vertAlign w:val="baseline"/>
              </w:rPr>
              <w:t>验收。</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六、按大气污染防治要求，安装废气在线监测、监控设施和用电量监控系统，并与环保部门监控平台联网。</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七</w:t>
            </w:r>
            <w:r>
              <w:rPr>
                <w:rFonts w:hint="eastAsia" w:ascii="宋体" w:hAnsi="宋体" w:eastAsia="宋体" w:cs="宋体"/>
                <w:sz w:val="28"/>
                <w:szCs w:val="28"/>
                <w:vertAlign w:val="baseline"/>
              </w:rPr>
              <w:t>、本批复下达之日起5年内有效。</w:t>
            </w:r>
            <w:r>
              <w:rPr>
                <w:rFonts w:hint="eastAsia" w:ascii="宋体" w:hAnsi="宋体" w:eastAsia="宋体" w:cs="宋体"/>
                <w:sz w:val="28"/>
                <w:szCs w:val="28"/>
                <w:vertAlign w:val="baseline"/>
                <w:lang w:eastAsia="zh-CN"/>
              </w:rPr>
              <w:t>项目的性质、规模、地点、采用的生产工艺或者污染防治措施发生重大变化的，应当重新报批项目的环境影响评价文件。如该项目逾期方开工建设，其环境影响报告表应报我局重新审核。</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eastAsia="zh-CN"/>
              </w:rPr>
              <w:t>八、如</w:t>
            </w:r>
            <w:r>
              <w:rPr>
                <w:rFonts w:hint="eastAsia" w:ascii="宋体" w:hAnsi="宋体" w:eastAsia="宋体" w:cs="宋体"/>
                <w:spacing w:val="-6"/>
                <w:sz w:val="28"/>
                <w:szCs w:val="28"/>
                <w:vertAlign w:val="baseline"/>
                <w:lang w:eastAsia="zh-CN"/>
              </w:rPr>
              <w:t>果今后国家或我省颁布新的标准，届时你公司应按新标准执行。</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440" w:lineRule="exact"/>
              <w:ind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经办人：</w:t>
            </w: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440" w:lineRule="exact"/>
              <w:ind w:firstLine="640"/>
              <w:jc w:val="center"/>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rPr>
              <w:t>新乡县环境保护局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 xml:space="preserve">                            2020年5月6日</w:t>
            </w:r>
          </w:p>
          <w:p>
            <w:pPr>
              <w:tabs>
                <w:tab w:val="left" w:pos="8280"/>
              </w:tabs>
              <w:ind w:right="-315" w:rightChars="-150"/>
              <w:rPr>
                <w:color w:val="262626"/>
              </w:rPr>
            </w:pPr>
            <w:r>
              <w:rPr>
                <w:rFonts w:hint="eastAsia"/>
                <w:color w:val="262626"/>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pStyle w:val="4"/>
              <w:spacing w:before="0" w:beforeAutospacing="0" w:after="0" w:afterAutospacing="0" w:line="525" w:lineRule="atLeast"/>
              <w:ind w:firstLine="480" w:firstLineChars="200"/>
              <w:rPr>
                <w:color w:val="262626"/>
              </w:rPr>
            </w:pPr>
            <w:r>
              <w:rPr>
                <w:rFonts w:hint="eastAsia"/>
                <w:color w:val="262626"/>
              </w:rPr>
              <w:t>联系地址：新乡市</w:t>
            </w:r>
            <w:r>
              <w:rPr>
                <w:rFonts w:hint="eastAsia"/>
                <w:color w:val="262626"/>
                <w:lang w:eastAsia="zh-CN"/>
              </w:rPr>
              <w:t>新乡县金融大道商务中心</w:t>
            </w:r>
            <w:r>
              <w:rPr>
                <w:rFonts w:hint="eastAsia"/>
                <w:color w:val="262626"/>
              </w:rPr>
              <w:t>，邮编：453</w:t>
            </w:r>
            <w:r>
              <w:rPr>
                <w:rFonts w:hint="eastAsia"/>
                <w:color w:val="262626"/>
                <w:lang w:val="en-US" w:eastAsia="zh-CN"/>
              </w:rPr>
              <w:t>6</w:t>
            </w:r>
            <w:r>
              <w:rPr>
                <w:rFonts w:hint="eastAsia"/>
                <w:color w:val="262626"/>
              </w:rPr>
              <w:t>00</w:t>
            </w:r>
          </w:p>
          <w:p>
            <w:pPr>
              <w:ind w:firstLine="480" w:firstLineChars="200"/>
              <w:rPr>
                <w:rFonts w:hint="default" w:ascii="宋体" w:hAnsi="宋体" w:cs="宋体" w:eastAsiaTheme="minorEastAsia"/>
                <w:color w:val="262626"/>
                <w:kern w:val="0"/>
                <w:sz w:val="24"/>
                <w:lang w:val="en-US" w:eastAsia="zh-CN"/>
              </w:rPr>
            </w:pPr>
            <w:r>
              <w:rPr>
                <w:rFonts w:hint="eastAsia" w:ascii="宋体" w:hAnsi="宋体" w:cs="宋体"/>
                <w:color w:val="262626"/>
                <w:kern w:val="0"/>
                <w:sz w:val="24"/>
              </w:rPr>
              <w:t>联系电话：0373-</w:t>
            </w:r>
            <w:r>
              <w:rPr>
                <w:rFonts w:hint="eastAsia" w:ascii="宋体" w:hAnsi="宋体" w:cs="宋体"/>
                <w:color w:val="262626"/>
                <w:kern w:val="0"/>
                <w:sz w:val="24"/>
                <w:lang w:val="en-US" w:eastAsia="zh-CN"/>
              </w:rPr>
              <w:t>5618805</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center"/>
              <w:textAlignment w:val="auto"/>
              <w:outlineLvl w:val="9"/>
              <w:rPr>
                <w:rFonts w:hint="eastAsia"/>
                <w:vertAlign w:val="baseline"/>
              </w:rPr>
            </w:pPr>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rPr>
              <w:t xml:space="preserve"> </w:t>
            </w:r>
          </w:p>
        </w:tc>
      </w:tr>
    </w:tbl>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0219BD"/>
    <w:rsid w:val="00366822"/>
    <w:rsid w:val="00D75969"/>
    <w:rsid w:val="01166CC2"/>
    <w:rsid w:val="017D5B69"/>
    <w:rsid w:val="018A3977"/>
    <w:rsid w:val="019155B0"/>
    <w:rsid w:val="028228A3"/>
    <w:rsid w:val="02D66B05"/>
    <w:rsid w:val="02DC20C2"/>
    <w:rsid w:val="0310085A"/>
    <w:rsid w:val="035B4ACA"/>
    <w:rsid w:val="03CF7849"/>
    <w:rsid w:val="0485304B"/>
    <w:rsid w:val="05B5545D"/>
    <w:rsid w:val="067544E5"/>
    <w:rsid w:val="06897E15"/>
    <w:rsid w:val="06C67556"/>
    <w:rsid w:val="06C746CC"/>
    <w:rsid w:val="071978CA"/>
    <w:rsid w:val="0747353F"/>
    <w:rsid w:val="0749319D"/>
    <w:rsid w:val="08B905EF"/>
    <w:rsid w:val="08EC09A8"/>
    <w:rsid w:val="091D6C37"/>
    <w:rsid w:val="095B56A3"/>
    <w:rsid w:val="098C4F15"/>
    <w:rsid w:val="09DD61B1"/>
    <w:rsid w:val="0A7118F2"/>
    <w:rsid w:val="0AD96A5E"/>
    <w:rsid w:val="0B1D0576"/>
    <w:rsid w:val="0B3770E1"/>
    <w:rsid w:val="0B97455C"/>
    <w:rsid w:val="0BA32B7D"/>
    <w:rsid w:val="0C95587D"/>
    <w:rsid w:val="0D6B3D38"/>
    <w:rsid w:val="0EDE3F8E"/>
    <w:rsid w:val="116577B2"/>
    <w:rsid w:val="11725D25"/>
    <w:rsid w:val="1189194D"/>
    <w:rsid w:val="11953944"/>
    <w:rsid w:val="11E46069"/>
    <w:rsid w:val="12996ECD"/>
    <w:rsid w:val="12F9188D"/>
    <w:rsid w:val="141D2373"/>
    <w:rsid w:val="141E5CAE"/>
    <w:rsid w:val="144460EF"/>
    <w:rsid w:val="146144C8"/>
    <w:rsid w:val="14902342"/>
    <w:rsid w:val="15C922E4"/>
    <w:rsid w:val="1644041E"/>
    <w:rsid w:val="16711D71"/>
    <w:rsid w:val="16817F18"/>
    <w:rsid w:val="16B05670"/>
    <w:rsid w:val="16C11989"/>
    <w:rsid w:val="16DC0C18"/>
    <w:rsid w:val="178C0B83"/>
    <w:rsid w:val="180633F7"/>
    <w:rsid w:val="184952E2"/>
    <w:rsid w:val="1A826A1E"/>
    <w:rsid w:val="1BA05B5E"/>
    <w:rsid w:val="1BB6090F"/>
    <w:rsid w:val="1C363243"/>
    <w:rsid w:val="1CBC313A"/>
    <w:rsid w:val="1D976CA9"/>
    <w:rsid w:val="1E186913"/>
    <w:rsid w:val="1E1A30CF"/>
    <w:rsid w:val="1EAA68DC"/>
    <w:rsid w:val="1FA34BC0"/>
    <w:rsid w:val="1FC85F08"/>
    <w:rsid w:val="1FEA569B"/>
    <w:rsid w:val="1FFB0FA6"/>
    <w:rsid w:val="21081E14"/>
    <w:rsid w:val="212146F1"/>
    <w:rsid w:val="21427F4E"/>
    <w:rsid w:val="21525AE3"/>
    <w:rsid w:val="219F3BD5"/>
    <w:rsid w:val="225C0BC5"/>
    <w:rsid w:val="23573F2C"/>
    <w:rsid w:val="240F08BB"/>
    <w:rsid w:val="24A97B03"/>
    <w:rsid w:val="25006461"/>
    <w:rsid w:val="25A03248"/>
    <w:rsid w:val="260A4230"/>
    <w:rsid w:val="262075C9"/>
    <w:rsid w:val="2631315F"/>
    <w:rsid w:val="269E27ED"/>
    <w:rsid w:val="26BC00F3"/>
    <w:rsid w:val="2739164A"/>
    <w:rsid w:val="27771117"/>
    <w:rsid w:val="27F47B62"/>
    <w:rsid w:val="28D561F5"/>
    <w:rsid w:val="2904030E"/>
    <w:rsid w:val="297C242C"/>
    <w:rsid w:val="29AC17F7"/>
    <w:rsid w:val="29CC02FB"/>
    <w:rsid w:val="2A9E7499"/>
    <w:rsid w:val="2B2D3722"/>
    <w:rsid w:val="2B913320"/>
    <w:rsid w:val="2C307D4A"/>
    <w:rsid w:val="2C7F018E"/>
    <w:rsid w:val="2CDD420E"/>
    <w:rsid w:val="2DBD3E67"/>
    <w:rsid w:val="2E0C10AF"/>
    <w:rsid w:val="2E0E664D"/>
    <w:rsid w:val="2E7A4C98"/>
    <w:rsid w:val="2F793FEF"/>
    <w:rsid w:val="2FE971FC"/>
    <w:rsid w:val="30842A66"/>
    <w:rsid w:val="30AA0007"/>
    <w:rsid w:val="317F54C2"/>
    <w:rsid w:val="31EC016F"/>
    <w:rsid w:val="32280D3B"/>
    <w:rsid w:val="32DB0A92"/>
    <w:rsid w:val="333E530C"/>
    <w:rsid w:val="336D0DD2"/>
    <w:rsid w:val="338F5945"/>
    <w:rsid w:val="346213B1"/>
    <w:rsid w:val="3501139C"/>
    <w:rsid w:val="350F147C"/>
    <w:rsid w:val="353E42A5"/>
    <w:rsid w:val="35D83E6B"/>
    <w:rsid w:val="36451647"/>
    <w:rsid w:val="36787C4F"/>
    <w:rsid w:val="37397E72"/>
    <w:rsid w:val="37A448A5"/>
    <w:rsid w:val="37D131DD"/>
    <w:rsid w:val="383D222A"/>
    <w:rsid w:val="385C08A3"/>
    <w:rsid w:val="390F1F94"/>
    <w:rsid w:val="39A23655"/>
    <w:rsid w:val="3A616ADB"/>
    <w:rsid w:val="3AD92619"/>
    <w:rsid w:val="3B221DEF"/>
    <w:rsid w:val="3B6C64D7"/>
    <w:rsid w:val="3B7B0E75"/>
    <w:rsid w:val="3DB43B9C"/>
    <w:rsid w:val="3DBD7D4B"/>
    <w:rsid w:val="3DE52EE8"/>
    <w:rsid w:val="3E6B3C4E"/>
    <w:rsid w:val="3F3A5BF8"/>
    <w:rsid w:val="3F703939"/>
    <w:rsid w:val="3F9E6513"/>
    <w:rsid w:val="3FA54BF6"/>
    <w:rsid w:val="400B0D82"/>
    <w:rsid w:val="407E0EC3"/>
    <w:rsid w:val="420A37AC"/>
    <w:rsid w:val="42744F22"/>
    <w:rsid w:val="42F22293"/>
    <w:rsid w:val="431C250B"/>
    <w:rsid w:val="436974C4"/>
    <w:rsid w:val="43B84227"/>
    <w:rsid w:val="43F27C7E"/>
    <w:rsid w:val="444A50A8"/>
    <w:rsid w:val="448A15FC"/>
    <w:rsid w:val="448E5741"/>
    <w:rsid w:val="44AF63EE"/>
    <w:rsid w:val="46DB3F33"/>
    <w:rsid w:val="4734745A"/>
    <w:rsid w:val="47653A9F"/>
    <w:rsid w:val="47AD2233"/>
    <w:rsid w:val="491475A6"/>
    <w:rsid w:val="49327430"/>
    <w:rsid w:val="49632CBE"/>
    <w:rsid w:val="4995745B"/>
    <w:rsid w:val="4AEE73FC"/>
    <w:rsid w:val="4B3138B0"/>
    <w:rsid w:val="4B770C32"/>
    <w:rsid w:val="4B8B7B39"/>
    <w:rsid w:val="4BFE5131"/>
    <w:rsid w:val="4C754CA5"/>
    <w:rsid w:val="4C784044"/>
    <w:rsid w:val="4CA70326"/>
    <w:rsid w:val="4CC81579"/>
    <w:rsid w:val="4CEA7F0C"/>
    <w:rsid w:val="4D3D111F"/>
    <w:rsid w:val="4D5044C8"/>
    <w:rsid w:val="4DB30B9C"/>
    <w:rsid w:val="4EB12CC0"/>
    <w:rsid w:val="4ECA56B5"/>
    <w:rsid w:val="4ECD6FDA"/>
    <w:rsid w:val="4EDA5EE4"/>
    <w:rsid w:val="4EFB1B67"/>
    <w:rsid w:val="4F0E5091"/>
    <w:rsid w:val="4F27006D"/>
    <w:rsid w:val="4FBC0391"/>
    <w:rsid w:val="4FED0A3C"/>
    <w:rsid w:val="4FF90AAD"/>
    <w:rsid w:val="5140241A"/>
    <w:rsid w:val="5180359E"/>
    <w:rsid w:val="51F900D7"/>
    <w:rsid w:val="52E37785"/>
    <w:rsid w:val="52ED7382"/>
    <w:rsid w:val="53373138"/>
    <w:rsid w:val="539D1090"/>
    <w:rsid w:val="540422B6"/>
    <w:rsid w:val="540D7E26"/>
    <w:rsid w:val="545A2831"/>
    <w:rsid w:val="547A2950"/>
    <w:rsid w:val="54B84D1C"/>
    <w:rsid w:val="54C12286"/>
    <w:rsid w:val="54C7515C"/>
    <w:rsid w:val="55764681"/>
    <w:rsid w:val="56124160"/>
    <w:rsid w:val="56150D58"/>
    <w:rsid w:val="56C36BDD"/>
    <w:rsid w:val="571A4EDF"/>
    <w:rsid w:val="582779DA"/>
    <w:rsid w:val="58A1256C"/>
    <w:rsid w:val="58E16081"/>
    <w:rsid w:val="59687E9B"/>
    <w:rsid w:val="59950F47"/>
    <w:rsid w:val="59C71AB9"/>
    <w:rsid w:val="5A2C40E8"/>
    <w:rsid w:val="5A436D58"/>
    <w:rsid w:val="5AAA49D1"/>
    <w:rsid w:val="5B104B9B"/>
    <w:rsid w:val="5B491B47"/>
    <w:rsid w:val="5C152D4D"/>
    <w:rsid w:val="5C9E3C6F"/>
    <w:rsid w:val="5CDC4A3F"/>
    <w:rsid w:val="5CDD02FB"/>
    <w:rsid w:val="5CE6417D"/>
    <w:rsid w:val="5D1B5229"/>
    <w:rsid w:val="5E36065A"/>
    <w:rsid w:val="5E6F0B24"/>
    <w:rsid w:val="5F026F34"/>
    <w:rsid w:val="5FCF2D6D"/>
    <w:rsid w:val="60124C14"/>
    <w:rsid w:val="614D245D"/>
    <w:rsid w:val="61764C74"/>
    <w:rsid w:val="626D2A39"/>
    <w:rsid w:val="629921E7"/>
    <w:rsid w:val="646F5D11"/>
    <w:rsid w:val="65600C06"/>
    <w:rsid w:val="65E9358D"/>
    <w:rsid w:val="66D07ABE"/>
    <w:rsid w:val="67FE4D7A"/>
    <w:rsid w:val="680405E8"/>
    <w:rsid w:val="68B32B93"/>
    <w:rsid w:val="699C0906"/>
    <w:rsid w:val="6A030CFC"/>
    <w:rsid w:val="6A4D4300"/>
    <w:rsid w:val="6B3E35DA"/>
    <w:rsid w:val="6B8E6648"/>
    <w:rsid w:val="6BF64A94"/>
    <w:rsid w:val="6BFB7679"/>
    <w:rsid w:val="6C4C21E7"/>
    <w:rsid w:val="6CB70AFB"/>
    <w:rsid w:val="6DD85620"/>
    <w:rsid w:val="6E110328"/>
    <w:rsid w:val="6E2825D6"/>
    <w:rsid w:val="6E575F6E"/>
    <w:rsid w:val="6ECE6426"/>
    <w:rsid w:val="6EF9633A"/>
    <w:rsid w:val="6F0A5F77"/>
    <w:rsid w:val="6FE730C0"/>
    <w:rsid w:val="70367D47"/>
    <w:rsid w:val="70BA0D2B"/>
    <w:rsid w:val="70D35898"/>
    <w:rsid w:val="70E52A17"/>
    <w:rsid w:val="71217B1C"/>
    <w:rsid w:val="715029C4"/>
    <w:rsid w:val="71603B54"/>
    <w:rsid w:val="716C14D7"/>
    <w:rsid w:val="71781FCE"/>
    <w:rsid w:val="717E3158"/>
    <w:rsid w:val="71892882"/>
    <w:rsid w:val="71AC5E53"/>
    <w:rsid w:val="71CB5327"/>
    <w:rsid w:val="72185E1F"/>
    <w:rsid w:val="725267CD"/>
    <w:rsid w:val="73AF72B1"/>
    <w:rsid w:val="73C41C3A"/>
    <w:rsid w:val="74443FB4"/>
    <w:rsid w:val="747C3AAE"/>
    <w:rsid w:val="74B841C2"/>
    <w:rsid w:val="74BD3E4D"/>
    <w:rsid w:val="75351251"/>
    <w:rsid w:val="756B415C"/>
    <w:rsid w:val="75881BD6"/>
    <w:rsid w:val="75AE4990"/>
    <w:rsid w:val="75DF369F"/>
    <w:rsid w:val="76D016E2"/>
    <w:rsid w:val="77396C62"/>
    <w:rsid w:val="775E3A27"/>
    <w:rsid w:val="77A10D34"/>
    <w:rsid w:val="77C245A4"/>
    <w:rsid w:val="77EF34C9"/>
    <w:rsid w:val="787C41F5"/>
    <w:rsid w:val="7896326B"/>
    <w:rsid w:val="78A71751"/>
    <w:rsid w:val="78E4372C"/>
    <w:rsid w:val="79902828"/>
    <w:rsid w:val="79DE3185"/>
    <w:rsid w:val="7AA63CAE"/>
    <w:rsid w:val="7AAD209B"/>
    <w:rsid w:val="7ACD67F4"/>
    <w:rsid w:val="7AD54E21"/>
    <w:rsid w:val="7D3A7DBF"/>
    <w:rsid w:val="7D5406AE"/>
    <w:rsid w:val="7D6873B3"/>
    <w:rsid w:val="7E91605C"/>
    <w:rsid w:val="7E9F1BC9"/>
    <w:rsid w:val="7F561F13"/>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G</cp:lastModifiedBy>
  <cp:lastPrinted>2019-10-30T02:08:00Z</cp:lastPrinted>
  <dcterms:modified xsi:type="dcterms:W3CDTF">2020-05-07T02:35:53Z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