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eastAsia="宋体"/>
          <w:color w:val="FF0000"/>
          <w:sz w:val="28"/>
          <w:lang w:eastAsia="zh-CN"/>
        </w:rPr>
      </w:pPr>
    </w:p>
    <w:p>
      <w:pPr>
        <w:spacing w:line="240" w:lineRule="auto"/>
        <w:rPr>
          <w:rFonts w:hint="eastAsia" w:eastAsia="宋体"/>
          <w:color w:val="FF0000"/>
          <w:sz w:val="28"/>
          <w:lang w:eastAsia="zh-CN"/>
        </w:rPr>
      </w:pPr>
      <w:bookmarkStart w:id="5" w:name="_GoBack"/>
      <w:r>
        <w:rPr>
          <w:rFonts w:hint="eastAsia" w:eastAsia="宋体"/>
          <w:color w:val="FF0000"/>
          <w:sz w:val="28"/>
          <w:lang w:eastAsia="zh-CN"/>
        </w:rPr>
        <w:drawing>
          <wp:inline distT="0" distB="0" distL="114300" distR="114300">
            <wp:extent cx="5948680" cy="8257540"/>
            <wp:effectExtent l="0" t="0" r="13970" b="10160"/>
            <wp:docPr id="10" name="图片 10" descr="1599119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599119032(1)"/>
                    <pic:cNvPicPr>
                      <a:picLocks noChangeAspect="1"/>
                    </pic:cNvPicPr>
                  </pic:nvPicPr>
                  <pic:blipFill>
                    <a:blip r:embed="rId6"/>
                    <a:stretch>
                      <a:fillRect/>
                    </a:stretch>
                  </pic:blipFill>
                  <pic:spPr>
                    <a:xfrm>
                      <a:off x="0" y="0"/>
                      <a:ext cx="5948680" cy="8257540"/>
                    </a:xfrm>
                    <a:prstGeom prst="rect">
                      <a:avLst/>
                    </a:prstGeom>
                  </pic:spPr>
                </pic:pic>
              </a:graphicData>
            </a:graphic>
          </wp:inline>
        </w:drawing>
      </w:r>
      <w:bookmarkEnd w:id="5"/>
    </w:p>
    <w:p>
      <w:pPr>
        <w:spacing w:line="240" w:lineRule="auto"/>
        <w:rPr>
          <w:rFonts w:hint="default" w:eastAsia="宋体"/>
          <w:color w:val="FF0000"/>
          <w:sz w:val="28"/>
          <w:lang w:val="en-US" w:eastAsia="zh-CN"/>
        </w:rPr>
      </w:pPr>
      <w:r>
        <w:rPr>
          <w:rFonts w:hint="eastAsia" w:eastAsia="宋体"/>
          <w:color w:val="FF0000"/>
          <w:sz w:val="28"/>
          <w:lang w:eastAsia="zh-CN"/>
        </w:rPr>
        <w:drawing>
          <wp:inline distT="0" distB="0" distL="114300" distR="114300">
            <wp:extent cx="6269990" cy="8869680"/>
            <wp:effectExtent l="0" t="0" r="16510" b="7620"/>
            <wp:docPr id="9" name="图片 9" descr="鑫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鑫达1"/>
                    <pic:cNvPicPr>
                      <a:picLocks noChangeAspect="1"/>
                    </pic:cNvPicPr>
                  </pic:nvPicPr>
                  <pic:blipFill>
                    <a:blip r:embed="rId7"/>
                    <a:stretch>
                      <a:fillRect/>
                    </a:stretch>
                  </pic:blipFill>
                  <pic:spPr>
                    <a:xfrm>
                      <a:off x="0" y="0"/>
                      <a:ext cx="6269990" cy="8869680"/>
                    </a:xfrm>
                    <a:prstGeom prst="rect">
                      <a:avLst/>
                    </a:prstGeom>
                  </pic:spPr>
                </pic:pic>
              </a:graphicData>
            </a:graphic>
          </wp:inline>
        </w:drawing>
      </w:r>
    </w:p>
    <w:p>
      <w:pPr>
        <w:spacing w:line="240" w:lineRule="auto"/>
        <w:rPr>
          <w:color w:val="FF0000"/>
          <w:sz w:val="28"/>
        </w:rPr>
      </w:pPr>
      <w:r>
        <w:rPr>
          <w:rFonts w:hint="eastAsia" w:eastAsia="宋体"/>
          <w:color w:val="FF0000"/>
          <w:sz w:val="28"/>
          <w:lang w:eastAsia="zh-CN"/>
        </w:rPr>
        <w:drawing>
          <wp:inline distT="0" distB="0" distL="114300" distR="114300">
            <wp:extent cx="6269990" cy="8869680"/>
            <wp:effectExtent l="0" t="0" r="16510" b="7620"/>
            <wp:docPr id="8" name="图片 8" descr="鑫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鑫达2"/>
                    <pic:cNvPicPr>
                      <a:picLocks noChangeAspect="1"/>
                    </pic:cNvPicPr>
                  </pic:nvPicPr>
                  <pic:blipFill>
                    <a:blip r:embed="rId8"/>
                    <a:stretch>
                      <a:fillRect/>
                    </a:stretch>
                  </pic:blipFill>
                  <pic:spPr>
                    <a:xfrm>
                      <a:off x="0" y="0"/>
                      <a:ext cx="6269990" cy="88696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hAnsi="宋体"/>
          <w:b/>
          <w:sz w:val="32"/>
          <w:szCs w:val="32"/>
        </w:rPr>
      </w:pPr>
      <w:r>
        <w:drawing>
          <wp:inline distT="0" distB="0" distL="114300" distR="114300">
            <wp:extent cx="6349365" cy="8982710"/>
            <wp:effectExtent l="0" t="0" r="13335" b="8890"/>
            <wp:docPr id="7" name="图片 7" descr="鑫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鑫达3"/>
                    <pic:cNvPicPr>
                      <a:picLocks noChangeAspect="1"/>
                    </pic:cNvPicPr>
                  </pic:nvPicPr>
                  <pic:blipFill>
                    <a:blip r:embed="rId9"/>
                    <a:stretch>
                      <a:fillRect/>
                    </a:stretch>
                  </pic:blipFill>
                  <pic:spPr>
                    <a:xfrm>
                      <a:off x="0" y="0"/>
                      <a:ext cx="6349365" cy="8982710"/>
                    </a:xfrm>
                    <a:prstGeom prst="rect">
                      <a:avLst/>
                    </a:prstGeom>
                  </pic:spPr>
                </pic:pic>
              </a:graphicData>
            </a:graphic>
          </wp:inline>
        </w:drawing>
      </w:r>
      <w:r>
        <w:drawing>
          <wp:inline distT="0" distB="0" distL="114300" distR="114300">
            <wp:extent cx="6338570" cy="8962390"/>
            <wp:effectExtent l="0" t="0" r="5080" b="1016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6338570" cy="896239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hAnsi="宋体" w:eastAsia="宋体"/>
          <w:b/>
          <w:sz w:val="32"/>
          <w:szCs w:val="32"/>
          <w:lang w:eastAsia="zh-CN"/>
        </w:rPr>
      </w:pPr>
      <w:r>
        <w:rPr>
          <w:rFonts w:hint="eastAsia" w:hAnsi="宋体" w:eastAsia="宋体"/>
          <w:b/>
          <w:sz w:val="32"/>
          <w:szCs w:val="32"/>
          <w:lang w:eastAsia="zh-CN"/>
        </w:rPr>
        <w:drawing>
          <wp:inline distT="0" distB="0" distL="114300" distR="114300">
            <wp:extent cx="6447790" cy="8575040"/>
            <wp:effectExtent l="0" t="0" r="10160" b="16510"/>
            <wp:docPr id="5" name="图片 5" descr="1599118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599118717(1)"/>
                    <pic:cNvPicPr>
                      <a:picLocks noChangeAspect="1"/>
                    </pic:cNvPicPr>
                  </pic:nvPicPr>
                  <pic:blipFill>
                    <a:blip r:embed="rId11"/>
                    <a:stretch>
                      <a:fillRect/>
                    </a:stretch>
                  </pic:blipFill>
                  <pic:spPr>
                    <a:xfrm>
                      <a:off x="0" y="0"/>
                      <a:ext cx="6447790" cy="8575040"/>
                    </a:xfrm>
                    <a:prstGeom prst="rect">
                      <a:avLst/>
                    </a:prstGeom>
                  </pic:spPr>
                </pic:pic>
              </a:graphicData>
            </a:graphic>
          </wp:inline>
        </w:drawing>
      </w:r>
    </w:p>
    <w:p>
      <w:pPr>
        <w:pStyle w:val="2"/>
        <w:ind w:left="0" w:leftChars="0" w:firstLine="0" w:firstLineChars="0"/>
        <w:rPr>
          <w:rFonts w:hint="eastAsia" w:hAnsi="宋体"/>
          <w:b/>
          <w:sz w:val="32"/>
          <w:szCs w:val="32"/>
        </w:rPr>
        <w:sectPr>
          <w:footerReference r:id="rId3" w:type="default"/>
          <w:footerReference r:id="rId4" w:type="even"/>
          <w:pgSz w:w="11906" w:h="16838"/>
          <w:pgMar w:top="1134" w:right="1417" w:bottom="1134" w:left="1417" w:header="851" w:footer="992" w:gutter="0"/>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lang w:eastAsia="zh-CN"/>
        </w:rPr>
        <w:sectPr>
          <w:pgSz w:w="16838" w:h="11906" w:orient="landscape"/>
          <w:pgMar w:top="1417" w:right="1134" w:bottom="1417" w:left="1134" w:header="851" w:footer="992" w:gutter="0"/>
          <w:cols w:space="0" w:num="1"/>
          <w:rtlGutter w:val="0"/>
          <w:docGrid w:type="lines" w:linePitch="312" w:charSpace="0"/>
        </w:sectPr>
      </w:pPr>
      <w:r>
        <w:rPr>
          <w:rFonts w:hint="eastAsia" w:hAnsi="宋体" w:eastAsia="宋体"/>
          <w:b/>
          <w:sz w:val="32"/>
          <w:szCs w:val="32"/>
          <w:lang w:eastAsia="zh-CN"/>
        </w:rPr>
        <w:drawing>
          <wp:inline distT="0" distB="0" distL="114300" distR="114300">
            <wp:extent cx="8385810" cy="5775960"/>
            <wp:effectExtent l="0" t="0" r="15240" b="15240"/>
            <wp:docPr id="4" name="图片 4" descr="1599118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99118245(1)"/>
                    <pic:cNvPicPr>
                      <a:picLocks noChangeAspect="1"/>
                    </pic:cNvPicPr>
                  </pic:nvPicPr>
                  <pic:blipFill>
                    <a:blip r:embed="rId12"/>
                    <a:stretch>
                      <a:fillRect/>
                    </a:stretch>
                  </pic:blipFill>
                  <pic:spPr>
                    <a:xfrm>
                      <a:off x="0" y="0"/>
                      <a:ext cx="8385810" cy="5775960"/>
                    </a:xfrm>
                    <a:prstGeom prst="rect">
                      <a:avLst/>
                    </a:prstGeom>
                  </pic:spPr>
                </pic:pic>
              </a:graphicData>
            </a:graphic>
          </wp:inline>
        </w:drawing>
      </w:r>
    </w:p>
    <w:p>
      <w:pPr>
        <w:spacing w:line="500" w:lineRule="exact"/>
        <w:outlineLvl w:val="0"/>
        <w:rPr>
          <w:b/>
          <w:sz w:val="32"/>
          <w:szCs w:val="32"/>
        </w:rPr>
      </w:pPr>
      <w:r>
        <w:rPr>
          <w:rFonts w:hint="eastAsia" w:hAnsi="宋体"/>
          <w:b/>
          <w:sz w:val="32"/>
          <w:szCs w:val="32"/>
        </w:rPr>
        <w:t>建设项目基本情况</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57" w:type="dxa"/>
          <w:bottom w:w="0" w:type="dxa"/>
          <w:right w:w="57" w:type="dxa"/>
        </w:tblCellMar>
      </w:tblPr>
      <w:tblGrid>
        <w:gridCol w:w="1343"/>
        <w:gridCol w:w="1602"/>
        <w:gridCol w:w="1846"/>
        <w:gridCol w:w="1315"/>
        <w:gridCol w:w="1577"/>
        <w:gridCol w:w="150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75" w:hRule="atLeast"/>
          <w:jc w:val="center"/>
        </w:trPr>
        <w:tc>
          <w:tcPr>
            <w:tcW w:w="1346" w:type="dxa"/>
            <w:vAlign w:val="center"/>
          </w:tcPr>
          <w:p>
            <w:pPr>
              <w:spacing w:line="400" w:lineRule="exact"/>
              <w:jc w:val="center"/>
              <w:rPr>
                <w:color w:val="000000"/>
                <w:sz w:val="24"/>
              </w:rPr>
            </w:pPr>
            <w:r>
              <w:rPr>
                <w:color w:val="000000"/>
                <w:sz w:val="24"/>
              </w:rPr>
              <w:t>项目名称</w:t>
            </w:r>
          </w:p>
        </w:tc>
        <w:tc>
          <w:tcPr>
            <w:tcW w:w="7918" w:type="dxa"/>
            <w:gridSpan w:val="5"/>
            <w:vAlign w:val="center"/>
          </w:tcPr>
          <w:p>
            <w:pPr>
              <w:spacing w:line="400" w:lineRule="exact"/>
              <w:jc w:val="center"/>
              <w:rPr>
                <w:color w:val="000000"/>
                <w:sz w:val="24"/>
              </w:rPr>
            </w:pPr>
            <w:r>
              <w:rPr>
                <w:rFonts w:hint="eastAsia"/>
                <w:bCs/>
                <w:color w:val="000000"/>
                <w:sz w:val="24"/>
              </w:rPr>
              <w:t>新乡县合河乡鑫达线材厂年产1000吨铁钉项目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233" w:hRule="atLeast"/>
          <w:jc w:val="center"/>
        </w:trPr>
        <w:tc>
          <w:tcPr>
            <w:tcW w:w="1346" w:type="dxa"/>
            <w:vAlign w:val="center"/>
          </w:tcPr>
          <w:p>
            <w:pPr>
              <w:spacing w:line="400" w:lineRule="exact"/>
              <w:jc w:val="center"/>
              <w:rPr>
                <w:color w:val="000000"/>
                <w:sz w:val="24"/>
              </w:rPr>
            </w:pPr>
            <w:r>
              <w:rPr>
                <w:color w:val="000000"/>
                <w:sz w:val="24"/>
              </w:rPr>
              <w:t>建设单位</w:t>
            </w:r>
          </w:p>
        </w:tc>
        <w:tc>
          <w:tcPr>
            <w:tcW w:w="7918" w:type="dxa"/>
            <w:gridSpan w:val="5"/>
            <w:vAlign w:val="center"/>
          </w:tcPr>
          <w:p>
            <w:pPr>
              <w:spacing w:line="400" w:lineRule="exact"/>
              <w:jc w:val="center"/>
              <w:rPr>
                <w:color w:val="000000"/>
                <w:sz w:val="24"/>
              </w:rPr>
            </w:pPr>
            <w:r>
              <w:rPr>
                <w:rFonts w:hint="eastAsia"/>
                <w:color w:val="000000"/>
                <w:sz w:val="24"/>
              </w:rPr>
              <w:t>新乡县合河乡鑫达线材厂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63" w:hRule="atLeast"/>
          <w:jc w:val="center"/>
        </w:trPr>
        <w:tc>
          <w:tcPr>
            <w:tcW w:w="1346" w:type="dxa"/>
            <w:vAlign w:val="center"/>
          </w:tcPr>
          <w:p>
            <w:pPr>
              <w:spacing w:line="400" w:lineRule="exact"/>
              <w:jc w:val="center"/>
              <w:rPr>
                <w:color w:val="000000"/>
                <w:sz w:val="24"/>
              </w:rPr>
            </w:pPr>
            <w:r>
              <w:rPr>
                <w:color w:val="000000"/>
                <w:sz w:val="24"/>
              </w:rPr>
              <w:t>法人代表</w:t>
            </w:r>
          </w:p>
        </w:tc>
        <w:tc>
          <w:tcPr>
            <w:tcW w:w="3515" w:type="dxa"/>
            <w:gridSpan w:val="2"/>
            <w:vAlign w:val="center"/>
          </w:tcPr>
          <w:p>
            <w:pPr>
              <w:jc w:val="center"/>
              <w:rPr>
                <w:color w:val="000000"/>
                <w:sz w:val="24"/>
                <w:highlight w:val="yellow"/>
              </w:rPr>
            </w:pPr>
            <w:r>
              <w:rPr>
                <w:rFonts w:hint="eastAsia"/>
                <w:color w:val="000000"/>
                <w:sz w:val="24"/>
              </w:rPr>
              <w:t>任荣春410721197809301034</w:t>
            </w:r>
          </w:p>
        </w:tc>
        <w:tc>
          <w:tcPr>
            <w:tcW w:w="1318" w:type="dxa"/>
            <w:vAlign w:val="center"/>
          </w:tcPr>
          <w:p>
            <w:pPr>
              <w:jc w:val="center"/>
              <w:rPr>
                <w:color w:val="000000"/>
                <w:sz w:val="24"/>
                <w:highlight w:val="yellow"/>
              </w:rPr>
            </w:pPr>
            <w:r>
              <w:rPr>
                <w:color w:val="000000"/>
                <w:sz w:val="24"/>
              </w:rPr>
              <w:t>联系人</w:t>
            </w:r>
          </w:p>
        </w:tc>
        <w:tc>
          <w:tcPr>
            <w:tcW w:w="3085" w:type="dxa"/>
            <w:gridSpan w:val="2"/>
            <w:vAlign w:val="center"/>
          </w:tcPr>
          <w:p>
            <w:pPr>
              <w:jc w:val="center"/>
              <w:rPr>
                <w:color w:val="000000"/>
                <w:sz w:val="24"/>
                <w:highlight w:val="yellow"/>
              </w:rPr>
            </w:pPr>
            <w:r>
              <w:rPr>
                <w:rFonts w:hint="eastAsia"/>
                <w:color w:val="000000"/>
                <w:sz w:val="24"/>
              </w:rPr>
              <w:t>任荣春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61" w:hRule="atLeast"/>
          <w:jc w:val="center"/>
        </w:trPr>
        <w:tc>
          <w:tcPr>
            <w:tcW w:w="1346" w:type="dxa"/>
            <w:vAlign w:val="center"/>
          </w:tcPr>
          <w:p>
            <w:pPr>
              <w:spacing w:line="400" w:lineRule="exact"/>
              <w:jc w:val="center"/>
              <w:rPr>
                <w:color w:val="000000"/>
                <w:sz w:val="24"/>
              </w:rPr>
            </w:pPr>
            <w:r>
              <w:rPr>
                <w:color w:val="000000"/>
                <w:sz w:val="24"/>
              </w:rPr>
              <w:t>通讯地址</w:t>
            </w:r>
          </w:p>
        </w:tc>
        <w:tc>
          <w:tcPr>
            <w:tcW w:w="7918" w:type="dxa"/>
            <w:gridSpan w:val="5"/>
            <w:vAlign w:val="center"/>
          </w:tcPr>
          <w:p>
            <w:pPr>
              <w:spacing w:line="400" w:lineRule="exact"/>
              <w:jc w:val="center"/>
              <w:rPr>
                <w:color w:val="000000"/>
                <w:sz w:val="24"/>
              </w:rPr>
            </w:pPr>
            <w:r>
              <w:rPr>
                <w:rFonts w:hint="eastAsia"/>
                <w:color w:val="000000"/>
                <w:sz w:val="24"/>
              </w:rPr>
              <w:t>河南省新乡县合河乡贾桥村工业区西头路北4号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60" w:hRule="atLeast"/>
          <w:jc w:val="center"/>
        </w:trPr>
        <w:tc>
          <w:tcPr>
            <w:tcW w:w="1346" w:type="dxa"/>
            <w:vAlign w:val="center"/>
          </w:tcPr>
          <w:p>
            <w:pPr>
              <w:jc w:val="center"/>
              <w:rPr>
                <w:color w:val="000000"/>
                <w:sz w:val="24"/>
              </w:rPr>
            </w:pPr>
            <w:r>
              <w:rPr>
                <w:color w:val="000000"/>
                <w:sz w:val="24"/>
              </w:rPr>
              <w:t>联系电话</w:t>
            </w:r>
          </w:p>
        </w:tc>
        <w:tc>
          <w:tcPr>
            <w:tcW w:w="1605" w:type="dxa"/>
            <w:vAlign w:val="center"/>
          </w:tcPr>
          <w:p>
            <w:pPr>
              <w:jc w:val="center"/>
              <w:rPr>
                <w:color w:val="000000"/>
                <w:sz w:val="24"/>
              </w:rPr>
            </w:pPr>
            <w:r>
              <w:rPr>
                <w:rFonts w:hint="eastAsia"/>
                <w:color w:val="000000"/>
                <w:sz w:val="24"/>
              </w:rPr>
              <w:t>13703739676</w:t>
            </w:r>
          </w:p>
        </w:tc>
        <w:tc>
          <w:tcPr>
            <w:tcW w:w="1910" w:type="dxa"/>
            <w:vAlign w:val="center"/>
          </w:tcPr>
          <w:p>
            <w:pPr>
              <w:jc w:val="center"/>
              <w:rPr>
                <w:color w:val="000000"/>
                <w:sz w:val="24"/>
              </w:rPr>
            </w:pPr>
            <w:r>
              <w:rPr>
                <w:color w:val="000000"/>
                <w:sz w:val="24"/>
              </w:rPr>
              <w:t>传  真</w:t>
            </w:r>
          </w:p>
        </w:tc>
        <w:tc>
          <w:tcPr>
            <w:tcW w:w="1318" w:type="dxa"/>
            <w:vAlign w:val="center"/>
          </w:tcPr>
          <w:p>
            <w:pPr>
              <w:jc w:val="center"/>
              <w:rPr>
                <w:color w:val="000000"/>
                <w:sz w:val="24"/>
              </w:rPr>
            </w:pPr>
            <w:r>
              <w:rPr>
                <w:color w:val="000000"/>
                <w:sz w:val="24"/>
              </w:rPr>
              <w:t>/</w:t>
            </w:r>
          </w:p>
        </w:tc>
        <w:tc>
          <w:tcPr>
            <w:tcW w:w="1580" w:type="dxa"/>
            <w:vAlign w:val="center"/>
          </w:tcPr>
          <w:p>
            <w:pPr>
              <w:jc w:val="center"/>
              <w:rPr>
                <w:color w:val="000000"/>
                <w:sz w:val="24"/>
              </w:rPr>
            </w:pPr>
            <w:r>
              <w:rPr>
                <w:color w:val="000000"/>
                <w:sz w:val="24"/>
              </w:rPr>
              <w:t>邮政编码</w:t>
            </w:r>
          </w:p>
        </w:tc>
        <w:tc>
          <w:tcPr>
            <w:tcW w:w="1505" w:type="dxa"/>
            <w:vAlign w:val="center"/>
          </w:tcPr>
          <w:p>
            <w:pPr>
              <w:jc w:val="center"/>
              <w:rPr>
                <w:color w:val="000000"/>
                <w:sz w:val="24"/>
              </w:rPr>
            </w:pPr>
            <w:r>
              <w:rPr>
                <w:color w:val="000000"/>
                <w:sz w:val="24"/>
              </w:rPr>
              <w:t>4537</w:t>
            </w:r>
            <w:r>
              <w:rPr>
                <w:rFonts w:hint="eastAsia"/>
                <w:color w:val="000000"/>
                <w:sz w:val="24"/>
              </w:rP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06" w:hRule="atLeast"/>
          <w:jc w:val="center"/>
        </w:trPr>
        <w:tc>
          <w:tcPr>
            <w:tcW w:w="1346" w:type="dxa"/>
            <w:vAlign w:val="center"/>
          </w:tcPr>
          <w:p>
            <w:pPr>
              <w:spacing w:line="400" w:lineRule="exact"/>
              <w:jc w:val="center"/>
              <w:rPr>
                <w:color w:val="000000"/>
                <w:sz w:val="24"/>
              </w:rPr>
            </w:pPr>
            <w:r>
              <w:rPr>
                <w:color w:val="000000"/>
                <w:sz w:val="24"/>
              </w:rPr>
              <w:t>建设地点</w:t>
            </w:r>
          </w:p>
        </w:tc>
        <w:tc>
          <w:tcPr>
            <w:tcW w:w="7918" w:type="dxa"/>
            <w:gridSpan w:val="5"/>
            <w:vAlign w:val="center"/>
          </w:tcPr>
          <w:p>
            <w:pPr>
              <w:spacing w:line="400" w:lineRule="exact"/>
              <w:jc w:val="center"/>
              <w:rPr>
                <w:color w:val="000000"/>
                <w:sz w:val="24"/>
              </w:rPr>
            </w:pPr>
            <w:r>
              <w:rPr>
                <w:rFonts w:hint="eastAsia"/>
                <w:color w:val="000000"/>
                <w:sz w:val="24"/>
              </w:rPr>
              <w:t>河南省新乡市新乡县合河乡贾桥村工业区西头路北4号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510" w:hRule="atLeast"/>
          <w:jc w:val="center"/>
        </w:trPr>
        <w:tc>
          <w:tcPr>
            <w:tcW w:w="1346" w:type="dxa"/>
            <w:vAlign w:val="center"/>
          </w:tcPr>
          <w:p>
            <w:pPr>
              <w:jc w:val="center"/>
              <w:rPr>
                <w:color w:val="000000"/>
                <w:sz w:val="24"/>
              </w:rPr>
            </w:pPr>
            <w:r>
              <w:rPr>
                <w:color w:val="000000"/>
                <w:sz w:val="24"/>
              </w:rPr>
              <w:t>立项审批</w:t>
            </w:r>
          </w:p>
          <w:p>
            <w:pPr>
              <w:jc w:val="center"/>
              <w:rPr>
                <w:color w:val="000000"/>
                <w:sz w:val="24"/>
              </w:rPr>
            </w:pPr>
            <w:r>
              <w:rPr>
                <w:color w:val="000000"/>
                <w:sz w:val="24"/>
              </w:rPr>
              <w:t>部门</w:t>
            </w:r>
          </w:p>
        </w:tc>
        <w:tc>
          <w:tcPr>
            <w:tcW w:w="3515" w:type="dxa"/>
            <w:gridSpan w:val="2"/>
            <w:vAlign w:val="center"/>
          </w:tcPr>
          <w:p>
            <w:pPr>
              <w:jc w:val="center"/>
              <w:rPr>
                <w:color w:val="000000"/>
                <w:sz w:val="24"/>
              </w:rPr>
            </w:pPr>
            <w:r>
              <w:rPr>
                <w:color w:val="000000"/>
                <w:sz w:val="24"/>
              </w:rPr>
              <w:t>新乡县发展和改革委员会</w:t>
            </w:r>
          </w:p>
        </w:tc>
        <w:tc>
          <w:tcPr>
            <w:tcW w:w="1318" w:type="dxa"/>
            <w:vAlign w:val="center"/>
          </w:tcPr>
          <w:p>
            <w:pPr>
              <w:jc w:val="center"/>
              <w:rPr>
                <w:color w:val="000000"/>
                <w:sz w:val="24"/>
              </w:rPr>
            </w:pPr>
            <w:r>
              <w:rPr>
                <w:rFonts w:hint="eastAsia"/>
                <w:color w:val="000000"/>
                <w:sz w:val="24"/>
              </w:rPr>
              <w:t>项目代码</w:t>
            </w:r>
          </w:p>
        </w:tc>
        <w:tc>
          <w:tcPr>
            <w:tcW w:w="3085" w:type="dxa"/>
            <w:gridSpan w:val="2"/>
            <w:vAlign w:val="center"/>
          </w:tcPr>
          <w:p>
            <w:pPr>
              <w:jc w:val="center"/>
              <w:rPr>
                <w:color w:val="000000"/>
                <w:sz w:val="24"/>
              </w:rPr>
            </w:pPr>
            <w:r>
              <w:rPr>
                <w:rFonts w:hint="eastAsia"/>
                <w:color w:val="000000"/>
                <w:sz w:val="24"/>
              </w:rPr>
              <w:t>2020-410721-34-03-041250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510" w:hRule="atLeast"/>
          <w:jc w:val="center"/>
        </w:trPr>
        <w:tc>
          <w:tcPr>
            <w:tcW w:w="1346" w:type="dxa"/>
            <w:vAlign w:val="center"/>
          </w:tcPr>
          <w:p>
            <w:pPr>
              <w:jc w:val="center"/>
              <w:rPr>
                <w:color w:val="000000"/>
                <w:sz w:val="24"/>
              </w:rPr>
            </w:pPr>
            <w:r>
              <w:rPr>
                <w:color w:val="000000"/>
                <w:sz w:val="24"/>
              </w:rPr>
              <w:t>建设性质</w:t>
            </w:r>
          </w:p>
        </w:tc>
        <w:tc>
          <w:tcPr>
            <w:tcW w:w="3515" w:type="dxa"/>
            <w:gridSpan w:val="2"/>
            <w:vAlign w:val="center"/>
          </w:tcPr>
          <w:p>
            <w:pPr>
              <w:jc w:val="center"/>
              <w:rPr>
                <w:color w:val="000000"/>
                <w:sz w:val="24"/>
              </w:rPr>
            </w:pPr>
            <w:r>
              <w:rPr>
                <w:color w:val="000000"/>
                <w:sz w:val="24"/>
              </w:rPr>
              <w:t>新建</w:t>
            </w:r>
            <w:r>
              <w:rPr>
                <w:rFonts w:hint="eastAsia"/>
                <w:color w:val="000000"/>
                <w:sz w:val="24"/>
              </w:rPr>
              <w:t>☑扩建□</w:t>
            </w:r>
            <w:r>
              <w:rPr>
                <w:color w:val="000000"/>
                <w:sz w:val="24"/>
              </w:rPr>
              <w:t>技改</w:t>
            </w:r>
            <w:r>
              <w:rPr>
                <w:rFonts w:hint="eastAsia"/>
                <w:color w:val="000000"/>
                <w:sz w:val="24"/>
              </w:rPr>
              <w:t>□</w:t>
            </w:r>
          </w:p>
        </w:tc>
        <w:tc>
          <w:tcPr>
            <w:tcW w:w="1318" w:type="dxa"/>
            <w:vAlign w:val="center"/>
          </w:tcPr>
          <w:p>
            <w:pPr>
              <w:jc w:val="center"/>
              <w:rPr>
                <w:color w:val="000000"/>
                <w:sz w:val="24"/>
              </w:rPr>
            </w:pPr>
            <w:r>
              <w:rPr>
                <w:color w:val="000000"/>
                <w:sz w:val="24"/>
              </w:rPr>
              <w:t>行业类别</w:t>
            </w:r>
            <w:r>
              <w:rPr>
                <w:rFonts w:hint="eastAsia"/>
                <w:color w:val="000000"/>
                <w:sz w:val="24"/>
              </w:rPr>
              <w:t>及代码</w:t>
            </w:r>
          </w:p>
        </w:tc>
        <w:tc>
          <w:tcPr>
            <w:tcW w:w="3085" w:type="dxa"/>
            <w:gridSpan w:val="2"/>
            <w:vAlign w:val="center"/>
          </w:tcPr>
          <w:p>
            <w:pPr>
              <w:pStyle w:val="2"/>
              <w:spacing w:after="0" w:line="240" w:lineRule="auto"/>
              <w:ind w:left="0" w:leftChars="0" w:firstLine="0" w:firstLineChars="0"/>
              <w:jc w:val="center"/>
            </w:pPr>
            <w:r>
              <w:rPr>
                <w:bCs/>
                <w:sz w:val="24"/>
              </w:rPr>
              <w:t>C</w:t>
            </w:r>
            <w:r>
              <w:rPr>
                <w:rFonts w:hint="eastAsia"/>
                <w:bCs/>
                <w:sz w:val="24"/>
              </w:rPr>
              <w:t>3482紧固件制造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510" w:hRule="atLeast"/>
          <w:jc w:val="center"/>
        </w:trPr>
        <w:tc>
          <w:tcPr>
            <w:tcW w:w="1346" w:type="dxa"/>
            <w:vAlign w:val="center"/>
          </w:tcPr>
          <w:p>
            <w:pPr>
              <w:jc w:val="center"/>
              <w:rPr>
                <w:color w:val="000000"/>
                <w:sz w:val="24"/>
              </w:rPr>
            </w:pPr>
            <w:r>
              <w:rPr>
                <w:color w:val="000000"/>
                <w:sz w:val="24"/>
              </w:rPr>
              <w:t>占地面积</w:t>
            </w:r>
          </w:p>
          <w:p>
            <w:pPr>
              <w:jc w:val="center"/>
              <w:rPr>
                <w:color w:val="000000"/>
                <w:sz w:val="24"/>
              </w:rPr>
            </w:pPr>
            <w:r>
              <w:rPr>
                <w:color w:val="000000"/>
                <w:sz w:val="24"/>
              </w:rPr>
              <w:t>（</w:t>
            </w:r>
            <w:r>
              <w:rPr>
                <w:rFonts w:hint="eastAsia"/>
                <w:color w:val="000000"/>
                <w:sz w:val="24"/>
              </w:rPr>
              <w:t>平方米</w:t>
            </w:r>
            <w:r>
              <w:rPr>
                <w:color w:val="000000"/>
                <w:sz w:val="24"/>
              </w:rPr>
              <w:t>）</w:t>
            </w:r>
          </w:p>
        </w:tc>
        <w:tc>
          <w:tcPr>
            <w:tcW w:w="3515" w:type="dxa"/>
            <w:gridSpan w:val="2"/>
            <w:vAlign w:val="center"/>
          </w:tcPr>
          <w:p>
            <w:pPr>
              <w:jc w:val="center"/>
              <w:rPr>
                <w:color w:val="000000"/>
                <w:sz w:val="24"/>
              </w:rPr>
            </w:pPr>
            <w:r>
              <w:rPr>
                <w:rFonts w:hint="eastAsia"/>
                <w:color w:val="000000"/>
                <w:sz w:val="24"/>
              </w:rPr>
              <w:t>1019</w:t>
            </w:r>
          </w:p>
        </w:tc>
        <w:tc>
          <w:tcPr>
            <w:tcW w:w="1318" w:type="dxa"/>
            <w:vAlign w:val="center"/>
          </w:tcPr>
          <w:p>
            <w:pPr>
              <w:jc w:val="center"/>
              <w:rPr>
                <w:color w:val="000000"/>
                <w:sz w:val="24"/>
              </w:rPr>
            </w:pPr>
            <w:r>
              <w:rPr>
                <w:color w:val="000000"/>
                <w:sz w:val="24"/>
              </w:rPr>
              <w:t>绿化面积</w:t>
            </w:r>
          </w:p>
          <w:p>
            <w:pPr>
              <w:jc w:val="center"/>
              <w:rPr>
                <w:color w:val="000000"/>
                <w:sz w:val="24"/>
              </w:rPr>
            </w:pPr>
            <w:r>
              <w:rPr>
                <w:color w:val="000000"/>
                <w:sz w:val="24"/>
              </w:rPr>
              <w:t>（平方米）</w:t>
            </w:r>
          </w:p>
        </w:tc>
        <w:tc>
          <w:tcPr>
            <w:tcW w:w="3085" w:type="dxa"/>
            <w:gridSpan w:val="2"/>
            <w:vAlign w:val="center"/>
          </w:tcPr>
          <w:p>
            <w:pPr>
              <w:jc w:val="center"/>
              <w:rPr>
                <w:color w:val="000000"/>
                <w:sz w:val="24"/>
              </w:rPr>
            </w:pPr>
            <w:r>
              <w:rPr>
                <w:color w:val="000000"/>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510" w:hRule="atLeast"/>
          <w:jc w:val="center"/>
        </w:trPr>
        <w:tc>
          <w:tcPr>
            <w:tcW w:w="1346" w:type="dxa"/>
            <w:vAlign w:val="center"/>
          </w:tcPr>
          <w:p>
            <w:pPr>
              <w:jc w:val="center"/>
              <w:rPr>
                <w:color w:val="000000"/>
                <w:sz w:val="24"/>
              </w:rPr>
            </w:pPr>
            <w:r>
              <w:rPr>
                <w:color w:val="000000"/>
                <w:sz w:val="24"/>
              </w:rPr>
              <w:t>总投资</w:t>
            </w:r>
          </w:p>
          <w:p>
            <w:pPr>
              <w:jc w:val="center"/>
              <w:rPr>
                <w:color w:val="000000"/>
                <w:sz w:val="24"/>
              </w:rPr>
            </w:pPr>
            <w:r>
              <w:rPr>
                <w:color w:val="000000"/>
                <w:sz w:val="24"/>
              </w:rPr>
              <w:t>（万元）</w:t>
            </w:r>
          </w:p>
        </w:tc>
        <w:tc>
          <w:tcPr>
            <w:tcW w:w="1605" w:type="dxa"/>
            <w:vAlign w:val="center"/>
          </w:tcPr>
          <w:p>
            <w:pPr>
              <w:jc w:val="center"/>
              <w:rPr>
                <w:color w:val="000000"/>
                <w:sz w:val="24"/>
              </w:rPr>
            </w:pPr>
            <w:r>
              <w:rPr>
                <w:rFonts w:hint="eastAsia"/>
                <w:color w:val="000000"/>
                <w:sz w:val="24"/>
              </w:rPr>
              <w:t>40</w:t>
            </w:r>
          </w:p>
        </w:tc>
        <w:tc>
          <w:tcPr>
            <w:tcW w:w="1910" w:type="dxa"/>
            <w:vAlign w:val="center"/>
          </w:tcPr>
          <w:p>
            <w:pPr>
              <w:jc w:val="center"/>
              <w:rPr>
                <w:color w:val="000000"/>
                <w:sz w:val="24"/>
              </w:rPr>
            </w:pPr>
            <w:r>
              <w:rPr>
                <w:color w:val="000000"/>
                <w:sz w:val="24"/>
              </w:rPr>
              <w:t>其中：环保投资（万元）</w:t>
            </w:r>
          </w:p>
        </w:tc>
        <w:tc>
          <w:tcPr>
            <w:tcW w:w="1318" w:type="dxa"/>
            <w:vAlign w:val="center"/>
          </w:tcPr>
          <w:p>
            <w:pPr>
              <w:jc w:val="center"/>
              <w:rPr>
                <w:color w:val="000000"/>
                <w:sz w:val="24"/>
              </w:rPr>
            </w:pPr>
            <w:r>
              <w:rPr>
                <w:rFonts w:hint="eastAsia"/>
                <w:color w:val="000000"/>
                <w:sz w:val="24"/>
              </w:rPr>
              <w:t>7.0</w:t>
            </w:r>
          </w:p>
        </w:tc>
        <w:tc>
          <w:tcPr>
            <w:tcW w:w="1580" w:type="dxa"/>
            <w:vAlign w:val="center"/>
          </w:tcPr>
          <w:p>
            <w:pPr>
              <w:jc w:val="center"/>
              <w:rPr>
                <w:color w:val="000000"/>
                <w:sz w:val="24"/>
              </w:rPr>
            </w:pPr>
            <w:r>
              <w:rPr>
                <w:color w:val="000000"/>
                <w:sz w:val="24"/>
              </w:rPr>
              <w:t>环保投资占总投资比例%</w:t>
            </w:r>
          </w:p>
        </w:tc>
        <w:tc>
          <w:tcPr>
            <w:tcW w:w="1505" w:type="dxa"/>
            <w:vAlign w:val="center"/>
          </w:tcPr>
          <w:p>
            <w:pPr>
              <w:jc w:val="center"/>
              <w:rPr>
                <w:color w:val="000000"/>
                <w:sz w:val="24"/>
              </w:rPr>
            </w:pPr>
            <w:r>
              <w:rPr>
                <w:rFonts w:hint="eastAsia"/>
                <w:color w:val="000000"/>
                <w:sz w:val="24"/>
              </w:rPr>
              <w:t>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510" w:hRule="atLeast"/>
          <w:jc w:val="center"/>
        </w:trPr>
        <w:tc>
          <w:tcPr>
            <w:tcW w:w="1346" w:type="dxa"/>
            <w:tcBorders>
              <w:bottom w:val="single" w:color="auto" w:sz="6" w:space="0"/>
            </w:tcBorders>
            <w:vAlign w:val="center"/>
          </w:tcPr>
          <w:p>
            <w:pPr>
              <w:jc w:val="center"/>
              <w:rPr>
                <w:color w:val="000000"/>
                <w:sz w:val="24"/>
              </w:rPr>
            </w:pPr>
            <w:r>
              <w:rPr>
                <w:color w:val="000000"/>
                <w:sz w:val="24"/>
              </w:rPr>
              <w:t>评价经费</w:t>
            </w:r>
          </w:p>
          <w:p>
            <w:pPr>
              <w:jc w:val="center"/>
              <w:rPr>
                <w:color w:val="000000"/>
                <w:sz w:val="24"/>
              </w:rPr>
            </w:pPr>
            <w:r>
              <w:rPr>
                <w:color w:val="000000"/>
                <w:sz w:val="24"/>
              </w:rPr>
              <w:t>（万元）</w:t>
            </w:r>
          </w:p>
        </w:tc>
        <w:tc>
          <w:tcPr>
            <w:tcW w:w="1605" w:type="dxa"/>
            <w:tcBorders>
              <w:bottom w:val="single" w:color="auto" w:sz="6" w:space="0"/>
            </w:tcBorders>
            <w:vAlign w:val="center"/>
          </w:tcPr>
          <w:p>
            <w:pPr>
              <w:jc w:val="center"/>
              <w:rPr>
                <w:color w:val="000000"/>
                <w:sz w:val="24"/>
              </w:rPr>
            </w:pPr>
            <w:r>
              <w:rPr>
                <w:color w:val="000000"/>
                <w:sz w:val="24"/>
              </w:rPr>
              <w:t>/</w:t>
            </w:r>
          </w:p>
        </w:tc>
        <w:tc>
          <w:tcPr>
            <w:tcW w:w="3228" w:type="dxa"/>
            <w:gridSpan w:val="2"/>
            <w:tcBorders>
              <w:bottom w:val="single" w:color="auto" w:sz="6" w:space="0"/>
            </w:tcBorders>
            <w:vAlign w:val="center"/>
          </w:tcPr>
          <w:p>
            <w:pPr>
              <w:jc w:val="center"/>
              <w:rPr>
                <w:color w:val="000000"/>
                <w:sz w:val="24"/>
              </w:rPr>
            </w:pPr>
            <w:r>
              <w:rPr>
                <w:color w:val="000000"/>
                <w:sz w:val="24"/>
              </w:rPr>
              <w:t>预期投产日期</w:t>
            </w:r>
          </w:p>
        </w:tc>
        <w:tc>
          <w:tcPr>
            <w:tcW w:w="3085" w:type="dxa"/>
            <w:gridSpan w:val="2"/>
            <w:tcBorders>
              <w:bottom w:val="single" w:color="auto" w:sz="6" w:space="0"/>
            </w:tcBorders>
            <w:vAlign w:val="center"/>
          </w:tcPr>
          <w:p>
            <w:pPr>
              <w:jc w:val="center"/>
              <w:rPr>
                <w:color w:val="000000"/>
                <w:sz w:val="24"/>
              </w:rPr>
            </w:pPr>
            <w:r>
              <w:rPr>
                <w:color w:val="000000"/>
                <w:sz w:val="24"/>
              </w:rPr>
              <w:t>20</w:t>
            </w:r>
            <w:r>
              <w:rPr>
                <w:rFonts w:hint="eastAsia"/>
                <w:color w:val="000000"/>
                <w:sz w:val="24"/>
              </w:rPr>
              <w:t>20</w:t>
            </w:r>
            <w:r>
              <w:rPr>
                <w:color w:val="000000"/>
                <w:sz w:val="24"/>
              </w:rPr>
              <w:t>年</w:t>
            </w:r>
            <w:r>
              <w:rPr>
                <w:rFonts w:hint="eastAsia"/>
                <w:color w:val="000000"/>
                <w:sz w:val="24"/>
              </w:rPr>
              <w:t>1</w:t>
            </w:r>
            <w:r>
              <w:rPr>
                <w:rFonts w:hint="eastAsia"/>
                <w:color w:val="000000"/>
                <w:sz w:val="24"/>
                <w:lang w:val="en-US" w:eastAsia="zh-CN"/>
              </w:rPr>
              <w:t>2</w:t>
            </w:r>
            <w:r>
              <w:rPr>
                <w:color w:val="000000"/>
                <w:sz w:val="24"/>
              </w:rPr>
              <w:t>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543" w:hRule="atLeast"/>
          <w:jc w:val="center"/>
        </w:trPr>
        <w:tc>
          <w:tcPr>
            <w:tcW w:w="9264" w:type="dxa"/>
            <w:gridSpan w:val="6"/>
            <w:tcBorders>
              <w:left w:val="single" w:color="auto" w:sz="8" w:space="0"/>
              <w:bottom w:val="single" w:color="auto" w:sz="4" w:space="0"/>
            </w:tcBorders>
          </w:tcPr>
          <w:p>
            <w:pPr>
              <w:adjustRightInd w:val="0"/>
              <w:snapToGrid w:val="0"/>
              <w:spacing w:line="440" w:lineRule="exact"/>
              <w:rPr>
                <w:b/>
                <w:bCs/>
                <w:color w:val="000000"/>
                <w:sz w:val="24"/>
              </w:rPr>
            </w:pPr>
            <w:r>
              <w:rPr>
                <w:rFonts w:hAnsi="宋体"/>
                <w:b/>
                <w:bCs/>
                <w:color w:val="000000"/>
                <w:sz w:val="24"/>
              </w:rPr>
              <w:t>一、项目由来</w:t>
            </w:r>
          </w:p>
          <w:p>
            <w:pPr>
              <w:adjustRightInd w:val="0"/>
              <w:snapToGrid w:val="0"/>
              <w:spacing w:line="440" w:lineRule="exact"/>
              <w:ind w:firstLine="480" w:firstLineChars="200"/>
              <w:rPr>
                <w:bCs/>
                <w:color w:val="000000"/>
                <w:sz w:val="24"/>
              </w:rPr>
            </w:pPr>
            <w:r>
              <w:rPr>
                <w:rFonts w:hAnsi="宋体"/>
                <w:color w:val="000000"/>
                <w:sz w:val="24"/>
              </w:rPr>
              <w:t>新乡县合河乡鑫达线材厂位于</w:t>
            </w:r>
            <w:r>
              <w:rPr>
                <w:rFonts w:hAnsi="宋体"/>
                <w:bCs/>
                <w:color w:val="000000"/>
                <w:sz w:val="24"/>
              </w:rPr>
              <w:t>新乡县合河乡贾桥村工业区西头路北</w:t>
            </w:r>
            <w:r>
              <w:rPr>
                <w:bCs/>
                <w:color w:val="000000"/>
                <w:sz w:val="24"/>
              </w:rPr>
              <w:t>4</w:t>
            </w:r>
            <w:r>
              <w:rPr>
                <w:rFonts w:hAnsi="宋体"/>
                <w:bCs/>
                <w:color w:val="000000"/>
                <w:sz w:val="24"/>
              </w:rPr>
              <w:t>号，投资</w:t>
            </w:r>
            <w:r>
              <w:rPr>
                <w:bCs/>
                <w:color w:val="000000"/>
                <w:sz w:val="24"/>
              </w:rPr>
              <w:t>40</w:t>
            </w:r>
            <w:r>
              <w:rPr>
                <w:rFonts w:hAnsi="宋体"/>
                <w:bCs/>
                <w:color w:val="000000"/>
                <w:sz w:val="24"/>
              </w:rPr>
              <w:t>万元新建</w:t>
            </w:r>
            <w:r>
              <w:rPr>
                <w:bCs/>
                <w:color w:val="000000"/>
                <w:sz w:val="24"/>
              </w:rPr>
              <w:t>“</w:t>
            </w:r>
            <w:r>
              <w:rPr>
                <w:rFonts w:hAnsi="宋体"/>
                <w:bCs/>
                <w:color w:val="000000"/>
                <w:sz w:val="24"/>
              </w:rPr>
              <w:t>年产</w:t>
            </w:r>
            <w:r>
              <w:rPr>
                <w:rFonts w:hint="eastAsia"/>
                <w:bCs/>
                <w:color w:val="000000"/>
                <w:sz w:val="24"/>
              </w:rPr>
              <w:t>1</w:t>
            </w:r>
            <w:r>
              <w:rPr>
                <w:bCs/>
                <w:color w:val="000000"/>
                <w:sz w:val="24"/>
              </w:rPr>
              <w:t>000</w:t>
            </w:r>
            <w:r>
              <w:rPr>
                <w:rFonts w:hAnsi="宋体"/>
                <w:bCs/>
                <w:color w:val="000000"/>
                <w:sz w:val="24"/>
              </w:rPr>
              <w:t>吨</w:t>
            </w:r>
            <w:r>
              <w:rPr>
                <w:rFonts w:hint="eastAsia" w:hAnsi="宋体"/>
                <w:bCs/>
                <w:color w:val="000000"/>
                <w:sz w:val="24"/>
              </w:rPr>
              <w:t>铁钉</w:t>
            </w:r>
            <w:r>
              <w:rPr>
                <w:rFonts w:hAnsi="宋体"/>
                <w:bCs/>
                <w:color w:val="000000"/>
                <w:sz w:val="24"/>
              </w:rPr>
              <w:t>项目</w:t>
            </w:r>
            <w:r>
              <w:rPr>
                <w:bCs/>
                <w:color w:val="000000"/>
                <w:sz w:val="24"/>
              </w:rPr>
              <w:t>”</w:t>
            </w:r>
            <w:r>
              <w:rPr>
                <w:rFonts w:hAnsi="宋体"/>
                <w:bCs/>
                <w:color w:val="000000"/>
                <w:sz w:val="24"/>
              </w:rPr>
              <w:t>。该项目</w:t>
            </w:r>
            <w:r>
              <w:rPr>
                <w:rFonts w:hAnsi="宋体"/>
                <w:sz w:val="24"/>
              </w:rPr>
              <w:t>租赁贾桥村民委员会已建成的贾桥村工业区西头路北</w:t>
            </w:r>
            <w:r>
              <w:rPr>
                <w:sz w:val="24"/>
              </w:rPr>
              <w:t>4</w:t>
            </w:r>
            <w:r>
              <w:rPr>
                <w:rFonts w:hAnsi="宋体"/>
                <w:sz w:val="24"/>
              </w:rPr>
              <w:t>号厂房进行生产</w:t>
            </w:r>
            <w:r>
              <w:rPr>
                <w:rFonts w:hAnsi="宋体"/>
                <w:bCs/>
                <w:color w:val="000000"/>
                <w:sz w:val="24"/>
              </w:rPr>
              <w:t>（见附件</w:t>
            </w:r>
            <w:r>
              <w:rPr>
                <w:bCs/>
                <w:color w:val="000000"/>
                <w:sz w:val="24"/>
              </w:rPr>
              <w:t>4</w:t>
            </w:r>
            <w:r>
              <w:rPr>
                <w:rFonts w:hAnsi="宋体"/>
                <w:bCs/>
                <w:color w:val="000000"/>
                <w:sz w:val="24"/>
              </w:rPr>
              <w:t>），占地面积为</w:t>
            </w:r>
            <w:r>
              <w:rPr>
                <w:bCs/>
                <w:color w:val="000000"/>
                <w:sz w:val="24"/>
              </w:rPr>
              <w:t>1019m</w:t>
            </w:r>
            <w:r>
              <w:rPr>
                <w:bCs/>
                <w:color w:val="000000"/>
                <w:sz w:val="24"/>
                <w:vertAlign w:val="superscript"/>
              </w:rPr>
              <w:t>2</w:t>
            </w:r>
            <w:r>
              <w:rPr>
                <w:rFonts w:hAnsi="宋体"/>
                <w:bCs/>
                <w:color w:val="000000"/>
                <w:sz w:val="24"/>
              </w:rPr>
              <w:t>，不新增占地，不办理土地手续。</w:t>
            </w:r>
            <w:r>
              <w:rPr>
                <w:rFonts w:hAnsi="宋体"/>
                <w:sz w:val="24"/>
              </w:rPr>
              <w:t>根据</w:t>
            </w:r>
            <w:r>
              <w:rPr>
                <w:rFonts w:hint="eastAsia" w:hAnsi="宋体"/>
                <w:sz w:val="24"/>
              </w:rPr>
              <w:t>《</w:t>
            </w:r>
            <w:r>
              <w:rPr>
                <w:rFonts w:hAnsi="宋体"/>
                <w:sz w:val="24"/>
              </w:rPr>
              <w:t>新乡县土地利用总体规划（</w:t>
            </w:r>
            <w:r>
              <w:rPr>
                <w:sz w:val="24"/>
              </w:rPr>
              <w:t>2010-2020</w:t>
            </w:r>
            <w:r>
              <w:rPr>
                <w:rFonts w:hAnsi="宋体"/>
                <w:sz w:val="24"/>
              </w:rPr>
              <w:t>年）调整方案》（</w:t>
            </w:r>
            <w:r>
              <w:rPr>
                <w:sz w:val="24"/>
              </w:rPr>
              <w:t>2017</w:t>
            </w:r>
            <w:r>
              <w:rPr>
                <w:rFonts w:hAnsi="宋体"/>
                <w:sz w:val="24"/>
              </w:rPr>
              <w:t>年修改）及</w:t>
            </w:r>
            <w:r>
              <w:rPr>
                <w:rFonts w:hint="eastAsia" w:hAnsi="宋体"/>
                <w:sz w:val="24"/>
              </w:rPr>
              <w:t>《</w:t>
            </w:r>
            <w:r>
              <w:rPr>
                <w:rFonts w:hAnsi="宋体"/>
                <w:sz w:val="24"/>
              </w:rPr>
              <w:t>合河乡土地利用规划图（</w:t>
            </w:r>
            <w:r>
              <w:rPr>
                <w:sz w:val="24"/>
              </w:rPr>
              <w:t>2010-2020</w:t>
            </w:r>
            <w:r>
              <w:rPr>
                <w:rFonts w:hAnsi="宋体"/>
                <w:sz w:val="24"/>
              </w:rPr>
              <w:t>年）</w:t>
            </w:r>
            <w:r>
              <w:rPr>
                <w:rFonts w:hint="eastAsia" w:hAnsi="宋体"/>
                <w:sz w:val="24"/>
              </w:rPr>
              <w:t>》</w:t>
            </w:r>
            <w:r>
              <w:rPr>
                <w:rFonts w:hAnsi="宋体"/>
                <w:sz w:val="24"/>
              </w:rPr>
              <w:t>（</w:t>
            </w:r>
            <w:r>
              <w:rPr>
                <w:sz w:val="24"/>
              </w:rPr>
              <w:t>2017</w:t>
            </w:r>
            <w:r>
              <w:rPr>
                <w:rFonts w:hAnsi="宋体"/>
                <w:sz w:val="24"/>
              </w:rPr>
              <w:t>年修改），本项目用地性质为建设用地，选址符合新乡县合河乡土地利用总体规划（见附图</w:t>
            </w:r>
            <w:r>
              <w:rPr>
                <w:sz w:val="24"/>
              </w:rPr>
              <w:t>2</w:t>
            </w:r>
            <w:r>
              <w:rPr>
                <w:rFonts w:hAnsi="宋体"/>
                <w:sz w:val="24"/>
              </w:rPr>
              <w:t>、附图</w:t>
            </w:r>
            <w:r>
              <w:rPr>
                <w:sz w:val="24"/>
              </w:rPr>
              <w:t>3</w:t>
            </w:r>
            <w:r>
              <w:rPr>
                <w:rFonts w:hAnsi="宋体"/>
                <w:sz w:val="24"/>
              </w:rPr>
              <w:t>）；</w:t>
            </w:r>
            <w:r>
              <w:rPr>
                <w:rFonts w:hAnsi="宋体"/>
                <w:color w:val="000000"/>
                <w:sz w:val="24"/>
              </w:rPr>
              <w:t>根据新乡县合河乡人民政府出具的证明，本项目符合合河乡总体</w:t>
            </w:r>
            <w:r>
              <w:rPr>
                <w:rFonts w:hint="eastAsia" w:hAnsi="宋体"/>
                <w:color w:val="000000"/>
                <w:sz w:val="24"/>
                <w:lang w:eastAsia="zh-CN"/>
              </w:rPr>
              <w:t>发展</w:t>
            </w:r>
            <w:r>
              <w:rPr>
                <w:rFonts w:hAnsi="宋体"/>
                <w:color w:val="000000"/>
                <w:sz w:val="24"/>
              </w:rPr>
              <w:t>规划、土地利用规划和产业发展规划要求（见附件</w:t>
            </w:r>
            <w:r>
              <w:rPr>
                <w:color w:val="000000"/>
                <w:sz w:val="24"/>
              </w:rPr>
              <w:t>3</w:t>
            </w:r>
            <w:r>
              <w:rPr>
                <w:rFonts w:hAnsi="宋体"/>
                <w:color w:val="000000"/>
                <w:sz w:val="24"/>
              </w:rPr>
              <w:t>）。经现场勘察，</w:t>
            </w:r>
            <w:r>
              <w:rPr>
                <w:rFonts w:hAnsi="宋体"/>
                <w:bCs/>
                <w:color w:val="000000"/>
                <w:sz w:val="24"/>
              </w:rPr>
              <w:t>设备未安装，不具备生产能力，</w:t>
            </w:r>
            <w:r>
              <w:rPr>
                <w:rFonts w:hAnsi="宋体"/>
                <w:color w:val="000000"/>
                <w:kern w:val="0"/>
                <w:sz w:val="24"/>
              </w:rPr>
              <w:t>不属于未批先建。</w:t>
            </w:r>
          </w:p>
          <w:p>
            <w:pPr>
              <w:adjustRightInd w:val="0"/>
              <w:snapToGrid w:val="0"/>
              <w:spacing w:line="440" w:lineRule="exact"/>
              <w:ind w:firstLine="480" w:firstLineChars="200"/>
              <w:rPr>
                <w:color w:val="000000"/>
                <w:sz w:val="24"/>
              </w:rPr>
            </w:pPr>
            <w:r>
              <w:rPr>
                <w:rFonts w:hAnsi="宋体"/>
                <w:color w:val="000000"/>
                <w:sz w:val="24"/>
              </w:rPr>
              <w:t>依据《建设项目环境影响评价分类管理名录》（环境保护部部令</w:t>
            </w:r>
            <w:r>
              <w:rPr>
                <w:rFonts w:hint="eastAsia" w:hAnsi="宋体"/>
                <w:color w:val="000000"/>
                <w:sz w:val="24"/>
              </w:rPr>
              <w:t>44号及2018.4.28生态环境部部令第1号修正）</w:t>
            </w:r>
            <w:r>
              <w:rPr>
                <w:rFonts w:hAnsi="宋体"/>
                <w:color w:val="000000"/>
                <w:sz w:val="24"/>
              </w:rPr>
              <w:t>，本项目属于二十</w:t>
            </w:r>
            <w:r>
              <w:rPr>
                <w:rFonts w:hint="eastAsia" w:hAnsi="宋体"/>
                <w:color w:val="000000"/>
                <w:sz w:val="24"/>
                <w:lang w:eastAsia="zh-CN"/>
              </w:rPr>
              <w:t>三</w:t>
            </w:r>
            <w:r>
              <w:rPr>
                <w:rFonts w:hAnsi="宋体"/>
                <w:color w:val="000000"/>
                <w:sz w:val="24"/>
              </w:rPr>
              <w:t>、</w:t>
            </w:r>
            <w:r>
              <w:rPr>
                <w:rFonts w:hint="eastAsia" w:hAnsi="宋体"/>
                <w:color w:val="000000"/>
                <w:sz w:val="24"/>
                <w:lang w:eastAsia="zh-CN"/>
              </w:rPr>
              <w:t>通用设备制造业</w:t>
            </w:r>
            <w:r>
              <w:rPr>
                <w:rFonts w:hAnsi="宋体"/>
                <w:color w:val="000000"/>
                <w:sz w:val="24"/>
              </w:rPr>
              <w:t>中第</w:t>
            </w:r>
            <w:r>
              <w:rPr>
                <w:color w:val="000000"/>
                <w:sz w:val="24"/>
              </w:rPr>
              <w:t>6</w:t>
            </w:r>
            <w:r>
              <w:rPr>
                <w:rFonts w:hint="eastAsia"/>
                <w:color w:val="000000"/>
                <w:sz w:val="24"/>
                <w:lang w:val="en-US" w:eastAsia="zh-CN"/>
              </w:rPr>
              <w:t>9</w:t>
            </w:r>
            <w:r>
              <w:rPr>
                <w:rFonts w:hint="eastAsia" w:hAnsi="宋体"/>
                <w:color w:val="000000"/>
                <w:sz w:val="24"/>
              </w:rPr>
              <w:t>条</w:t>
            </w:r>
            <w:r>
              <w:rPr>
                <w:rFonts w:hint="eastAsia" w:hAnsi="宋体"/>
                <w:color w:val="000000"/>
                <w:sz w:val="24"/>
                <w:lang w:eastAsia="zh-CN"/>
              </w:rPr>
              <w:t>通用设备制造及维修</w:t>
            </w:r>
            <w:r>
              <w:rPr>
                <w:rFonts w:hint="eastAsia" w:hAnsi="宋体"/>
                <w:color w:val="000000"/>
                <w:sz w:val="24"/>
              </w:rPr>
              <w:t>。</w:t>
            </w:r>
            <w:r>
              <w:rPr>
                <w:rFonts w:hAnsi="宋体"/>
                <w:color w:val="000000"/>
                <w:sz w:val="24"/>
              </w:rPr>
              <w:t>该条款规定：有电镀或喷漆工艺且</w:t>
            </w:r>
            <w:r>
              <w:rPr>
                <w:rFonts w:hint="eastAsia" w:hAnsi="宋体"/>
                <w:color w:val="000000"/>
                <w:sz w:val="24"/>
                <w:lang w:eastAsia="zh-CN"/>
              </w:rPr>
              <w:t>年用油性漆量</w:t>
            </w:r>
            <w:r>
              <w:rPr>
                <w:rFonts w:hAnsi="宋体"/>
                <w:color w:val="000000"/>
                <w:sz w:val="24"/>
              </w:rPr>
              <w:t>（含稀释剂）</w:t>
            </w:r>
            <w:r>
              <w:rPr>
                <w:rFonts w:hint="eastAsia" w:hAnsi="宋体"/>
                <w:color w:val="000000"/>
                <w:sz w:val="24"/>
              </w:rPr>
              <w:t>10吨及以上的应编制报告书，其他（仅组装</w:t>
            </w:r>
            <w:r>
              <w:rPr>
                <w:rFonts w:hint="eastAsia" w:hAnsi="宋体"/>
                <w:color w:val="000000"/>
                <w:sz w:val="24"/>
                <w:lang w:eastAsia="zh-CN"/>
              </w:rPr>
              <w:t>的</w:t>
            </w:r>
            <w:r>
              <w:rPr>
                <w:rFonts w:hint="eastAsia" w:hAnsi="宋体"/>
                <w:color w:val="000000"/>
                <w:sz w:val="24"/>
              </w:rPr>
              <w:t>除外）应编制报告表，仅组装的应编制登记表。</w:t>
            </w:r>
            <w:r>
              <w:rPr>
                <w:rFonts w:hAnsi="宋体"/>
                <w:color w:val="000000"/>
                <w:sz w:val="24"/>
              </w:rPr>
              <w:t>本项目不涉及</w:t>
            </w:r>
            <w:r>
              <w:rPr>
                <w:color w:val="000000"/>
                <w:sz w:val="24"/>
              </w:rPr>
              <w:t>“</w:t>
            </w:r>
            <w:r>
              <w:rPr>
                <w:rFonts w:hAnsi="宋体"/>
                <w:color w:val="000000"/>
                <w:sz w:val="24"/>
              </w:rPr>
              <w:t>有电镀或喷漆工艺且年用油性漆量（含稀释剂）</w:t>
            </w:r>
            <w:r>
              <w:rPr>
                <w:color w:val="000000"/>
                <w:sz w:val="24"/>
              </w:rPr>
              <w:t>10</w:t>
            </w:r>
            <w:r>
              <w:rPr>
                <w:rFonts w:hAnsi="宋体"/>
                <w:color w:val="000000"/>
                <w:sz w:val="24"/>
              </w:rPr>
              <w:t>吨及以上的</w:t>
            </w:r>
            <w:r>
              <w:rPr>
                <w:color w:val="000000"/>
                <w:sz w:val="24"/>
              </w:rPr>
              <w:t>”</w:t>
            </w:r>
            <w:r>
              <w:rPr>
                <w:rFonts w:hAnsi="宋体"/>
                <w:color w:val="000000"/>
                <w:sz w:val="24"/>
              </w:rPr>
              <w:t>，属于</w:t>
            </w:r>
            <w:r>
              <w:rPr>
                <w:color w:val="000000"/>
                <w:sz w:val="24"/>
              </w:rPr>
              <w:t>“</w:t>
            </w:r>
            <w:r>
              <w:rPr>
                <w:rFonts w:hAnsi="宋体"/>
                <w:color w:val="000000"/>
                <w:sz w:val="24"/>
              </w:rPr>
              <w:t>其他（仅组装</w:t>
            </w:r>
            <w:r>
              <w:rPr>
                <w:rFonts w:hint="eastAsia" w:hAnsi="宋体"/>
                <w:color w:val="000000"/>
                <w:sz w:val="24"/>
                <w:lang w:eastAsia="zh-CN"/>
              </w:rPr>
              <w:t>的</w:t>
            </w:r>
            <w:r>
              <w:rPr>
                <w:rFonts w:hAnsi="宋体"/>
                <w:color w:val="000000"/>
                <w:sz w:val="24"/>
              </w:rPr>
              <w:t>除外）</w:t>
            </w:r>
            <w:r>
              <w:rPr>
                <w:color w:val="000000"/>
                <w:sz w:val="24"/>
              </w:rPr>
              <w:t>”</w:t>
            </w:r>
            <w:r>
              <w:rPr>
                <w:rFonts w:hAnsi="宋体"/>
                <w:color w:val="000000"/>
                <w:sz w:val="24"/>
              </w:rPr>
              <w:t>类，因此应编制环境影响报告表。</w:t>
            </w:r>
            <w:r>
              <w:rPr>
                <w:sz w:val="24"/>
              </w:rPr>
              <w:t>根据《河南省生态环境厅办公室关于深化环评“放管服”改革及实施环评审批正面清单的通知》（豫环办[2020]22号），本项目属于环评告知承诺制审批适用范围中第1项（18：</w:t>
            </w:r>
            <w:r>
              <w:rPr>
                <w:color w:val="000000"/>
                <w:sz w:val="24"/>
              </w:rPr>
              <w:t>通用设备制造业</w:t>
            </w:r>
            <w:r>
              <w:rPr>
                <w:sz w:val="24"/>
              </w:rPr>
              <w:t>），因此本项目按环评告知承诺制进行审批。</w:t>
            </w:r>
          </w:p>
          <w:p>
            <w:pPr>
              <w:adjustRightInd w:val="0"/>
              <w:snapToGrid w:val="0"/>
              <w:spacing w:line="440" w:lineRule="exact"/>
              <w:ind w:firstLine="480" w:firstLineChars="200"/>
              <w:rPr>
                <w:color w:val="000000"/>
                <w:sz w:val="24"/>
              </w:rPr>
            </w:pPr>
            <w:r>
              <w:rPr>
                <w:rFonts w:hAnsi="宋体"/>
                <w:color w:val="000000"/>
                <w:sz w:val="24"/>
              </w:rPr>
              <w:t>受新乡县合河乡鑫达线材厂委托，本项目环境影响评价工作由我单位承担，根据《中华人民共和国环境保护法》、《中华人民共和国环境影响评价法》的有关规定，在现场调查和收集相关资料的基础上，按照</w:t>
            </w:r>
            <w:r>
              <w:rPr>
                <w:color w:val="000000"/>
                <w:sz w:val="24"/>
              </w:rPr>
              <w:t>“</w:t>
            </w:r>
            <w:r>
              <w:rPr>
                <w:rFonts w:hAnsi="宋体"/>
                <w:color w:val="000000"/>
                <w:sz w:val="24"/>
              </w:rPr>
              <w:t>达标排放、清洁生产</w:t>
            </w:r>
            <w:r>
              <w:rPr>
                <w:color w:val="000000"/>
                <w:sz w:val="24"/>
              </w:rPr>
              <w:t>”</w:t>
            </w:r>
            <w:r>
              <w:rPr>
                <w:rFonts w:hAnsi="宋体"/>
                <w:color w:val="000000"/>
                <w:sz w:val="24"/>
              </w:rPr>
              <w:t>的原则，本着</w:t>
            </w:r>
            <w:r>
              <w:rPr>
                <w:color w:val="000000"/>
                <w:sz w:val="24"/>
              </w:rPr>
              <w:t>“</w:t>
            </w:r>
            <w:r>
              <w:rPr>
                <w:rFonts w:hAnsi="宋体"/>
                <w:color w:val="000000"/>
                <w:sz w:val="24"/>
              </w:rPr>
              <w:t>科学、公正、客观、严谨</w:t>
            </w:r>
            <w:r>
              <w:rPr>
                <w:color w:val="000000"/>
                <w:sz w:val="24"/>
              </w:rPr>
              <w:t>”</w:t>
            </w:r>
            <w:r>
              <w:rPr>
                <w:rFonts w:hAnsi="宋体"/>
                <w:color w:val="000000"/>
                <w:sz w:val="24"/>
              </w:rPr>
              <w:t>的态度，编制了本项目的环境影响报告表。</w:t>
            </w:r>
          </w:p>
          <w:p>
            <w:pPr>
              <w:adjustRightInd w:val="0"/>
              <w:snapToGrid w:val="0"/>
              <w:spacing w:line="440" w:lineRule="exact"/>
              <w:rPr>
                <w:rFonts w:ascii="宋体" w:hAnsi="宋体"/>
                <w:b/>
                <w:bCs/>
                <w:color w:val="000000"/>
                <w:sz w:val="24"/>
              </w:rPr>
            </w:pPr>
            <w:r>
              <w:rPr>
                <w:rFonts w:hint="eastAsia" w:ascii="宋体" w:hAnsi="宋体"/>
                <w:b/>
                <w:bCs/>
                <w:color w:val="000000"/>
                <w:sz w:val="24"/>
              </w:rPr>
              <w:t>二、项目建设地点及周围环境</w:t>
            </w:r>
          </w:p>
          <w:p>
            <w:pPr>
              <w:autoSpaceDE w:val="0"/>
              <w:autoSpaceDN w:val="0"/>
              <w:adjustRightInd w:val="0"/>
              <w:spacing w:line="440" w:lineRule="exact"/>
              <w:ind w:firstLine="480" w:firstLineChars="200"/>
              <w:jc w:val="left"/>
              <w:rPr>
                <w:color w:val="000000"/>
                <w:sz w:val="24"/>
              </w:rPr>
            </w:pPr>
            <w:r>
              <w:rPr>
                <w:rFonts w:hAnsi="宋体"/>
                <w:color w:val="000000"/>
                <w:kern w:val="1"/>
                <w:sz w:val="24"/>
              </w:rPr>
              <w:t>新乡县合河乡鑫达线材厂位于</w:t>
            </w:r>
            <w:r>
              <w:rPr>
                <w:rFonts w:hAnsi="宋体"/>
                <w:bCs/>
                <w:color w:val="000000"/>
                <w:sz w:val="24"/>
              </w:rPr>
              <w:t>新乡市新乡县合河乡贾桥村工业区西头路北</w:t>
            </w:r>
            <w:r>
              <w:rPr>
                <w:bCs/>
                <w:color w:val="000000"/>
                <w:sz w:val="24"/>
              </w:rPr>
              <w:t>4</w:t>
            </w:r>
            <w:r>
              <w:rPr>
                <w:rFonts w:hAnsi="宋体"/>
                <w:bCs/>
                <w:color w:val="000000"/>
                <w:sz w:val="24"/>
              </w:rPr>
              <w:t>号</w:t>
            </w:r>
            <w:r>
              <w:rPr>
                <w:rFonts w:hAnsi="宋体"/>
                <w:color w:val="000000"/>
                <w:kern w:val="1"/>
                <w:sz w:val="24"/>
              </w:rPr>
              <w:t>，南侧临新王线，西侧为路路汽修，东侧和北侧是八方线材厂。</w:t>
            </w:r>
          </w:p>
          <w:p>
            <w:pPr>
              <w:autoSpaceDE w:val="0"/>
              <w:autoSpaceDN w:val="0"/>
              <w:adjustRightInd w:val="0"/>
              <w:spacing w:line="440" w:lineRule="exact"/>
              <w:ind w:firstLine="480" w:firstLineChars="200"/>
              <w:jc w:val="left"/>
              <w:rPr>
                <w:color w:val="000000"/>
                <w:sz w:val="24"/>
              </w:rPr>
            </w:pPr>
            <w:r>
              <w:rPr>
                <w:rFonts w:hAnsi="宋体"/>
                <w:color w:val="000000"/>
                <w:sz w:val="24"/>
              </w:rPr>
              <w:t>项目周围主要环境敏感点为：东</w:t>
            </w:r>
            <w:r>
              <w:rPr>
                <w:color w:val="000000"/>
                <w:sz w:val="24"/>
              </w:rPr>
              <w:t>270m</w:t>
            </w:r>
            <w:r>
              <w:rPr>
                <w:rFonts w:hAnsi="宋体"/>
                <w:color w:val="000000"/>
                <w:sz w:val="24"/>
              </w:rPr>
              <w:t>安庄；东南</w:t>
            </w:r>
            <w:r>
              <w:rPr>
                <w:color w:val="000000"/>
                <w:sz w:val="24"/>
              </w:rPr>
              <w:t>230m</w:t>
            </w:r>
            <w:r>
              <w:rPr>
                <w:rFonts w:hAnsi="宋体"/>
                <w:color w:val="000000"/>
                <w:sz w:val="24"/>
              </w:rPr>
              <w:t>贾桥村、东南</w:t>
            </w:r>
            <w:r>
              <w:rPr>
                <w:color w:val="000000"/>
                <w:sz w:val="24"/>
              </w:rPr>
              <w:t>850</w:t>
            </w:r>
            <w:r>
              <w:rPr>
                <w:rFonts w:hAnsi="宋体"/>
                <w:color w:val="000000"/>
                <w:sz w:val="24"/>
              </w:rPr>
              <w:t>米郭小郭村；西</w:t>
            </w:r>
            <w:r>
              <w:rPr>
                <w:color w:val="000000"/>
                <w:sz w:val="24"/>
              </w:rPr>
              <w:t>210m</w:t>
            </w:r>
            <w:r>
              <w:rPr>
                <w:rFonts w:hAnsi="宋体"/>
                <w:color w:val="000000"/>
                <w:sz w:val="24"/>
              </w:rPr>
              <w:t>合河</w:t>
            </w:r>
            <w:r>
              <w:rPr>
                <w:rFonts w:hint="eastAsia" w:hAnsi="宋体"/>
                <w:color w:val="000000"/>
                <w:sz w:val="24"/>
              </w:rPr>
              <w:t>村</w:t>
            </w:r>
            <w:r>
              <w:rPr>
                <w:rFonts w:hAnsi="宋体"/>
                <w:color w:val="000000"/>
                <w:sz w:val="24"/>
              </w:rPr>
              <w:t>；西北</w:t>
            </w:r>
            <w:r>
              <w:rPr>
                <w:color w:val="000000"/>
                <w:sz w:val="24"/>
              </w:rPr>
              <w:t>650m</w:t>
            </w:r>
            <w:r>
              <w:rPr>
                <w:rFonts w:hAnsi="宋体"/>
                <w:color w:val="000000"/>
                <w:sz w:val="24"/>
              </w:rPr>
              <w:t>前村。距离本项目最近的地表水体为西</w:t>
            </w:r>
            <w:r>
              <w:rPr>
                <w:color w:val="000000"/>
                <w:sz w:val="24"/>
              </w:rPr>
              <w:t>150m</w:t>
            </w:r>
            <w:r>
              <w:rPr>
                <w:rFonts w:hAnsi="宋体"/>
                <w:color w:val="000000"/>
                <w:sz w:val="24"/>
              </w:rPr>
              <w:t>卫河。项目周围环境概况见图</w:t>
            </w:r>
            <w:r>
              <w:rPr>
                <w:color w:val="000000"/>
                <w:sz w:val="24"/>
              </w:rPr>
              <w:t>1</w:t>
            </w:r>
            <w:r>
              <w:rPr>
                <w:rFonts w:hAnsi="宋体"/>
                <w:color w:val="000000"/>
                <w:sz w:val="24"/>
              </w:rPr>
              <w:t>：</w:t>
            </w:r>
          </w:p>
          <w:p>
            <w:pPr>
              <w:widowControl/>
              <w:jc w:val="left"/>
            </w:pPr>
            <w:r>
              <w:rPr>
                <w:rFonts w:ascii="宋体" w:hAnsi="宋体"/>
              </w:rPr>
              <w:pict>
                <v:shape id="_x0000_s2323" o:spid="_x0000_s2323" o:spt="202" type="#_x0000_t202" style="position:absolute;left:0pt;margin-left:360.95pt;margin-top:107.45pt;height:23.2pt;width:65.85pt;z-index:251663360;mso-width-relative:margin;mso-height-relative:margin;" filled="f" stroked="f" coordsize="21600,21600">
                  <v:path/>
                  <v:fill on="f" focussize="0,0"/>
                  <v:stroke on="f" joinstyle="miter"/>
                  <v:imagedata o:title=""/>
                  <o:lock v:ext="edit"/>
                  <v:textbox>
                    <w:txbxContent>
                      <w:p>
                        <w:pPr>
                          <w:rPr>
                            <w:b/>
                            <w:color w:val="FFFF00"/>
                            <w:sz w:val="18"/>
                            <w:szCs w:val="18"/>
                          </w:rPr>
                        </w:pPr>
                        <w:r>
                          <w:rPr>
                            <w:b/>
                            <w:color w:val="FFFF00"/>
                            <w:sz w:val="18"/>
                            <w:szCs w:val="18"/>
                          </w:rPr>
                          <w:t>安庄</w:t>
                        </w:r>
                        <w:r>
                          <w:rPr>
                            <w:rFonts w:hint="eastAsia"/>
                            <w:b/>
                            <w:color w:val="FFFF00"/>
                            <w:sz w:val="18"/>
                            <w:szCs w:val="18"/>
                          </w:rPr>
                          <w:t>270m</w:t>
                        </w:r>
                      </w:p>
                    </w:txbxContent>
                  </v:textbox>
                </v:shape>
              </w:pict>
            </w:r>
            <w:r>
              <w:rPr>
                <w:rFonts w:ascii="宋体" w:hAnsi="宋体"/>
              </w:rPr>
              <w:pict>
                <v:shape id="_x0000_s2321" o:spid="_x0000_s2321" o:spt="61" type="#_x0000_t61" style="position:absolute;left:0pt;margin-left:279.4pt;margin-top:160.8pt;height:23.25pt;width:48.25pt;z-index:251662336;mso-width-relative:page;mso-height-relative:page;" filled="f" stroked="t" coordsize="21600,21600" adj="-1408,30844">
                  <v:path/>
                  <v:fill on="f" focussize="0,0"/>
                  <v:stroke weight="1.5pt" color="#FF0000" joinstyle="miter"/>
                  <v:imagedata o:title=""/>
                  <o:lock v:ext="edit"/>
                  <v:textbox>
                    <w:txbxContent>
                      <w:p>
                        <w:pPr>
                          <w:rPr>
                            <w:b/>
                            <w:color w:val="FFFF00"/>
                            <w:szCs w:val="21"/>
                          </w:rPr>
                        </w:pPr>
                        <w:r>
                          <w:rPr>
                            <w:b/>
                            <w:color w:val="FFFF00"/>
                            <w:szCs w:val="21"/>
                          </w:rPr>
                          <w:t>本项目</w:t>
                        </w:r>
                      </w:p>
                    </w:txbxContent>
                  </v:textbox>
                </v:shape>
              </w:pict>
            </w:r>
            <w:r>
              <w:rPr>
                <w:rFonts w:ascii="宋体" w:hAnsi="宋体"/>
              </w:rPr>
              <w:pict>
                <v:shape id="_x0000_s2329" o:spid="_x0000_s2329" o:spt="61" type="#_x0000_t61" style="position:absolute;left:0pt;margin-left:5.1pt;margin-top:184.05pt;height:24.8pt;width:66.1pt;z-index:251666432;mso-width-relative:page;mso-height-relative:page;" filled="f" stroked="f" coordsize="21600,21600" adj="3023,-50952">
                  <v:path/>
                  <v:fill on="f" focussize="0,0"/>
                  <v:stroke on="f" joinstyle="miter"/>
                  <v:imagedata o:title=""/>
                  <o:lock v:ext="edit"/>
                  <v:textbox>
                    <w:txbxContent>
                      <w:p>
                        <w:pPr>
                          <w:rPr>
                            <w:b/>
                            <w:color w:val="FFFF00"/>
                            <w:sz w:val="18"/>
                            <w:szCs w:val="18"/>
                          </w:rPr>
                        </w:pPr>
                        <w:r>
                          <w:rPr>
                            <w:b/>
                            <w:color w:val="FFFF00"/>
                            <w:sz w:val="18"/>
                            <w:szCs w:val="18"/>
                          </w:rPr>
                          <w:t>合河乡</w:t>
                        </w:r>
                        <w:r>
                          <w:rPr>
                            <w:rFonts w:hint="eastAsia"/>
                            <w:b/>
                            <w:color w:val="FFFF00"/>
                            <w:sz w:val="18"/>
                            <w:szCs w:val="18"/>
                          </w:rPr>
                          <w:t>210m</w:t>
                        </w:r>
                      </w:p>
                    </w:txbxContent>
                  </v:textbox>
                </v:shape>
              </w:pict>
            </w:r>
            <w:r>
              <w:rPr>
                <w:rFonts w:ascii="宋体" w:hAnsi="宋体"/>
              </w:rPr>
              <w:pict>
                <v:shape id="_x0000_s2330" o:spid="_x0000_s2330" o:spt="61" type="#_x0000_t61" style="position:absolute;left:0pt;margin-left:53.45pt;margin-top:13.65pt;height:22.85pt;width:61.05pt;z-index:251668480;mso-width-relative:page;mso-height-relative:page;" fillcolor="#FFFF00" filled="f" stroked="f" coordsize="21600,21600" adj="3662,14888">
                  <v:path/>
                  <v:fill on="f" focussize="0,0"/>
                  <v:stroke on="f" joinstyle="miter"/>
                  <v:imagedata o:title=""/>
                  <o:lock v:ext="edit"/>
                  <v:textbox>
                    <w:txbxContent>
                      <w:p>
                        <w:pPr>
                          <w:rPr>
                            <w:b/>
                            <w:color w:val="FFFF00"/>
                            <w:sz w:val="18"/>
                            <w:szCs w:val="18"/>
                          </w:rPr>
                        </w:pPr>
                        <w:r>
                          <w:rPr>
                            <w:b/>
                            <w:color w:val="FFFF00"/>
                            <w:sz w:val="18"/>
                            <w:szCs w:val="18"/>
                          </w:rPr>
                          <w:t>前村</w:t>
                        </w:r>
                        <w:r>
                          <w:rPr>
                            <w:rFonts w:hint="eastAsia"/>
                            <w:b/>
                            <w:color w:val="FFFF00"/>
                            <w:sz w:val="18"/>
                            <w:szCs w:val="18"/>
                          </w:rPr>
                          <w:t>650m</w:t>
                        </w:r>
                      </w:p>
                    </w:txbxContent>
                  </v:textbox>
                </v:shape>
              </w:pict>
            </w:r>
            <w:r>
              <w:rPr>
                <w:rFonts w:ascii="宋体" w:hAnsi="宋体"/>
              </w:rPr>
              <w:pict>
                <v:shape id="_x0000_s2326" o:spid="_x0000_s2326" o:spt="61" type="#_x0000_t61" style="position:absolute;left:0pt;margin-left:330.9pt;margin-top:271.15pt;height:25.45pt;width:66.35pt;z-index:251664384;mso-width-relative:page;mso-height-relative:page;" filled="f" stroked="f" coordsize="21600,21600" adj="781,37556">
                  <v:path/>
                  <v:fill on="f" focussize="0,0"/>
                  <v:stroke on="f" joinstyle="miter"/>
                  <v:imagedata o:title=""/>
                  <o:lock v:ext="edit"/>
                  <v:textbox>
                    <w:txbxContent>
                      <w:p>
                        <w:pPr>
                          <w:rPr>
                            <w:b/>
                            <w:color w:val="FFFF00"/>
                            <w:sz w:val="18"/>
                            <w:szCs w:val="18"/>
                          </w:rPr>
                        </w:pPr>
                        <w:r>
                          <w:rPr>
                            <w:b/>
                            <w:color w:val="FFFF00"/>
                            <w:sz w:val="18"/>
                            <w:szCs w:val="18"/>
                          </w:rPr>
                          <w:t>贾桥村</w:t>
                        </w:r>
                        <w:r>
                          <w:rPr>
                            <w:rFonts w:hint="eastAsia"/>
                            <w:b/>
                            <w:color w:val="FFFF00"/>
                            <w:sz w:val="18"/>
                            <w:szCs w:val="18"/>
                          </w:rPr>
                          <w:t>230m</w:t>
                        </w:r>
                      </w:p>
                    </w:txbxContent>
                  </v:textbox>
                </v:shape>
              </w:pict>
            </w:r>
            <w:r>
              <w:rPr>
                <w:rFonts w:ascii="宋体" w:hAnsi="宋体"/>
                <w:sz w:val="24"/>
              </w:rPr>
              <w:drawing>
                <wp:anchor distT="0" distB="0" distL="114300" distR="114300" simplePos="0" relativeHeight="251643904" behindDoc="0" locked="0" layoutInCell="1" allowOverlap="1">
                  <wp:simplePos x="0" y="0"/>
                  <wp:positionH relativeFrom="column">
                    <wp:posOffset>4986655</wp:posOffset>
                  </wp:positionH>
                  <wp:positionV relativeFrom="paragraph">
                    <wp:posOffset>156210</wp:posOffset>
                  </wp:positionV>
                  <wp:extent cx="704850" cy="808990"/>
                  <wp:effectExtent l="0" t="0" r="0" b="10160"/>
                  <wp:wrapNone/>
                  <wp:docPr id="2" name="图片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42"/>
                          <pic:cNvPicPr>
                            <a:picLocks noChangeAspect="1" noChangeArrowheads="1"/>
                          </pic:cNvPicPr>
                        </pic:nvPicPr>
                        <pic:blipFill>
                          <a:blip r:embed="rId13" cstate="print">
                            <a:lum bright="2000"/>
                          </a:blip>
                          <a:srcRect/>
                          <a:stretch>
                            <a:fillRect/>
                          </a:stretch>
                        </pic:blipFill>
                        <pic:spPr>
                          <a:xfrm>
                            <a:off x="0" y="0"/>
                            <a:ext cx="704850" cy="808990"/>
                          </a:xfrm>
                          <a:prstGeom prst="rect">
                            <a:avLst/>
                          </a:prstGeom>
                          <a:solidFill>
                            <a:schemeClr val="bg1"/>
                          </a:solidFill>
                        </pic:spPr>
                      </pic:pic>
                    </a:graphicData>
                  </a:graphic>
                </wp:anchor>
              </w:drawing>
            </w:r>
            <w:r>
              <w:rPr>
                <w:rFonts w:ascii="宋体" w:hAnsi="宋体"/>
              </w:rPr>
              <w:pict>
                <v:shape id="_x0000_s2328" o:spid="_x0000_s2328" o:spt="61" type="#_x0000_t61" style="position:absolute;left:0pt;margin-left:34.05pt;margin-top:116.6pt;height:23.2pt;width:40.8pt;z-index:251665408;mso-width-relative:page;mso-height-relative:page;" filled="f" stroked="f" coordsize="21600,21600">
                  <v:path/>
                  <v:fill on="f" focussize="0,0"/>
                  <v:stroke on="f" joinstyle="miter"/>
                  <v:imagedata o:title=""/>
                  <o:lock v:ext="edit"/>
                  <v:textbox>
                    <w:txbxContent>
                      <w:p/>
                    </w:txbxContent>
                  </v:textbox>
                </v:shape>
              </w:pict>
            </w:r>
            <w:r>
              <w:rPr>
                <w:rFonts w:ascii="宋体" w:hAnsi="宋体"/>
              </w:rPr>
              <w:pict>
                <v:rect id="_x0000_s2320" o:spid="_x0000_s2320" o:spt="1" style="position:absolute;left:0pt;margin-left:268.5pt;margin-top:188.6pt;height:13.6pt;width:4.3pt;z-index:251661312;mso-width-relative:page;mso-height-relative:page;" filled="f" stroked="t" coordsize="21600,21600">
                  <v:path/>
                  <v:fill on="f" focussize="0,0"/>
                  <v:stroke weight="1pt" color="#FF0000"/>
                  <v:imagedata o:title=""/>
                  <o:lock v:ext="edit"/>
                  <v:textbox>
                    <w:txbxContent>
                      <w:p/>
                    </w:txbxContent>
                  </v:textbox>
                </v:rect>
              </w:pict>
            </w:r>
            <w:r>
              <w:drawing>
                <wp:inline distT="0" distB="0" distL="0" distR="0">
                  <wp:extent cx="5753100" cy="4399280"/>
                  <wp:effectExtent l="19050" t="0" r="0" b="0"/>
                  <wp:docPr id="1" name="图片 1" descr="鑫达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鑫达图片"/>
                          <pic:cNvPicPr>
                            <a:picLocks noChangeAspect="1" noChangeArrowheads="1"/>
                          </pic:cNvPicPr>
                        </pic:nvPicPr>
                        <pic:blipFill>
                          <a:blip r:embed="rId14" cstate="print"/>
                          <a:srcRect/>
                          <a:stretch>
                            <a:fillRect/>
                          </a:stretch>
                        </pic:blipFill>
                        <pic:spPr>
                          <a:xfrm>
                            <a:off x="0" y="0"/>
                            <a:ext cx="5753100" cy="4399280"/>
                          </a:xfrm>
                          <a:prstGeom prst="rect">
                            <a:avLst/>
                          </a:prstGeom>
                          <a:noFill/>
                          <a:ln w="9525">
                            <a:noFill/>
                            <a:miter lim="800000"/>
                            <a:headEnd/>
                            <a:tailEnd/>
                          </a:ln>
                        </pic:spPr>
                      </pic:pic>
                    </a:graphicData>
                  </a:graphic>
                </wp:inline>
              </w:drawing>
            </w:r>
          </w:p>
          <w:p>
            <w:pPr>
              <w:pStyle w:val="2"/>
              <w:spacing w:after="0" w:line="440" w:lineRule="exact"/>
              <w:ind w:left="0" w:leftChars="0" w:firstLine="2380" w:firstLineChars="992"/>
              <w:rPr>
                <w:rFonts w:eastAsia="黑体"/>
                <w:b/>
                <w:bCs/>
                <w:color w:val="000000"/>
                <w:sz w:val="24"/>
              </w:rPr>
            </w:pPr>
            <w:r>
              <w:rPr>
                <w:rFonts w:eastAsia="黑体"/>
                <w:color w:val="000000"/>
                <w:sz w:val="24"/>
              </w:rPr>
              <w:t>图1        项目周围</w:t>
            </w:r>
            <w:r>
              <w:rPr>
                <w:rFonts w:hint="eastAsia" w:eastAsia="黑体"/>
                <w:color w:val="000000"/>
                <w:sz w:val="24"/>
              </w:rPr>
              <w:t>环境示意</w:t>
            </w:r>
            <w:r>
              <w:rPr>
                <w:rFonts w:eastAsia="黑体"/>
                <w:color w:val="000000"/>
                <w:sz w:val="24"/>
              </w:rPr>
              <w:t>图</w:t>
            </w:r>
          </w:p>
          <w:p>
            <w:pPr>
              <w:spacing w:line="440" w:lineRule="exact"/>
              <w:rPr>
                <w:b/>
                <w:sz w:val="24"/>
                <w:lang w:val="pt-BR"/>
              </w:rPr>
            </w:pPr>
            <w:r>
              <w:rPr>
                <w:rFonts w:hint="eastAsia" w:hAnsi="宋体"/>
                <w:b/>
                <w:color w:val="000000"/>
                <w:sz w:val="24"/>
              </w:rPr>
              <w:t>三、工程内容</w:t>
            </w:r>
          </w:p>
          <w:p>
            <w:pPr>
              <w:adjustRightInd w:val="0"/>
              <w:snapToGrid w:val="0"/>
              <w:spacing w:line="440" w:lineRule="exact"/>
              <w:ind w:firstLine="482" w:firstLineChars="200"/>
              <w:rPr>
                <w:b/>
                <w:color w:val="000000"/>
                <w:sz w:val="24"/>
              </w:rPr>
            </w:pPr>
            <w:r>
              <w:rPr>
                <w:b/>
                <w:color w:val="000000"/>
                <w:sz w:val="24"/>
              </w:rPr>
              <w:t>1</w:t>
            </w:r>
            <w:r>
              <w:rPr>
                <w:rFonts w:hint="eastAsia" w:hAnsi="宋体"/>
                <w:b/>
                <w:color w:val="000000"/>
                <w:sz w:val="24"/>
              </w:rPr>
              <w:t>、项目概况</w:t>
            </w:r>
          </w:p>
          <w:p>
            <w:pPr>
              <w:spacing w:line="440" w:lineRule="exact"/>
              <w:ind w:firstLine="480" w:firstLineChars="200"/>
              <w:jc w:val="left"/>
              <w:rPr>
                <w:sz w:val="24"/>
              </w:rPr>
            </w:pPr>
            <w:r>
              <w:rPr>
                <w:rFonts w:hint="eastAsia"/>
                <w:sz w:val="24"/>
              </w:rPr>
              <w:t>项目的基本情况见下表：</w:t>
            </w:r>
          </w:p>
          <w:p>
            <w:pPr>
              <w:autoSpaceDE w:val="0"/>
              <w:autoSpaceDN w:val="0"/>
              <w:adjustRightInd w:val="0"/>
              <w:spacing w:line="440" w:lineRule="exact"/>
              <w:ind w:firstLine="480" w:firstLineChars="200"/>
              <w:rPr>
                <w:rFonts w:eastAsia="黑体"/>
                <w:bCs/>
                <w:color w:val="000000"/>
                <w:sz w:val="24"/>
              </w:rPr>
            </w:pPr>
          </w:p>
          <w:p>
            <w:pPr>
              <w:autoSpaceDE w:val="0"/>
              <w:autoSpaceDN w:val="0"/>
              <w:adjustRightInd w:val="0"/>
              <w:spacing w:line="440" w:lineRule="exact"/>
              <w:ind w:firstLine="480" w:firstLineChars="200"/>
              <w:rPr>
                <w:rFonts w:eastAsia="黑体"/>
                <w:bCs/>
                <w:color w:val="000000"/>
                <w:sz w:val="24"/>
              </w:rPr>
            </w:pPr>
            <w:r>
              <w:rPr>
                <w:rFonts w:eastAsia="黑体"/>
                <w:bCs/>
                <w:color w:val="000000"/>
                <w:sz w:val="24"/>
              </w:rPr>
              <w:t xml:space="preserve">表1           </w:t>
            </w:r>
            <w:r>
              <w:rPr>
                <w:rFonts w:hint="eastAsia" w:eastAsia="黑体"/>
                <w:bCs/>
                <w:color w:val="000000"/>
                <w:sz w:val="24"/>
              </w:rPr>
              <w:t xml:space="preserve"> </w:t>
            </w:r>
            <w:r>
              <w:rPr>
                <w:rFonts w:eastAsia="黑体"/>
                <w:bCs/>
                <w:color w:val="000000"/>
                <w:sz w:val="24"/>
              </w:rPr>
              <w:t xml:space="preserve">         本项目基本情况一览表</w:t>
            </w:r>
          </w:p>
          <w:tbl>
            <w:tblPr>
              <w:tblStyle w:val="24"/>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44"/>
              <w:gridCol w:w="6695"/>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344" w:type="dxa"/>
                  <w:tcBorders>
                    <w:bottom w:val="single" w:color="auto" w:sz="8" w:space="0"/>
                  </w:tcBorders>
                  <w:vAlign w:val="center"/>
                </w:tcPr>
                <w:p>
                  <w:pPr>
                    <w:adjustRightInd w:val="0"/>
                    <w:snapToGrid w:val="0"/>
                    <w:jc w:val="center"/>
                    <w:rPr>
                      <w:b/>
                      <w:bCs/>
                      <w:szCs w:val="21"/>
                    </w:rPr>
                  </w:pPr>
                  <w:r>
                    <w:rPr>
                      <w:b/>
                      <w:bCs/>
                      <w:szCs w:val="21"/>
                    </w:rPr>
                    <w:t>项目</w:t>
                  </w:r>
                </w:p>
              </w:tc>
              <w:tc>
                <w:tcPr>
                  <w:tcW w:w="6695" w:type="dxa"/>
                  <w:tcBorders>
                    <w:bottom w:val="single" w:color="auto" w:sz="8" w:space="0"/>
                  </w:tcBorders>
                  <w:vAlign w:val="center"/>
                </w:tcPr>
                <w:p>
                  <w:pPr>
                    <w:adjustRightInd w:val="0"/>
                    <w:snapToGrid w:val="0"/>
                    <w:jc w:val="center"/>
                    <w:rPr>
                      <w:b/>
                      <w:bCs/>
                      <w:szCs w:val="21"/>
                    </w:rPr>
                  </w:pPr>
                  <w:r>
                    <w:rPr>
                      <w:b/>
                      <w:bCs/>
                      <w:szCs w:val="21"/>
                    </w:rPr>
                    <w:t>建设内容</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344" w:type="dxa"/>
                  <w:tcBorders>
                    <w:bottom w:val="single" w:color="auto" w:sz="4" w:space="0"/>
                  </w:tcBorders>
                  <w:vAlign w:val="center"/>
                </w:tcPr>
                <w:p>
                  <w:pPr>
                    <w:pStyle w:val="3"/>
                    <w:adjustRightInd w:val="0"/>
                    <w:snapToGrid w:val="0"/>
                    <w:spacing w:line="240" w:lineRule="auto"/>
                    <w:ind w:firstLine="0" w:firstLineChars="0"/>
                    <w:jc w:val="center"/>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项目名称</w:t>
                  </w:r>
                </w:p>
              </w:tc>
              <w:tc>
                <w:tcPr>
                  <w:tcW w:w="6695" w:type="dxa"/>
                  <w:tcBorders>
                    <w:bottom w:val="single" w:color="auto" w:sz="4" w:space="0"/>
                  </w:tcBorders>
                  <w:vAlign w:val="center"/>
                </w:tcPr>
                <w:p>
                  <w:pPr>
                    <w:pStyle w:val="3"/>
                    <w:adjustRightInd w:val="0"/>
                    <w:snapToGrid w:val="0"/>
                    <w:spacing w:line="240" w:lineRule="auto"/>
                    <w:ind w:firstLine="0" w:firstLineChars="0"/>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新乡县合河乡鑫达线材厂</w:t>
                  </w:r>
                  <w:r>
                    <w:rPr>
                      <w:rFonts w:hint="eastAsia"/>
                      <w:bCs/>
                      <w:color w:val="000000"/>
                      <w:sz w:val="21"/>
                      <w:szCs w:val="21"/>
                    </w:rPr>
                    <w:t>年产1000吨铁钉项目</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44" w:type="dxa"/>
                  <w:tcBorders>
                    <w:top w:val="single" w:color="auto" w:sz="4" w:space="0"/>
                    <w:tl2br w:val="nil"/>
                    <w:tr2bl w:val="nil"/>
                  </w:tcBorders>
                  <w:vAlign w:val="center"/>
                </w:tcPr>
                <w:p>
                  <w:pPr>
                    <w:pStyle w:val="3"/>
                    <w:adjustRightInd w:val="0"/>
                    <w:snapToGrid w:val="0"/>
                    <w:spacing w:line="240" w:lineRule="auto"/>
                    <w:ind w:firstLine="0" w:firstLineChars="0"/>
                    <w:jc w:val="center"/>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建设性质</w:t>
                  </w:r>
                </w:p>
              </w:tc>
              <w:tc>
                <w:tcPr>
                  <w:tcW w:w="6695" w:type="dxa"/>
                  <w:tcBorders>
                    <w:top w:val="single" w:color="auto" w:sz="4" w:space="0"/>
                    <w:tl2br w:val="nil"/>
                    <w:tr2bl w:val="nil"/>
                  </w:tcBorders>
                  <w:vAlign w:val="center"/>
                </w:tcPr>
                <w:p>
                  <w:pPr>
                    <w:pStyle w:val="3"/>
                    <w:adjustRightInd w:val="0"/>
                    <w:snapToGrid w:val="0"/>
                    <w:spacing w:line="240" w:lineRule="auto"/>
                    <w:ind w:firstLine="0" w:firstLineChars="0"/>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新建</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44" w:type="dxa"/>
                  <w:tcBorders>
                    <w:tl2br w:val="nil"/>
                    <w:tr2bl w:val="nil"/>
                  </w:tcBorders>
                  <w:vAlign w:val="center"/>
                </w:tcPr>
                <w:p>
                  <w:pPr>
                    <w:pStyle w:val="3"/>
                    <w:adjustRightInd w:val="0"/>
                    <w:snapToGrid w:val="0"/>
                    <w:spacing w:line="240" w:lineRule="auto"/>
                    <w:ind w:firstLine="0" w:firstLineChars="0"/>
                    <w:jc w:val="center"/>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建设单位</w:t>
                  </w:r>
                </w:p>
              </w:tc>
              <w:tc>
                <w:tcPr>
                  <w:tcW w:w="6695" w:type="dxa"/>
                  <w:tcBorders>
                    <w:tl2br w:val="nil"/>
                    <w:tr2bl w:val="nil"/>
                  </w:tcBorders>
                  <w:vAlign w:val="center"/>
                </w:tcPr>
                <w:p>
                  <w:pPr>
                    <w:pStyle w:val="3"/>
                    <w:adjustRightInd w:val="0"/>
                    <w:snapToGrid w:val="0"/>
                    <w:spacing w:line="240" w:lineRule="auto"/>
                    <w:ind w:firstLine="0" w:firstLineChars="0"/>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新乡县合河乡鑫达线材厂</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44" w:type="dxa"/>
                  <w:tcBorders>
                    <w:tl2br w:val="nil"/>
                    <w:tr2bl w:val="nil"/>
                  </w:tcBorders>
                  <w:vAlign w:val="center"/>
                </w:tcPr>
                <w:p>
                  <w:pPr>
                    <w:pStyle w:val="3"/>
                    <w:adjustRightInd w:val="0"/>
                    <w:snapToGrid w:val="0"/>
                    <w:spacing w:line="240" w:lineRule="auto"/>
                    <w:ind w:firstLine="0" w:firstLineChars="0"/>
                    <w:jc w:val="center"/>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建设地点</w:t>
                  </w:r>
                </w:p>
              </w:tc>
              <w:tc>
                <w:tcPr>
                  <w:tcW w:w="6695" w:type="dxa"/>
                  <w:tcBorders>
                    <w:tl2br w:val="nil"/>
                    <w:tr2bl w:val="nil"/>
                  </w:tcBorders>
                  <w:vAlign w:val="center"/>
                </w:tcPr>
                <w:p>
                  <w:pPr>
                    <w:pStyle w:val="3"/>
                    <w:adjustRightInd w:val="0"/>
                    <w:snapToGrid w:val="0"/>
                    <w:spacing w:line="240" w:lineRule="auto"/>
                    <w:ind w:firstLine="0" w:firstLineChars="0"/>
                    <w:jc w:val="center"/>
                    <w:rPr>
                      <w:rFonts w:ascii="Times New Roman" w:hAnsi="Times New Roman" w:eastAsiaTheme="minorEastAsia"/>
                      <w:color w:val="000000"/>
                      <w:sz w:val="21"/>
                      <w:szCs w:val="21"/>
                    </w:rPr>
                  </w:pPr>
                  <w:r>
                    <w:rPr>
                      <w:rFonts w:ascii="Times New Roman" w:hAnsiTheme="minorEastAsia" w:eastAsiaTheme="minorEastAsia"/>
                      <w:bCs/>
                      <w:color w:val="000000"/>
                      <w:sz w:val="21"/>
                      <w:szCs w:val="21"/>
                    </w:rPr>
                    <w:t>新乡县合河乡贾桥村工业区西头路北</w:t>
                  </w:r>
                  <w:r>
                    <w:rPr>
                      <w:rFonts w:ascii="Times New Roman" w:hAnsi="Times New Roman" w:eastAsiaTheme="minorEastAsia"/>
                      <w:bCs/>
                      <w:color w:val="000000"/>
                      <w:sz w:val="21"/>
                      <w:szCs w:val="21"/>
                    </w:rPr>
                    <w:t>4</w:t>
                  </w:r>
                  <w:r>
                    <w:rPr>
                      <w:rFonts w:ascii="Times New Roman" w:hAnsiTheme="minorEastAsia" w:eastAsiaTheme="minorEastAsia"/>
                      <w:bCs/>
                      <w:color w:val="000000"/>
                      <w:sz w:val="21"/>
                      <w:szCs w:val="21"/>
                    </w:rPr>
                    <w:t>号</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44" w:type="dxa"/>
                  <w:tcBorders>
                    <w:tl2br w:val="nil"/>
                    <w:tr2bl w:val="nil"/>
                  </w:tcBorders>
                  <w:vAlign w:val="center"/>
                </w:tcPr>
                <w:p>
                  <w:pPr>
                    <w:pStyle w:val="3"/>
                    <w:adjustRightInd w:val="0"/>
                    <w:snapToGrid w:val="0"/>
                    <w:spacing w:line="240" w:lineRule="auto"/>
                    <w:ind w:firstLine="0" w:firstLineChars="0"/>
                    <w:jc w:val="center"/>
                    <w:rPr>
                      <w:color w:val="000000"/>
                      <w:sz w:val="21"/>
                      <w:szCs w:val="21"/>
                    </w:rPr>
                  </w:pPr>
                  <w:r>
                    <w:rPr>
                      <w:color w:val="000000"/>
                      <w:sz w:val="21"/>
                      <w:szCs w:val="21"/>
                    </w:rPr>
                    <w:t>工程投资</w:t>
                  </w:r>
                </w:p>
              </w:tc>
              <w:tc>
                <w:tcPr>
                  <w:tcW w:w="6695" w:type="dxa"/>
                  <w:tcBorders>
                    <w:tl2br w:val="nil"/>
                    <w:tr2bl w:val="nil"/>
                  </w:tcBorders>
                  <w:vAlign w:val="center"/>
                </w:tcPr>
                <w:p>
                  <w:pPr>
                    <w:pStyle w:val="3"/>
                    <w:adjustRightInd w:val="0"/>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40万元</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44" w:type="dxa"/>
                  <w:tcBorders>
                    <w:tl2br w:val="nil"/>
                    <w:tr2bl w:val="nil"/>
                  </w:tcBorders>
                  <w:vAlign w:val="center"/>
                </w:tcPr>
                <w:p>
                  <w:pPr>
                    <w:pStyle w:val="3"/>
                    <w:adjustRightInd w:val="0"/>
                    <w:snapToGrid w:val="0"/>
                    <w:spacing w:line="240" w:lineRule="auto"/>
                    <w:ind w:firstLine="0" w:firstLineChars="0"/>
                    <w:jc w:val="center"/>
                    <w:rPr>
                      <w:color w:val="000000"/>
                      <w:sz w:val="21"/>
                      <w:szCs w:val="21"/>
                    </w:rPr>
                  </w:pPr>
                  <w:r>
                    <w:rPr>
                      <w:color w:val="000000"/>
                      <w:sz w:val="21"/>
                      <w:szCs w:val="21"/>
                    </w:rPr>
                    <w:t>占地面积</w:t>
                  </w:r>
                </w:p>
              </w:tc>
              <w:tc>
                <w:tcPr>
                  <w:tcW w:w="6695" w:type="dxa"/>
                  <w:tcBorders>
                    <w:tl2br w:val="nil"/>
                    <w:tr2bl w:val="nil"/>
                  </w:tcBorders>
                  <w:vAlign w:val="center"/>
                </w:tcPr>
                <w:p>
                  <w:pPr>
                    <w:pStyle w:val="3"/>
                    <w:adjustRightInd w:val="0"/>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1019m</w:t>
                  </w:r>
                  <w:r>
                    <w:rPr>
                      <w:rFonts w:ascii="Times New Roman" w:hAnsi="Times New Roman"/>
                      <w:color w:val="000000"/>
                      <w:sz w:val="21"/>
                      <w:szCs w:val="21"/>
                      <w:vertAlign w:val="superscript"/>
                    </w:rP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44" w:type="dxa"/>
                  <w:tcBorders>
                    <w:tl2br w:val="nil"/>
                    <w:tr2bl w:val="nil"/>
                  </w:tcBorders>
                  <w:vAlign w:val="center"/>
                </w:tcPr>
                <w:p>
                  <w:pPr>
                    <w:adjustRightInd w:val="0"/>
                    <w:snapToGrid w:val="0"/>
                    <w:ind w:right="-107" w:rightChars="-51"/>
                    <w:jc w:val="center"/>
                    <w:rPr>
                      <w:rFonts w:ascii="宋体" w:hAnsi="宋体"/>
                      <w:color w:val="000000"/>
                      <w:szCs w:val="21"/>
                    </w:rPr>
                  </w:pPr>
                  <w:r>
                    <w:rPr>
                      <w:rFonts w:ascii="宋体" w:hAnsi="宋体"/>
                      <w:color w:val="000000"/>
                      <w:szCs w:val="21"/>
                    </w:rPr>
                    <w:t>劳动定员及工作制度</w:t>
                  </w:r>
                </w:p>
              </w:tc>
              <w:tc>
                <w:tcPr>
                  <w:tcW w:w="6695" w:type="dxa"/>
                  <w:tcBorders>
                    <w:tl2br w:val="nil"/>
                    <w:tr2bl w:val="nil"/>
                  </w:tcBorders>
                  <w:vAlign w:val="center"/>
                </w:tcPr>
                <w:p>
                  <w:pPr>
                    <w:pStyle w:val="3"/>
                    <w:adjustRightInd w:val="0"/>
                    <w:snapToGrid w:val="0"/>
                    <w:spacing w:line="240" w:lineRule="auto"/>
                    <w:ind w:firstLine="0" w:firstLineChars="0"/>
                    <w:jc w:val="center"/>
                    <w:rPr>
                      <w:rFonts w:ascii="Times New Roman" w:hAnsi="Times New Roman"/>
                      <w:color w:val="000000"/>
                      <w:sz w:val="21"/>
                      <w:szCs w:val="21"/>
                      <w:highlight w:val="yellow"/>
                    </w:rPr>
                  </w:pPr>
                  <w:r>
                    <w:rPr>
                      <w:rFonts w:ascii="Times New Roman" w:hAnsi="Times New Roman"/>
                      <w:color w:val="000000"/>
                      <w:sz w:val="21"/>
                      <w:szCs w:val="21"/>
                    </w:rPr>
                    <w:t>劳动定员4人，单班生产，每班8小时，年工作300天。</w:t>
                  </w:r>
                </w:p>
              </w:tc>
            </w:tr>
          </w:tbl>
          <w:p>
            <w:pPr>
              <w:spacing w:line="440" w:lineRule="exact"/>
              <w:ind w:firstLine="482" w:firstLineChars="200"/>
              <w:rPr>
                <w:b/>
                <w:sz w:val="24"/>
              </w:rPr>
            </w:pPr>
            <w:r>
              <w:rPr>
                <w:b/>
                <w:sz w:val="24"/>
              </w:rPr>
              <w:t>2、项目组成及建设情况</w:t>
            </w:r>
          </w:p>
          <w:p>
            <w:pPr>
              <w:spacing w:line="440" w:lineRule="exact"/>
              <w:ind w:firstLine="480" w:firstLineChars="200"/>
              <w:rPr>
                <w:sz w:val="24"/>
              </w:rPr>
            </w:pPr>
            <w:r>
              <w:rPr>
                <w:bCs/>
                <w:color w:val="000000"/>
                <w:sz w:val="24"/>
              </w:rPr>
              <w:t>本项目租赁贾桥村工业区西头路北4号厂房进行生产，目前厂房为空，未安装生产设备，</w:t>
            </w:r>
            <w:r>
              <w:rPr>
                <w:sz w:val="24"/>
              </w:rPr>
              <w:t>不具备生产能力。厂区现状照片如图2、图3：</w:t>
            </w:r>
          </w:p>
          <w:p>
            <w:pPr>
              <w:spacing w:line="440" w:lineRule="exact"/>
              <w:ind w:firstLine="960" w:firstLineChars="400"/>
              <w:rPr>
                <w:rFonts w:eastAsia="黑体"/>
                <w:bCs/>
                <w:color w:val="000000"/>
                <w:sz w:val="24"/>
              </w:rPr>
            </w:pPr>
            <w:r>
              <w:rPr>
                <w:rFonts w:hint="eastAsia" w:asciiTheme="minorEastAsia" w:hAnsiTheme="minorEastAsia" w:eastAsiaTheme="minorEastAsia" w:cstheme="minorEastAsia"/>
                <w:bCs/>
                <w:color w:val="000000"/>
                <w:sz w:val="24"/>
              </w:rPr>
              <w:drawing>
                <wp:anchor distT="0" distB="0" distL="114300" distR="114300" simplePos="0" relativeHeight="251642880" behindDoc="0" locked="0" layoutInCell="1" allowOverlap="1">
                  <wp:simplePos x="0" y="0"/>
                  <wp:positionH relativeFrom="margin">
                    <wp:posOffset>3009900</wp:posOffset>
                  </wp:positionH>
                  <wp:positionV relativeFrom="margin">
                    <wp:posOffset>2927985</wp:posOffset>
                  </wp:positionV>
                  <wp:extent cx="2731135" cy="1857375"/>
                  <wp:effectExtent l="19050" t="0" r="0" b="0"/>
                  <wp:wrapSquare wrapText="bothSides"/>
                  <wp:docPr id="271" name="图片 271" descr="鑫达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鑫达图片2"/>
                          <pic:cNvPicPr>
                            <a:picLocks noChangeAspect="1" noChangeArrowheads="1"/>
                          </pic:cNvPicPr>
                        </pic:nvPicPr>
                        <pic:blipFill>
                          <a:blip r:embed="rId15" cstate="print"/>
                          <a:srcRect/>
                          <a:stretch>
                            <a:fillRect/>
                          </a:stretch>
                        </pic:blipFill>
                        <pic:spPr>
                          <a:xfrm>
                            <a:off x="0" y="0"/>
                            <a:ext cx="2731135" cy="1857375"/>
                          </a:xfrm>
                          <a:prstGeom prst="rect">
                            <a:avLst/>
                          </a:prstGeom>
                          <a:noFill/>
                          <a:ln w="9525">
                            <a:noFill/>
                            <a:miter lim="800000"/>
                            <a:headEnd/>
                            <a:tailEnd/>
                          </a:ln>
                        </pic:spPr>
                      </pic:pic>
                    </a:graphicData>
                  </a:graphic>
                </wp:anchor>
              </w:drawing>
            </w:r>
            <w:r>
              <w:rPr>
                <w:rFonts w:eastAsia="黑体"/>
                <w:bCs/>
                <w:color w:val="000000"/>
                <w:sz w:val="24"/>
              </w:rPr>
              <w:drawing>
                <wp:anchor distT="0" distB="0" distL="114300" distR="114300" simplePos="0" relativeHeight="251641856" behindDoc="0" locked="0" layoutInCell="1" allowOverlap="1">
                  <wp:simplePos x="0" y="0"/>
                  <wp:positionH relativeFrom="margin">
                    <wp:posOffset>66040</wp:posOffset>
                  </wp:positionH>
                  <wp:positionV relativeFrom="margin">
                    <wp:posOffset>2927350</wp:posOffset>
                  </wp:positionV>
                  <wp:extent cx="2829560" cy="1857375"/>
                  <wp:effectExtent l="19050" t="0" r="8890" b="0"/>
                  <wp:wrapSquare wrapText="bothSides"/>
                  <wp:docPr id="270" name="图片 270" descr="鑫达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鑫达图片1"/>
                          <pic:cNvPicPr>
                            <a:picLocks noChangeAspect="1" noChangeArrowheads="1"/>
                          </pic:cNvPicPr>
                        </pic:nvPicPr>
                        <pic:blipFill>
                          <a:blip r:embed="rId16" cstate="print"/>
                          <a:srcRect/>
                          <a:stretch>
                            <a:fillRect/>
                          </a:stretch>
                        </pic:blipFill>
                        <pic:spPr>
                          <a:xfrm>
                            <a:off x="0" y="0"/>
                            <a:ext cx="2829560" cy="1857375"/>
                          </a:xfrm>
                          <a:prstGeom prst="rect">
                            <a:avLst/>
                          </a:prstGeom>
                          <a:noFill/>
                          <a:ln w="9525">
                            <a:noFill/>
                            <a:miter lim="800000"/>
                            <a:headEnd/>
                            <a:tailEnd/>
                          </a:ln>
                        </pic:spPr>
                      </pic:pic>
                    </a:graphicData>
                  </a:graphic>
                </wp:anchor>
              </w:drawing>
            </w:r>
            <w:r>
              <w:rPr>
                <w:rFonts w:eastAsia="黑体"/>
                <w:bCs/>
                <w:color w:val="000000"/>
                <w:sz w:val="24"/>
              </w:rPr>
              <w:t>图2     项目现状图</w:t>
            </w:r>
            <w:r>
              <w:rPr>
                <w:rFonts w:hint="eastAsia" w:eastAsia="黑体"/>
                <w:bCs/>
                <w:color w:val="000000"/>
                <w:sz w:val="24"/>
              </w:rPr>
              <w:t xml:space="preserve">                      图3   项目现状图</w:t>
            </w:r>
          </w:p>
          <w:p>
            <w:pPr>
              <w:pStyle w:val="40"/>
              <w:ind w:firstLine="480" w:firstLineChars="200"/>
              <w:rPr>
                <w:rFonts w:asciiTheme="minorEastAsia" w:hAnsiTheme="minorEastAsia" w:eastAsiaTheme="minorEastAsia" w:cstheme="minorEastAsia"/>
                <w:bCs/>
                <w:color w:val="000000"/>
                <w:sz w:val="24"/>
                <w:szCs w:val="24"/>
              </w:rPr>
            </w:pPr>
          </w:p>
          <w:p>
            <w:pPr>
              <w:pStyle w:val="40"/>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000000"/>
                <w:sz w:val="24"/>
                <w:szCs w:val="24"/>
              </w:rPr>
              <w:t>本项目主要建设内容见下表：</w:t>
            </w:r>
          </w:p>
          <w:p>
            <w:pPr>
              <w:adjustRightInd w:val="0"/>
              <w:snapToGrid w:val="0"/>
              <w:spacing w:line="520" w:lineRule="exact"/>
              <w:ind w:firstLine="480" w:firstLineChars="200"/>
              <w:rPr>
                <w:rFonts w:eastAsia="黑体"/>
                <w:bCs/>
                <w:color w:val="000000"/>
                <w:sz w:val="24"/>
              </w:rPr>
            </w:pPr>
            <w:r>
              <w:rPr>
                <w:rFonts w:eastAsia="黑体"/>
                <w:bCs/>
                <w:color w:val="000000"/>
                <w:sz w:val="24"/>
              </w:rPr>
              <w:t>表2                 本项目组成情况一览表</w:t>
            </w:r>
          </w:p>
          <w:tbl>
            <w:tblPr>
              <w:tblStyle w:val="24"/>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1070"/>
              <w:gridCol w:w="1122"/>
              <w:gridCol w:w="5104"/>
              <w:gridCol w:w="1134"/>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tcBorders>
                    <w:bottom w:val="single" w:color="auto" w:sz="8" w:space="0"/>
                  </w:tcBorders>
                  <w:vAlign w:val="center"/>
                </w:tcPr>
                <w:p>
                  <w:pPr>
                    <w:adjustRightInd w:val="0"/>
                    <w:snapToGrid w:val="0"/>
                    <w:jc w:val="center"/>
                    <w:textAlignment w:val="baseline"/>
                    <w:rPr>
                      <w:b/>
                      <w:bCs/>
                      <w:color w:val="000000"/>
                      <w:szCs w:val="21"/>
                    </w:rPr>
                  </w:pPr>
                  <w:r>
                    <w:rPr>
                      <w:b/>
                      <w:bCs/>
                      <w:color w:val="000000"/>
                      <w:szCs w:val="21"/>
                    </w:rPr>
                    <w:t>序号</w:t>
                  </w:r>
                </w:p>
              </w:tc>
              <w:tc>
                <w:tcPr>
                  <w:tcW w:w="1070" w:type="dxa"/>
                  <w:tcBorders>
                    <w:bottom w:val="single" w:color="auto" w:sz="8" w:space="0"/>
                  </w:tcBorders>
                  <w:vAlign w:val="center"/>
                </w:tcPr>
                <w:p>
                  <w:pPr>
                    <w:adjustRightInd w:val="0"/>
                    <w:snapToGrid w:val="0"/>
                    <w:jc w:val="center"/>
                    <w:textAlignment w:val="baseline"/>
                    <w:rPr>
                      <w:b/>
                      <w:bCs/>
                      <w:color w:val="000000"/>
                      <w:szCs w:val="21"/>
                    </w:rPr>
                  </w:pPr>
                  <w:r>
                    <w:rPr>
                      <w:b/>
                      <w:bCs/>
                      <w:color w:val="000000"/>
                      <w:szCs w:val="21"/>
                    </w:rPr>
                    <w:t>项目</w:t>
                  </w:r>
                </w:p>
              </w:tc>
              <w:tc>
                <w:tcPr>
                  <w:tcW w:w="1122" w:type="dxa"/>
                  <w:tcBorders>
                    <w:bottom w:val="single" w:color="auto" w:sz="8" w:space="0"/>
                  </w:tcBorders>
                  <w:vAlign w:val="center"/>
                </w:tcPr>
                <w:p>
                  <w:pPr>
                    <w:adjustRightInd w:val="0"/>
                    <w:snapToGrid w:val="0"/>
                    <w:jc w:val="center"/>
                    <w:textAlignment w:val="baseline"/>
                    <w:rPr>
                      <w:b/>
                      <w:bCs/>
                      <w:color w:val="000000"/>
                      <w:szCs w:val="21"/>
                    </w:rPr>
                  </w:pPr>
                  <w:r>
                    <w:rPr>
                      <w:b/>
                      <w:bCs/>
                      <w:color w:val="000000"/>
                      <w:szCs w:val="21"/>
                    </w:rPr>
                    <w:t>建设内容</w:t>
                  </w:r>
                </w:p>
              </w:tc>
              <w:tc>
                <w:tcPr>
                  <w:tcW w:w="5103" w:type="dxa"/>
                  <w:tcBorders>
                    <w:bottom w:val="single" w:color="auto" w:sz="8" w:space="0"/>
                  </w:tcBorders>
                  <w:vAlign w:val="center"/>
                </w:tcPr>
                <w:p>
                  <w:pPr>
                    <w:adjustRightInd w:val="0"/>
                    <w:snapToGrid w:val="0"/>
                    <w:jc w:val="center"/>
                    <w:textAlignment w:val="baseline"/>
                    <w:rPr>
                      <w:b/>
                      <w:bCs/>
                      <w:color w:val="000000"/>
                      <w:szCs w:val="21"/>
                    </w:rPr>
                  </w:pPr>
                  <w:r>
                    <w:rPr>
                      <w:b/>
                      <w:bCs/>
                      <w:color w:val="000000"/>
                      <w:szCs w:val="21"/>
                    </w:rPr>
                    <w:t>数量、规模或要求</w:t>
                  </w:r>
                </w:p>
              </w:tc>
              <w:tc>
                <w:tcPr>
                  <w:tcW w:w="1134" w:type="dxa"/>
                  <w:tcBorders>
                    <w:bottom w:val="single" w:color="auto" w:sz="8" w:space="0"/>
                  </w:tcBorders>
                  <w:vAlign w:val="center"/>
                </w:tcPr>
                <w:p>
                  <w:pPr>
                    <w:adjustRightInd w:val="0"/>
                    <w:snapToGrid w:val="0"/>
                    <w:jc w:val="center"/>
                    <w:textAlignment w:val="baseline"/>
                    <w:rPr>
                      <w:b/>
                      <w:bCs/>
                      <w:color w:val="000000"/>
                      <w:szCs w:val="21"/>
                    </w:rPr>
                  </w:pPr>
                  <w:r>
                    <w:rPr>
                      <w:b/>
                      <w:bCs/>
                      <w:color w:val="000000"/>
                      <w:szCs w:val="21"/>
                    </w:rPr>
                    <w:t>备注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tcBorders>
                    <w:top w:val="single" w:color="auto" w:sz="8" w:space="0"/>
                    <w:tl2br w:val="nil"/>
                    <w:tr2bl w:val="nil"/>
                  </w:tcBorders>
                  <w:vAlign w:val="center"/>
                </w:tcPr>
                <w:p>
                  <w:pPr>
                    <w:adjustRightInd w:val="0"/>
                    <w:snapToGrid w:val="0"/>
                    <w:jc w:val="center"/>
                    <w:textAlignment w:val="baseline"/>
                    <w:rPr>
                      <w:color w:val="000000"/>
                      <w:szCs w:val="21"/>
                    </w:rPr>
                  </w:pPr>
                  <w:r>
                    <w:rPr>
                      <w:color w:val="000000"/>
                      <w:szCs w:val="21"/>
                    </w:rPr>
                    <w:t>1</w:t>
                  </w:r>
                </w:p>
              </w:tc>
              <w:tc>
                <w:tcPr>
                  <w:tcW w:w="1070" w:type="dxa"/>
                  <w:tcBorders>
                    <w:top w:val="single" w:color="auto" w:sz="8" w:space="0"/>
                    <w:tl2br w:val="nil"/>
                    <w:tr2bl w:val="nil"/>
                  </w:tcBorders>
                  <w:vAlign w:val="center"/>
                </w:tcPr>
                <w:p>
                  <w:pPr>
                    <w:adjustRightInd w:val="0"/>
                    <w:snapToGrid w:val="0"/>
                    <w:jc w:val="center"/>
                    <w:textAlignment w:val="baseline"/>
                    <w:rPr>
                      <w:color w:val="000000"/>
                      <w:szCs w:val="21"/>
                    </w:rPr>
                  </w:pPr>
                  <w:r>
                    <w:rPr>
                      <w:rFonts w:hAnsi="宋体"/>
                      <w:color w:val="000000"/>
                      <w:szCs w:val="21"/>
                    </w:rPr>
                    <w:t>主体工程</w:t>
                  </w:r>
                </w:p>
              </w:tc>
              <w:tc>
                <w:tcPr>
                  <w:tcW w:w="1122" w:type="dxa"/>
                  <w:tcBorders>
                    <w:top w:val="single" w:color="auto" w:sz="8" w:space="0"/>
                    <w:tl2br w:val="nil"/>
                    <w:tr2bl w:val="nil"/>
                  </w:tcBorders>
                  <w:vAlign w:val="center"/>
                </w:tcPr>
                <w:p>
                  <w:pPr>
                    <w:adjustRightInd w:val="0"/>
                    <w:snapToGrid w:val="0"/>
                    <w:jc w:val="center"/>
                    <w:textAlignment w:val="baseline"/>
                    <w:rPr>
                      <w:color w:val="000000"/>
                      <w:szCs w:val="21"/>
                    </w:rPr>
                  </w:pPr>
                  <w:r>
                    <w:rPr>
                      <w:rFonts w:hAnsi="宋体"/>
                      <w:color w:val="000000"/>
                      <w:szCs w:val="21"/>
                    </w:rPr>
                    <w:t>生产车间</w:t>
                  </w:r>
                </w:p>
              </w:tc>
              <w:tc>
                <w:tcPr>
                  <w:tcW w:w="5103" w:type="dxa"/>
                  <w:tcBorders>
                    <w:top w:val="single" w:color="auto" w:sz="8" w:space="0"/>
                    <w:tl2br w:val="nil"/>
                    <w:tr2bl w:val="nil"/>
                  </w:tcBorders>
                  <w:vAlign w:val="center"/>
                </w:tcPr>
                <w:p>
                  <w:pPr>
                    <w:adjustRightInd w:val="0"/>
                    <w:snapToGrid w:val="0"/>
                    <w:jc w:val="center"/>
                    <w:textAlignment w:val="baseline"/>
                    <w:rPr>
                      <w:color w:val="000000"/>
                      <w:szCs w:val="21"/>
                    </w:rPr>
                  </w:pPr>
                  <w:r>
                    <w:rPr>
                      <w:rFonts w:hint="eastAsia" w:hAnsi="宋体"/>
                      <w:color w:val="000000"/>
                      <w:szCs w:val="21"/>
                    </w:rPr>
                    <w:t>970m</w:t>
                  </w:r>
                  <w:r>
                    <w:rPr>
                      <w:rFonts w:hint="eastAsia" w:hAnsi="宋体"/>
                      <w:color w:val="000000"/>
                      <w:szCs w:val="21"/>
                      <w:vertAlign w:val="superscript"/>
                    </w:rPr>
                    <w:t>2</w:t>
                  </w:r>
                  <w:r>
                    <w:rPr>
                      <w:rFonts w:hint="eastAsia" w:hAnsi="宋体"/>
                      <w:color w:val="000000"/>
                      <w:szCs w:val="21"/>
                    </w:rPr>
                    <w:t>（含仓库、固废间）</w:t>
                  </w:r>
                </w:p>
              </w:tc>
              <w:tc>
                <w:tcPr>
                  <w:tcW w:w="1134" w:type="dxa"/>
                  <w:tcBorders>
                    <w:top w:val="single" w:color="auto" w:sz="8" w:space="0"/>
                    <w:tl2br w:val="nil"/>
                    <w:tr2bl w:val="nil"/>
                  </w:tcBorders>
                  <w:vAlign w:val="center"/>
                </w:tcPr>
                <w:p>
                  <w:pPr>
                    <w:adjustRightInd w:val="0"/>
                    <w:snapToGrid w:val="0"/>
                    <w:jc w:val="center"/>
                    <w:textAlignment w:val="baseline"/>
                    <w:rPr>
                      <w:color w:val="000000"/>
                      <w:szCs w:val="21"/>
                    </w:rPr>
                  </w:pPr>
                  <w:r>
                    <w:rPr>
                      <w:color w:val="000000"/>
                      <w:szCs w:val="21"/>
                    </w:rPr>
                    <w:t>租赁现有</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tcBorders>
                    <w:tl2br w:val="nil"/>
                    <w:tr2bl w:val="nil"/>
                  </w:tcBorders>
                  <w:vAlign w:val="center"/>
                </w:tcPr>
                <w:p>
                  <w:pPr>
                    <w:adjustRightInd w:val="0"/>
                    <w:snapToGrid w:val="0"/>
                    <w:jc w:val="center"/>
                    <w:textAlignment w:val="baseline"/>
                    <w:rPr>
                      <w:color w:val="000000"/>
                      <w:szCs w:val="21"/>
                    </w:rPr>
                  </w:pPr>
                  <w:r>
                    <w:rPr>
                      <w:color w:val="000000"/>
                      <w:szCs w:val="21"/>
                    </w:rPr>
                    <w:t>2</w:t>
                  </w:r>
                </w:p>
              </w:tc>
              <w:tc>
                <w:tcPr>
                  <w:tcW w:w="1070" w:type="dxa"/>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辅助工程</w:t>
                  </w:r>
                </w:p>
              </w:tc>
              <w:tc>
                <w:tcPr>
                  <w:tcW w:w="1122" w:type="dxa"/>
                  <w:tcBorders>
                    <w:tl2br w:val="nil"/>
                    <w:tr2bl w:val="nil"/>
                  </w:tcBorders>
                  <w:vAlign w:val="center"/>
                </w:tcPr>
                <w:p>
                  <w:pPr>
                    <w:adjustRightInd w:val="0"/>
                    <w:snapToGrid w:val="0"/>
                    <w:jc w:val="center"/>
                    <w:textAlignment w:val="baseline"/>
                    <w:rPr>
                      <w:color w:val="000000"/>
                      <w:szCs w:val="21"/>
                    </w:rPr>
                  </w:pPr>
                  <w:r>
                    <w:rPr>
                      <w:rFonts w:hint="eastAsia" w:hAnsi="宋体"/>
                      <w:color w:val="000000"/>
                      <w:szCs w:val="21"/>
                    </w:rPr>
                    <w:t>配套辅助设施</w:t>
                  </w:r>
                </w:p>
              </w:tc>
              <w:tc>
                <w:tcPr>
                  <w:tcW w:w="5103" w:type="dxa"/>
                  <w:tcBorders>
                    <w:tl2br w:val="nil"/>
                    <w:tr2bl w:val="nil"/>
                  </w:tcBorders>
                  <w:vAlign w:val="center"/>
                </w:tcPr>
                <w:p>
                  <w:pPr>
                    <w:adjustRightInd w:val="0"/>
                    <w:snapToGrid w:val="0"/>
                    <w:jc w:val="center"/>
                    <w:textAlignment w:val="baseline"/>
                    <w:rPr>
                      <w:color w:val="000000"/>
                      <w:szCs w:val="21"/>
                    </w:rPr>
                  </w:pPr>
                  <w:r>
                    <w:rPr>
                      <w:rFonts w:hint="eastAsia" w:hAnsi="宋体"/>
                      <w:color w:val="000000"/>
                      <w:szCs w:val="21"/>
                    </w:rPr>
                    <w:t>30m</w:t>
                  </w:r>
                  <w:r>
                    <w:rPr>
                      <w:rFonts w:hint="eastAsia" w:hAnsi="宋体"/>
                      <w:color w:val="000000"/>
                      <w:szCs w:val="21"/>
                      <w:vertAlign w:val="superscript"/>
                    </w:rPr>
                    <w:t>2</w:t>
                  </w:r>
                  <w:r>
                    <w:rPr>
                      <w:rStyle w:val="35"/>
                    </w:rPr>
                    <w:t xml:space="preserve"> </w:t>
                  </w:r>
                </w:p>
              </w:tc>
              <w:tc>
                <w:tcPr>
                  <w:tcW w:w="1134" w:type="dxa"/>
                  <w:tcBorders>
                    <w:tl2br w:val="nil"/>
                    <w:tr2bl w:val="nil"/>
                  </w:tcBorders>
                  <w:vAlign w:val="center"/>
                </w:tcPr>
                <w:p>
                  <w:pPr>
                    <w:adjustRightInd w:val="0"/>
                    <w:snapToGrid w:val="0"/>
                    <w:jc w:val="center"/>
                    <w:textAlignment w:val="baseline"/>
                    <w:rPr>
                      <w:color w:val="000000"/>
                      <w:szCs w:val="21"/>
                    </w:rPr>
                  </w:pPr>
                  <w:r>
                    <w:rPr>
                      <w:color w:val="000000"/>
                      <w:szCs w:val="21"/>
                    </w:rPr>
                    <w:t>租赁现有</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vMerge w:val="restart"/>
                  <w:tcBorders>
                    <w:tl2br w:val="nil"/>
                    <w:tr2bl w:val="nil"/>
                  </w:tcBorders>
                  <w:vAlign w:val="center"/>
                </w:tcPr>
                <w:p>
                  <w:pPr>
                    <w:adjustRightInd w:val="0"/>
                    <w:snapToGrid w:val="0"/>
                    <w:jc w:val="center"/>
                    <w:textAlignment w:val="baseline"/>
                    <w:rPr>
                      <w:color w:val="000000"/>
                      <w:szCs w:val="21"/>
                    </w:rPr>
                  </w:pPr>
                  <w:r>
                    <w:rPr>
                      <w:color w:val="000000"/>
                      <w:szCs w:val="21"/>
                    </w:rPr>
                    <w:t>3</w:t>
                  </w:r>
                </w:p>
              </w:tc>
              <w:tc>
                <w:tcPr>
                  <w:tcW w:w="1070" w:type="dxa"/>
                  <w:vMerge w:val="restart"/>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公用工程</w:t>
                  </w:r>
                </w:p>
              </w:tc>
              <w:tc>
                <w:tcPr>
                  <w:tcW w:w="1122" w:type="dxa"/>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供电</w:t>
                  </w:r>
                </w:p>
              </w:tc>
              <w:tc>
                <w:tcPr>
                  <w:tcW w:w="6237" w:type="dxa"/>
                  <w:gridSpan w:val="2"/>
                  <w:tcBorders>
                    <w:tl2br w:val="nil"/>
                    <w:tr2bl w:val="nil"/>
                  </w:tcBorders>
                  <w:vAlign w:val="center"/>
                </w:tcPr>
                <w:p>
                  <w:pPr>
                    <w:adjustRightInd w:val="0"/>
                    <w:snapToGrid w:val="0"/>
                    <w:jc w:val="center"/>
                    <w:textAlignment w:val="baseline"/>
                    <w:rPr>
                      <w:color w:val="000000"/>
                      <w:szCs w:val="21"/>
                    </w:rPr>
                  </w:pPr>
                  <w:r>
                    <w:rPr>
                      <w:rFonts w:hAnsi="宋体"/>
                      <w:szCs w:val="21"/>
                    </w:rPr>
                    <w:t>合河乡</w:t>
                  </w:r>
                  <w:r>
                    <w:rPr>
                      <w:rFonts w:hAnsi="宋体"/>
                      <w:color w:val="000000"/>
                      <w:szCs w:val="21"/>
                    </w:rPr>
                    <w:t>供电所统一供给</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vMerge w:val="continue"/>
                  <w:tcBorders>
                    <w:tl2br w:val="nil"/>
                    <w:tr2bl w:val="nil"/>
                  </w:tcBorders>
                  <w:vAlign w:val="center"/>
                </w:tcPr>
                <w:p>
                  <w:pPr>
                    <w:adjustRightInd w:val="0"/>
                    <w:snapToGrid w:val="0"/>
                    <w:jc w:val="center"/>
                    <w:textAlignment w:val="baseline"/>
                    <w:rPr>
                      <w:color w:val="000000"/>
                      <w:szCs w:val="21"/>
                    </w:rPr>
                  </w:pPr>
                </w:p>
              </w:tc>
              <w:tc>
                <w:tcPr>
                  <w:tcW w:w="1070" w:type="dxa"/>
                  <w:vMerge w:val="continue"/>
                  <w:tcBorders>
                    <w:tl2br w:val="nil"/>
                    <w:tr2bl w:val="nil"/>
                  </w:tcBorders>
                  <w:vAlign w:val="center"/>
                </w:tcPr>
                <w:p>
                  <w:pPr>
                    <w:adjustRightInd w:val="0"/>
                    <w:snapToGrid w:val="0"/>
                    <w:jc w:val="center"/>
                    <w:textAlignment w:val="baseline"/>
                    <w:rPr>
                      <w:color w:val="000000"/>
                      <w:szCs w:val="21"/>
                    </w:rPr>
                  </w:pPr>
                </w:p>
              </w:tc>
              <w:tc>
                <w:tcPr>
                  <w:tcW w:w="1122" w:type="dxa"/>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供水</w:t>
                  </w:r>
                </w:p>
              </w:tc>
              <w:tc>
                <w:tcPr>
                  <w:tcW w:w="6237" w:type="dxa"/>
                  <w:gridSpan w:val="2"/>
                  <w:tcBorders>
                    <w:tl2br w:val="nil"/>
                    <w:tr2bl w:val="nil"/>
                  </w:tcBorders>
                  <w:vAlign w:val="center"/>
                </w:tcPr>
                <w:p>
                  <w:pPr>
                    <w:adjustRightInd w:val="0"/>
                    <w:snapToGrid w:val="0"/>
                    <w:jc w:val="center"/>
                    <w:textAlignment w:val="baseline"/>
                    <w:rPr>
                      <w:color w:val="000000"/>
                      <w:szCs w:val="21"/>
                    </w:rPr>
                  </w:pPr>
                  <w:r>
                    <w:rPr>
                      <w:rFonts w:hAnsi="宋体"/>
                      <w:szCs w:val="21"/>
                    </w:rPr>
                    <w:t>合河乡</w:t>
                  </w:r>
                  <w:r>
                    <w:rPr>
                      <w:rFonts w:hAnsi="宋体"/>
                      <w:color w:val="000000"/>
                      <w:szCs w:val="21"/>
                    </w:rPr>
                    <w:t>统一供应</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vMerge w:val="continue"/>
                  <w:tcBorders>
                    <w:tl2br w:val="nil"/>
                    <w:tr2bl w:val="nil"/>
                  </w:tcBorders>
                  <w:vAlign w:val="center"/>
                </w:tcPr>
                <w:p>
                  <w:pPr>
                    <w:adjustRightInd w:val="0"/>
                    <w:snapToGrid w:val="0"/>
                    <w:jc w:val="center"/>
                    <w:textAlignment w:val="baseline"/>
                    <w:rPr>
                      <w:color w:val="000000"/>
                      <w:szCs w:val="21"/>
                    </w:rPr>
                  </w:pPr>
                </w:p>
              </w:tc>
              <w:tc>
                <w:tcPr>
                  <w:tcW w:w="1070" w:type="dxa"/>
                  <w:vMerge w:val="restart"/>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环保工程</w:t>
                  </w:r>
                </w:p>
              </w:tc>
              <w:tc>
                <w:tcPr>
                  <w:tcW w:w="1122" w:type="dxa"/>
                  <w:tcBorders>
                    <w:tl2br w:val="nil"/>
                    <w:tr2bl w:val="nil"/>
                  </w:tcBorders>
                  <w:vAlign w:val="center"/>
                </w:tcPr>
                <w:p>
                  <w:pPr>
                    <w:adjustRightInd w:val="0"/>
                    <w:snapToGrid w:val="0"/>
                    <w:jc w:val="center"/>
                    <w:textAlignment w:val="baseline"/>
                    <w:rPr>
                      <w:rFonts w:hAnsi="宋体"/>
                      <w:color w:val="000000"/>
                      <w:szCs w:val="21"/>
                    </w:rPr>
                  </w:pPr>
                  <w:r>
                    <w:rPr>
                      <w:color w:val="000000"/>
                      <w:szCs w:val="21"/>
                    </w:rPr>
                    <w:t>废气治理</w:t>
                  </w:r>
                </w:p>
              </w:tc>
              <w:tc>
                <w:tcPr>
                  <w:tcW w:w="5107" w:type="dxa"/>
                  <w:tcBorders>
                    <w:tl2br w:val="nil"/>
                    <w:tr2bl w:val="nil"/>
                  </w:tcBorders>
                  <w:vAlign w:val="center"/>
                </w:tcPr>
                <w:p>
                  <w:pPr>
                    <w:adjustRightInd w:val="0"/>
                    <w:snapToGrid w:val="0"/>
                    <w:jc w:val="center"/>
                    <w:textAlignment w:val="baseline"/>
                    <w:rPr>
                      <w:rFonts w:hAnsi="宋体"/>
                      <w:szCs w:val="21"/>
                    </w:rPr>
                  </w:pPr>
                  <w:r>
                    <w:rPr>
                      <w:szCs w:val="21"/>
                    </w:rPr>
                    <w:t>抛光机生产过程中产生的粉尘经集气罩收集后</w:t>
                  </w:r>
                  <w:r>
                    <w:rPr>
                      <w:rFonts w:hint="eastAsia"/>
                      <w:szCs w:val="21"/>
                    </w:rPr>
                    <w:t>经</w:t>
                  </w:r>
                  <w:r>
                    <w:rPr>
                      <w:szCs w:val="21"/>
                    </w:rPr>
                    <w:t>1</w:t>
                  </w:r>
                  <w:r>
                    <w:rPr>
                      <w:rFonts w:hint="eastAsia"/>
                      <w:szCs w:val="21"/>
                    </w:rPr>
                    <w:t>台</w:t>
                  </w:r>
                  <w:r>
                    <w:rPr>
                      <w:szCs w:val="21"/>
                    </w:rPr>
                    <w:t>袋式除尘器治理，尾气经15m排气筒排放；无组织粉尘通过密闭车间，加强车间内的地面清扫等措施减少粉尘排放</w:t>
                  </w:r>
                  <w:r>
                    <w:rPr>
                      <w:rFonts w:hint="eastAsia"/>
                      <w:szCs w:val="21"/>
                    </w:rPr>
                    <w:t>。</w:t>
                  </w:r>
                </w:p>
              </w:tc>
              <w:tc>
                <w:tcPr>
                  <w:tcW w:w="1130" w:type="dxa"/>
                  <w:tcBorders>
                    <w:tl2br w:val="nil"/>
                    <w:tr2bl w:val="nil"/>
                  </w:tcBorders>
                  <w:vAlign w:val="center"/>
                </w:tcPr>
                <w:p>
                  <w:pPr>
                    <w:adjustRightInd w:val="0"/>
                    <w:snapToGrid w:val="0"/>
                    <w:jc w:val="center"/>
                    <w:textAlignment w:val="baseline"/>
                    <w:rPr>
                      <w:rFonts w:hAnsi="宋体"/>
                      <w:szCs w:val="21"/>
                    </w:rPr>
                  </w:pPr>
                  <w:r>
                    <w:rPr>
                      <w:rFonts w:hint="eastAsia" w:hAnsi="宋体"/>
                      <w:szCs w:val="21"/>
                      <w:lang w:eastAsia="zh-CN"/>
                    </w:rPr>
                    <w:t>新</w:t>
                  </w:r>
                  <w:r>
                    <w:rPr>
                      <w:rFonts w:hint="eastAsia" w:hAnsi="宋体"/>
                      <w:szCs w:val="21"/>
                    </w:rPr>
                    <w:t>建</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vMerge w:val="continue"/>
                  <w:tcBorders>
                    <w:tl2br w:val="nil"/>
                    <w:tr2bl w:val="nil"/>
                  </w:tcBorders>
                  <w:vAlign w:val="center"/>
                </w:tcPr>
                <w:p>
                  <w:pPr>
                    <w:adjustRightInd w:val="0"/>
                    <w:snapToGrid w:val="0"/>
                    <w:jc w:val="center"/>
                    <w:textAlignment w:val="baseline"/>
                    <w:rPr>
                      <w:color w:val="000000"/>
                      <w:szCs w:val="21"/>
                    </w:rPr>
                  </w:pPr>
                </w:p>
              </w:tc>
              <w:tc>
                <w:tcPr>
                  <w:tcW w:w="1070" w:type="dxa"/>
                  <w:vMerge w:val="continue"/>
                  <w:tcBorders>
                    <w:tl2br w:val="nil"/>
                    <w:tr2bl w:val="nil"/>
                  </w:tcBorders>
                  <w:vAlign w:val="center"/>
                </w:tcPr>
                <w:p>
                  <w:pPr>
                    <w:adjustRightInd w:val="0"/>
                    <w:snapToGrid w:val="0"/>
                    <w:jc w:val="center"/>
                    <w:textAlignment w:val="baseline"/>
                    <w:rPr>
                      <w:color w:val="000000"/>
                      <w:szCs w:val="21"/>
                    </w:rPr>
                  </w:pPr>
                </w:p>
              </w:tc>
              <w:tc>
                <w:tcPr>
                  <w:tcW w:w="1122" w:type="dxa"/>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废水治理</w:t>
                  </w:r>
                </w:p>
              </w:tc>
              <w:tc>
                <w:tcPr>
                  <w:tcW w:w="5103" w:type="dxa"/>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职工生活</w:t>
                  </w:r>
                  <w:r>
                    <w:rPr>
                      <w:rFonts w:hint="eastAsia" w:hAnsi="宋体"/>
                      <w:color w:val="000000"/>
                      <w:szCs w:val="21"/>
                    </w:rPr>
                    <w:t>污</w:t>
                  </w:r>
                  <w:r>
                    <w:rPr>
                      <w:rFonts w:hAnsi="宋体"/>
                      <w:color w:val="000000"/>
                      <w:szCs w:val="21"/>
                    </w:rPr>
                    <w:t>水经防渗漏化粪池处理后定期清运</w:t>
                  </w:r>
                </w:p>
              </w:tc>
              <w:tc>
                <w:tcPr>
                  <w:tcW w:w="1134" w:type="dxa"/>
                  <w:tcBorders>
                    <w:tl2br w:val="nil"/>
                    <w:tr2bl w:val="nil"/>
                  </w:tcBorders>
                  <w:vAlign w:val="center"/>
                </w:tcPr>
                <w:p>
                  <w:pPr>
                    <w:adjustRightInd w:val="0"/>
                    <w:snapToGrid w:val="0"/>
                    <w:jc w:val="center"/>
                    <w:textAlignment w:val="baseline"/>
                    <w:rPr>
                      <w:color w:val="000000"/>
                      <w:szCs w:val="21"/>
                    </w:rPr>
                  </w:pPr>
                  <w:r>
                    <w:rPr>
                      <w:rFonts w:hint="eastAsia"/>
                      <w:color w:val="000000"/>
                      <w:szCs w:val="21"/>
                      <w:lang w:eastAsia="zh-CN"/>
                    </w:rPr>
                    <w:t>依托现有</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vMerge w:val="continue"/>
                  <w:tcBorders>
                    <w:tl2br w:val="nil"/>
                    <w:tr2bl w:val="nil"/>
                  </w:tcBorders>
                  <w:vAlign w:val="center"/>
                </w:tcPr>
                <w:p>
                  <w:pPr>
                    <w:adjustRightInd w:val="0"/>
                    <w:snapToGrid w:val="0"/>
                    <w:jc w:val="center"/>
                    <w:textAlignment w:val="baseline"/>
                    <w:rPr>
                      <w:color w:val="000000"/>
                      <w:szCs w:val="21"/>
                    </w:rPr>
                  </w:pPr>
                </w:p>
              </w:tc>
              <w:tc>
                <w:tcPr>
                  <w:tcW w:w="1070" w:type="dxa"/>
                  <w:vMerge w:val="continue"/>
                  <w:tcBorders>
                    <w:tl2br w:val="nil"/>
                    <w:tr2bl w:val="nil"/>
                  </w:tcBorders>
                  <w:vAlign w:val="center"/>
                </w:tcPr>
                <w:p>
                  <w:pPr>
                    <w:adjustRightInd w:val="0"/>
                    <w:snapToGrid w:val="0"/>
                    <w:jc w:val="center"/>
                    <w:textAlignment w:val="baseline"/>
                    <w:rPr>
                      <w:color w:val="000000"/>
                      <w:szCs w:val="21"/>
                    </w:rPr>
                  </w:pPr>
                </w:p>
              </w:tc>
              <w:tc>
                <w:tcPr>
                  <w:tcW w:w="1122" w:type="dxa"/>
                  <w:tcBorders>
                    <w:tl2br w:val="nil"/>
                    <w:tr2bl w:val="nil"/>
                  </w:tcBorders>
                  <w:vAlign w:val="center"/>
                </w:tcPr>
                <w:p>
                  <w:pPr>
                    <w:adjustRightInd w:val="0"/>
                    <w:snapToGrid w:val="0"/>
                    <w:jc w:val="center"/>
                    <w:textAlignment w:val="baseline"/>
                    <w:rPr>
                      <w:color w:val="000000"/>
                      <w:szCs w:val="21"/>
                    </w:rPr>
                  </w:pPr>
                  <w:r>
                    <w:rPr>
                      <w:rFonts w:hAnsi="宋体"/>
                      <w:color w:val="000000"/>
                      <w:szCs w:val="21"/>
                    </w:rPr>
                    <w:t>固废治理</w:t>
                  </w:r>
                </w:p>
              </w:tc>
              <w:tc>
                <w:tcPr>
                  <w:tcW w:w="5103" w:type="dxa"/>
                  <w:tcBorders>
                    <w:tl2br w:val="nil"/>
                    <w:tr2bl w:val="nil"/>
                  </w:tcBorders>
                  <w:vAlign w:val="center"/>
                </w:tcPr>
                <w:p>
                  <w:pPr>
                    <w:adjustRightInd w:val="0"/>
                    <w:snapToGrid w:val="0"/>
                    <w:jc w:val="center"/>
                    <w:textAlignment w:val="baseline"/>
                    <w:rPr>
                      <w:color w:val="000000"/>
                      <w:szCs w:val="21"/>
                    </w:rPr>
                  </w:pPr>
                  <w:r>
                    <w:rPr>
                      <w:rFonts w:hint="eastAsia"/>
                      <w:color w:val="000000"/>
                      <w:szCs w:val="21"/>
                    </w:rPr>
                    <w:t>20</w:t>
                  </w:r>
                  <w:r>
                    <w:rPr>
                      <w:color w:val="000000"/>
                      <w:szCs w:val="21"/>
                    </w:rPr>
                    <w:t>m</w:t>
                  </w:r>
                  <w:r>
                    <w:rPr>
                      <w:color w:val="000000"/>
                      <w:szCs w:val="21"/>
                      <w:vertAlign w:val="superscript"/>
                    </w:rPr>
                    <w:t>2</w:t>
                  </w:r>
                  <w:r>
                    <w:rPr>
                      <w:rFonts w:hAnsi="宋体"/>
                      <w:color w:val="000000"/>
                      <w:szCs w:val="21"/>
                    </w:rPr>
                    <w:t>的一般固废暂存间</w:t>
                  </w:r>
                </w:p>
              </w:tc>
              <w:tc>
                <w:tcPr>
                  <w:tcW w:w="1134" w:type="dxa"/>
                  <w:tcBorders>
                    <w:tl2br w:val="nil"/>
                    <w:tr2bl w:val="nil"/>
                  </w:tcBorders>
                  <w:vAlign w:val="center"/>
                </w:tcPr>
                <w:p>
                  <w:pPr>
                    <w:adjustRightInd w:val="0"/>
                    <w:snapToGrid w:val="0"/>
                    <w:jc w:val="center"/>
                    <w:textAlignment w:val="baseline"/>
                    <w:rPr>
                      <w:color w:val="000000"/>
                      <w:szCs w:val="21"/>
                    </w:rPr>
                  </w:pPr>
                  <w:r>
                    <w:rPr>
                      <w:rFonts w:hint="eastAsia"/>
                      <w:color w:val="000000"/>
                      <w:szCs w:val="21"/>
                      <w:lang w:eastAsia="zh-CN"/>
                    </w:rPr>
                    <w:t>新</w:t>
                  </w:r>
                  <w:r>
                    <w:rPr>
                      <w:rFonts w:hint="eastAsia"/>
                      <w:color w:val="000000"/>
                      <w:szCs w:val="21"/>
                    </w:rPr>
                    <w:t>建</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 w:type="dxa"/>
                  <w:vMerge w:val="continue"/>
                  <w:tcBorders>
                    <w:tl2br w:val="nil"/>
                    <w:tr2bl w:val="nil"/>
                  </w:tcBorders>
                  <w:vAlign w:val="center"/>
                </w:tcPr>
                <w:p>
                  <w:pPr>
                    <w:adjustRightInd w:val="0"/>
                    <w:snapToGrid w:val="0"/>
                    <w:jc w:val="center"/>
                    <w:textAlignment w:val="baseline"/>
                    <w:rPr>
                      <w:color w:val="000000"/>
                      <w:szCs w:val="21"/>
                    </w:rPr>
                  </w:pPr>
                </w:p>
              </w:tc>
              <w:tc>
                <w:tcPr>
                  <w:tcW w:w="1070" w:type="dxa"/>
                  <w:vMerge w:val="continue"/>
                  <w:tcBorders>
                    <w:tl2br w:val="nil"/>
                    <w:tr2bl w:val="nil"/>
                  </w:tcBorders>
                  <w:vAlign w:val="center"/>
                </w:tcPr>
                <w:p>
                  <w:pPr>
                    <w:adjustRightInd w:val="0"/>
                    <w:snapToGrid w:val="0"/>
                    <w:jc w:val="center"/>
                    <w:textAlignment w:val="baseline"/>
                    <w:rPr>
                      <w:color w:val="000000"/>
                      <w:szCs w:val="21"/>
                    </w:rPr>
                  </w:pPr>
                </w:p>
              </w:tc>
              <w:tc>
                <w:tcPr>
                  <w:tcW w:w="1122" w:type="dxa"/>
                  <w:tcBorders>
                    <w:tl2br w:val="nil"/>
                    <w:tr2bl w:val="nil"/>
                  </w:tcBorders>
                  <w:vAlign w:val="center"/>
                </w:tcPr>
                <w:p>
                  <w:pPr>
                    <w:adjustRightInd w:val="0"/>
                    <w:snapToGrid w:val="0"/>
                    <w:jc w:val="center"/>
                    <w:textAlignment w:val="baseline"/>
                    <w:rPr>
                      <w:rFonts w:hAnsi="宋体"/>
                      <w:color w:val="000000"/>
                      <w:szCs w:val="21"/>
                    </w:rPr>
                  </w:pPr>
                  <w:r>
                    <w:rPr>
                      <w:rFonts w:hAnsi="宋体"/>
                      <w:color w:val="000000"/>
                      <w:szCs w:val="21"/>
                    </w:rPr>
                    <w:t>噪声</w:t>
                  </w:r>
                  <w:r>
                    <w:rPr>
                      <w:rFonts w:hint="eastAsia" w:hAnsi="宋体"/>
                      <w:color w:val="000000"/>
                      <w:szCs w:val="21"/>
                    </w:rPr>
                    <w:t>治理</w:t>
                  </w:r>
                </w:p>
              </w:tc>
              <w:tc>
                <w:tcPr>
                  <w:tcW w:w="5103" w:type="dxa"/>
                  <w:tcBorders>
                    <w:tl2br w:val="nil"/>
                    <w:tr2bl w:val="nil"/>
                  </w:tcBorders>
                  <w:vAlign w:val="center"/>
                </w:tcPr>
                <w:p>
                  <w:pPr>
                    <w:adjustRightInd w:val="0"/>
                    <w:snapToGrid w:val="0"/>
                    <w:jc w:val="center"/>
                  </w:pPr>
                  <w:r>
                    <w:rPr>
                      <w:rFonts w:ascii="宋体" w:hAnsi="宋体"/>
                      <w:color w:val="000000"/>
                    </w:rPr>
                    <w:t>厂房密闭隔音等措施</w:t>
                  </w:r>
                </w:p>
              </w:tc>
              <w:tc>
                <w:tcPr>
                  <w:tcW w:w="1134" w:type="dxa"/>
                  <w:tcBorders>
                    <w:tl2br w:val="nil"/>
                    <w:tr2bl w:val="nil"/>
                  </w:tcBorders>
                  <w:vAlign w:val="center"/>
                </w:tcPr>
                <w:p>
                  <w:pPr>
                    <w:adjustRightInd w:val="0"/>
                    <w:snapToGrid w:val="0"/>
                    <w:jc w:val="center"/>
                  </w:pPr>
                  <w:r>
                    <w:rPr>
                      <w:rFonts w:hint="eastAsia"/>
                    </w:rPr>
                    <w:t>/</w:t>
                  </w:r>
                </w:p>
              </w:tc>
            </w:tr>
          </w:tbl>
          <w:p>
            <w:pPr>
              <w:adjustRightInd w:val="0"/>
              <w:snapToGrid w:val="0"/>
              <w:spacing w:line="440" w:lineRule="exact"/>
              <w:ind w:firstLine="482" w:firstLineChars="200"/>
              <w:textAlignment w:val="baseline"/>
              <w:rPr>
                <w:b/>
                <w:color w:val="000000"/>
                <w:sz w:val="24"/>
              </w:rPr>
            </w:pPr>
          </w:p>
          <w:p>
            <w:pPr>
              <w:adjustRightInd w:val="0"/>
              <w:snapToGrid w:val="0"/>
              <w:spacing w:line="440" w:lineRule="exact"/>
              <w:ind w:firstLine="482" w:firstLineChars="200"/>
              <w:textAlignment w:val="baseline"/>
              <w:rPr>
                <w:b/>
                <w:color w:val="000000"/>
                <w:sz w:val="24"/>
              </w:rPr>
            </w:pPr>
            <w:r>
              <w:rPr>
                <w:rFonts w:hint="eastAsia"/>
                <w:b/>
                <w:color w:val="000000"/>
                <w:sz w:val="24"/>
              </w:rPr>
              <w:t>3</w:t>
            </w:r>
            <w:r>
              <w:rPr>
                <w:b/>
                <w:color w:val="000000"/>
                <w:sz w:val="24"/>
              </w:rPr>
              <w:t>、主要生产设备</w:t>
            </w:r>
          </w:p>
          <w:p>
            <w:pPr>
              <w:autoSpaceDE w:val="0"/>
              <w:autoSpaceDN w:val="0"/>
              <w:adjustRightInd w:val="0"/>
              <w:spacing w:line="440" w:lineRule="exact"/>
              <w:ind w:firstLine="480" w:firstLineChars="200"/>
              <w:jc w:val="left"/>
              <w:rPr>
                <w:color w:val="000000"/>
                <w:kern w:val="0"/>
                <w:sz w:val="24"/>
              </w:rPr>
            </w:pPr>
            <w:r>
              <w:rPr>
                <w:rFonts w:hAnsi="宋体"/>
                <w:color w:val="000000"/>
                <w:sz w:val="24"/>
              </w:rPr>
              <w:t>本项目主要生产设备见下表：</w:t>
            </w:r>
          </w:p>
          <w:p>
            <w:pPr>
              <w:adjustRightInd w:val="0"/>
              <w:snapToGrid w:val="0"/>
              <w:spacing w:line="440" w:lineRule="exact"/>
              <w:ind w:firstLine="480" w:firstLineChars="200"/>
              <w:textAlignment w:val="baseline"/>
              <w:rPr>
                <w:rFonts w:eastAsia="黑体"/>
                <w:bCs/>
                <w:color w:val="000000"/>
                <w:sz w:val="24"/>
              </w:rPr>
            </w:pPr>
            <w:r>
              <w:rPr>
                <w:rFonts w:eastAsia="黑体"/>
                <w:bCs/>
                <w:color w:val="000000"/>
                <w:sz w:val="24"/>
              </w:rPr>
              <w:t>表</w:t>
            </w:r>
            <w:r>
              <w:rPr>
                <w:rFonts w:hint="eastAsia" w:eastAsia="黑体"/>
                <w:bCs/>
                <w:color w:val="000000"/>
                <w:sz w:val="24"/>
              </w:rPr>
              <w:t>3</w:t>
            </w:r>
            <w:r>
              <w:rPr>
                <w:rFonts w:eastAsia="黑体"/>
                <w:bCs/>
                <w:color w:val="000000"/>
                <w:sz w:val="24"/>
              </w:rPr>
              <w:t xml:space="preserve">                   本项目主要生产设备一览表</w:t>
            </w:r>
          </w:p>
          <w:tbl>
            <w:tblPr>
              <w:tblStyle w:val="24"/>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2620"/>
              <w:gridCol w:w="1984"/>
              <w:gridCol w:w="1985"/>
              <w:gridCol w:w="141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dxa"/>
                  <w:tcBorders>
                    <w:bottom w:val="single" w:color="auto" w:sz="8" w:space="0"/>
                  </w:tcBorders>
                  <w:vAlign w:val="center"/>
                </w:tcPr>
                <w:p>
                  <w:pPr>
                    <w:adjustRightInd w:val="0"/>
                    <w:snapToGrid w:val="0"/>
                    <w:jc w:val="center"/>
                    <w:rPr>
                      <w:b/>
                      <w:bCs/>
                      <w:color w:val="000000"/>
                      <w:szCs w:val="21"/>
                    </w:rPr>
                  </w:pPr>
                  <w:r>
                    <w:rPr>
                      <w:b/>
                      <w:bCs/>
                      <w:color w:val="000000"/>
                      <w:szCs w:val="21"/>
                    </w:rPr>
                    <w:t>序号</w:t>
                  </w:r>
                </w:p>
              </w:tc>
              <w:tc>
                <w:tcPr>
                  <w:tcW w:w="2620" w:type="dxa"/>
                  <w:tcBorders>
                    <w:bottom w:val="single" w:color="auto" w:sz="8" w:space="0"/>
                  </w:tcBorders>
                  <w:vAlign w:val="center"/>
                </w:tcPr>
                <w:p>
                  <w:pPr>
                    <w:adjustRightInd w:val="0"/>
                    <w:snapToGrid w:val="0"/>
                    <w:jc w:val="center"/>
                    <w:rPr>
                      <w:b/>
                      <w:bCs/>
                      <w:color w:val="000000"/>
                      <w:szCs w:val="21"/>
                    </w:rPr>
                  </w:pPr>
                  <w:r>
                    <w:rPr>
                      <w:b/>
                      <w:bCs/>
                      <w:color w:val="000000"/>
                      <w:szCs w:val="21"/>
                    </w:rPr>
                    <w:t>设备名称</w:t>
                  </w:r>
                </w:p>
              </w:tc>
              <w:tc>
                <w:tcPr>
                  <w:tcW w:w="1984" w:type="dxa"/>
                  <w:tcBorders>
                    <w:bottom w:val="single" w:color="auto" w:sz="8" w:space="0"/>
                  </w:tcBorders>
                  <w:vAlign w:val="center"/>
                </w:tcPr>
                <w:p>
                  <w:pPr>
                    <w:adjustRightInd w:val="0"/>
                    <w:snapToGrid w:val="0"/>
                    <w:jc w:val="center"/>
                    <w:rPr>
                      <w:b/>
                      <w:bCs/>
                      <w:color w:val="000000"/>
                      <w:szCs w:val="21"/>
                    </w:rPr>
                  </w:pPr>
                  <w:r>
                    <w:rPr>
                      <w:b/>
                      <w:bCs/>
                      <w:color w:val="000000"/>
                      <w:szCs w:val="21"/>
                    </w:rPr>
                    <w:t>规格/型号</w:t>
                  </w:r>
                </w:p>
              </w:tc>
              <w:tc>
                <w:tcPr>
                  <w:tcW w:w="1985" w:type="dxa"/>
                  <w:tcBorders>
                    <w:bottom w:val="single" w:color="auto" w:sz="8" w:space="0"/>
                  </w:tcBorders>
                  <w:vAlign w:val="center"/>
                </w:tcPr>
                <w:p>
                  <w:pPr>
                    <w:adjustRightInd w:val="0"/>
                    <w:snapToGrid w:val="0"/>
                    <w:jc w:val="center"/>
                    <w:rPr>
                      <w:b/>
                      <w:bCs/>
                      <w:color w:val="000000"/>
                      <w:szCs w:val="21"/>
                    </w:rPr>
                  </w:pPr>
                  <w:r>
                    <w:rPr>
                      <w:b/>
                      <w:bCs/>
                      <w:color w:val="000000"/>
                      <w:szCs w:val="21"/>
                    </w:rPr>
                    <w:t>数量（台</w:t>
                  </w:r>
                  <w:r>
                    <w:rPr>
                      <w:rFonts w:hint="eastAsia"/>
                      <w:b/>
                      <w:bCs/>
                      <w:color w:val="000000"/>
                      <w:szCs w:val="21"/>
                    </w:rPr>
                    <w:t>/套</w:t>
                  </w:r>
                  <w:r>
                    <w:rPr>
                      <w:b/>
                      <w:bCs/>
                      <w:color w:val="000000"/>
                      <w:szCs w:val="21"/>
                    </w:rPr>
                    <w:t>）</w:t>
                  </w:r>
                </w:p>
              </w:tc>
              <w:tc>
                <w:tcPr>
                  <w:tcW w:w="1417" w:type="dxa"/>
                  <w:tcBorders>
                    <w:bottom w:val="single" w:color="auto" w:sz="8" w:space="0"/>
                  </w:tcBorders>
                  <w:vAlign w:val="center"/>
                </w:tcPr>
                <w:p>
                  <w:pPr>
                    <w:adjustRightInd w:val="0"/>
                    <w:snapToGrid w:val="0"/>
                    <w:jc w:val="center"/>
                    <w:rPr>
                      <w:b/>
                      <w:bCs/>
                      <w:color w:val="000000"/>
                      <w:szCs w:val="21"/>
                    </w:rPr>
                  </w:pPr>
                  <w:r>
                    <w:rPr>
                      <w:b/>
                      <w:bCs/>
                      <w:color w:val="000000"/>
                      <w:szCs w:val="21"/>
                    </w:rPr>
                    <w:t>备注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66" w:type="dxa"/>
                  <w:tcBorders>
                    <w:top w:val="single" w:color="auto" w:sz="8" w:space="0"/>
                    <w:tl2br w:val="nil"/>
                    <w:tr2bl w:val="nil"/>
                  </w:tcBorders>
                  <w:vAlign w:val="center"/>
                </w:tcPr>
                <w:p>
                  <w:pPr>
                    <w:adjustRightInd w:val="0"/>
                    <w:snapToGrid w:val="0"/>
                    <w:jc w:val="center"/>
                    <w:rPr>
                      <w:rFonts w:eastAsiaTheme="minorEastAsia"/>
                      <w:color w:val="000000"/>
                      <w:szCs w:val="21"/>
                    </w:rPr>
                  </w:pPr>
                  <w:r>
                    <w:rPr>
                      <w:rFonts w:eastAsiaTheme="minorEastAsia"/>
                      <w:color w:val="000000"/>
                      <w:szCs w:val="21"/>
                    </w:rPr>
                    <w:t>1</w:t>
                  </w:r>
                </w:p>
              </w:tc>
              <w:tc>
                <w:tcPr>
                  <w:tcW w:w="2620" w:type="dxa"/>
                  <w:tcBorders>
                    <w:top w:val="single" w:color="auto" w:sz="8" w:space="0"/>
                    <w:tl2br w:val="nil"/>
                    <w:tr2bl w:val="nil"/>
                  </w:tcBorders>
                  <w:vAlign w:val="center"/>
                </w:tcPr>
                <w:p>
                  <w:pPr>
                    <w:adjustRightInd w:val="0"/>
                    <w:snapToGrid w:val="0"/>
                    <w:jc w:val="center"/>
                    <w:rPr>
                      <w:rFonts w:eastAsiaTheme="minorEastAsia"/>
                      <w:color w:val="000000"/>
                      <w:szCs w:val="21"/>
                    </w:rPr>
                  </w:pPr>
                  <w:r>
                    <w:rPr>
                      <w:rFonts w:hAnsiTheme="minorEastAsia" w:eastAsiaTheme="minorEastAsia"/>
                      <w:szCs w:val="21"/>
                    </w:rPr>
                    <w:t>拔丝机</w:t>
                  </w:r>
                </w:p>
              </w:tc>
              <w:tc>
                <w:tcPr>
                  <w:tcW w:w="1984" w:type="dxa"/>
                  <w:tcBorders>
                    <w:top w:val="single" w:color="auto" w:sz="8" w:space="0"/>
                    <w:tl2br w:val="nil"/>
                    <w:tr2bl w:val="nil"/>
                  </w:tcBorders>
                  <w:vAlign w:val="center"/>
                </w:tcPr>
                <w:p>
                  <w:pPr>
                    <w:adjustRightInd w:val="0"/>
                    <w:snapToGrid w:val="0"/>
                    <w:jc w:val="center"/>
                    <w:rPr>
                      <w:rFonts w:eastAsiaTheme="minorEastAsia"/>
                      <w:color w:val="000000"/>
                      <w:szCs w:val="21"/>
                    </w:rPr>
                  </w:pPr>
                  <w:r>
                    <w:rPr>
                      <w:rFonts w:eastAsiaTheme="minorEastAsia"/>
                      <w:color w:val="000000"/>
                    </w:rPr>
                    <w:t>560型</w:t>
                  </w:r>
                </w:p>
              </w:tc>
              <w:tc>
                <w:tcPr>
                  <w:tcW w:w="1985" w:type="dxa"/>
                  <w:tcBorders>
                    <w:top w:val="single" w:color="auto" w:sz="8" w:space="0"/>
                    <w:tl2br w:val="nil"/>
                    <w:tr2bl w:val="nil"/>
                  </w:tcBorders>
                  <w:vAlign w:val="center"/>
                </w:tcPr>
                <w:p>
                  <w:pPr>
                    <w:adjustRightInd w:val="0"/>
                    <w:snapToGrid w:val="0"/>
                    <w:jc w:val="center"/>
                    <w:rPr>
                      <w:rFonts w:eastAsiaTheme="minorEastAsia"/>
                      <w:color w:val="000000"/>
                      <w:szCs w:val="21"/>
                    </w:rPr>
                  </w:pPr>
                  <w:r>
                    <w:rPr>
                      <w:rFonts w:eastAsiaTheme="minorEastAsia"/>
                      <w:color w:val="000000"/>
                    </w:rPr>
                    <w:t>3套</w:t>
                  </w:r>
                </w:p>
              </w:tc>
              <w:tc>
                <w:tcPr>
                  <w:tcW w:w="1417" w:type="dxa"/>
                  <w:tcBorders>
                    <w:top w:val="single" w:color="auto" w:sz="8" w:space="0"/>
                    <w:tl2br w:val="nil"/>
                    <w:tr2bl w:val="nil"/>
                  </w:tcBorders>
                  <w:vAlign w:val="center"/>
                </w:tcPr>
                <w:p>
                  <w:pPr>
                    <w:adjustRightInd w:val="0"/>
                    <w:snapToGrid w:val="0"/>
                    <w:jc w:val="center"/>
                    <w:rPr>
                      <w:rFonts w:eastAsiaTheme="minorEastAsia"/>
                      <w:color w:val="000000"/>
                      <w:szCs w:val="21"/>
                    </w:rPr>
                  </w:pPr>
                  <w:r>
                    <w:rPr>
                      <w:rFonts w:hint="eastAsia" w:eastAsiaTheme="minorEastAsia"/>
                      <w:color w:val="000000"/>
                      <w:szCs w:val="21"/>
                    </w:rPr>
                    <w:t>外购</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dxa"/>
                  <w:tcBorders>
                    <w:top w:val="single" w:color="auto" w:sz="4" w:space="0"/>
                    <w:tl2br w:val="nil"/>
                    <w:tr2bl w:val="nil"/>
                  </w:tcBorders>
                  <w:vAlign w:val="center"/>
                </w:tcPr>
                <w:p>
                  <w:pPr>
                    <w:adjustRightInd w:val="0"/>
                    <w:snapToGrid w:val="0"/>
                    <w:jc w:val="center"/>
                    <w:rPr>
                      <w:rFonts w:eastAsiaTheme="minorEastAsia"/>
                      <w:color w:val="000000"/>
                      <w:szCs w:val="21"/>
                    </w:rPr>
                  </w:pPr>
                  <w:r>
                    <w:rPr>
                      <w:rFonts w:eastAsiaTheme="minorEastAsia"/>
                      <w:color w:val="000000"/>
                      <w:szCs w:val="21"/>
                    </w:rPr>
                    <w:t>2</w:t>
                  </w:r>
                </w:p>
              </w:tc>
              <w:tc>
                <w:tcPr>
                  <w:tcW w:w="2620" w:type="dxa"/>
                  <w:tcBorders>
                    <w:top w:val="single" w:color="auto" w:sz="4" w:space="0"/>
                    <w:tl2br w:val="nil"/>
                    <w:tr2bl w:val="nil"/>
                  </w:tcBorders>
                  <w:vAlign w:val="center"/>
                </w:tcPr>
                <w:p>
                  <w:pPr>
                    <w:adjustRightInd w:val="0"/>
                    <w:snapToGrid w:val="0"/>
                    <w:jc w:val="center"/>
                    <w:rPr>
                      <w:rFonts w:eastAsiaTheme="minorEastAsia"/>
                      <w:szCs w:val="21"/>
                    </w:rPr>
                  </w:pPr>
                  <w:r>
                    <w:rPr>
                      <w:rFonts w:hAnsiTheme="minorEastAsia" w:eastAsiaTheme="minorEastAsia"/>
                      <w:szCs w:val="21"/>
                    </w:rPr>
                    <w:t>拔丝机</w:t>
                  </w:r>
                </w:p>
              </w:tc>
              <w:tc>
                <w:tcPr>
                  <w:tcW w:w="1984" w:type="dxa"/>
                  <w:tcBorders>
                    <w:top w:val="single" w:color="auto" w:sz="4" w:space="0"/>
                    <w:tl2br w:val="nil"/>
                    <w:tr2bl w:val="nil"/>
                  </w:tcBorders>
                  <w:vAlign w:val="center"/>
                </w:tcPr>
                <w:p>
                  <w:pPr>
                    <w:adjustRightInd w:val="0"/>
                    <w:snapToGrid w:val="0"/>
                    <w:jc w:val="center"/>
                    <w:rPr>
                      <w:rFonts w:eastAsiaTheme="minorEastAsia"/>
                      <w:color w:val="000000"/>
                    </w:rPr>
                  </w:pPr>
                  <w:r>
                    <w:rPr>
                      <w:rFonts w:eastAsiaTheme="minorEastAsia"/>
                      <w:color w:val="000000"/>
                    </w:rPr>
                    <w:t>350型</w:t>
                  </w:r>
                </w:p>
              </w:tc>
              <w:tc>
                <w:tcPr>
                  <w:tcW w:w="1985" w:type="dxa"/>
                  <w:tcBorders>
                    <w:top w:val="single" w:color="auto" w:sz="4" w:space="0"/>
                    <w:tl2br w:val="nil"/>
                    <w:tr2bl w:val="nil"/>
                  </w:tcBorders>
                  <w:vAlign w:val="center"/>
                </w:tcPr>
                <w:p>
                  <w:pPr>
                    <w:adjustRightInd w:val="0"/>
                    <w:snapToGrid w:val="0"/>
                    <w:jc w:val="center"/>
                    <w:rPr>
                      <w:rFonts w:eastAsiaTheme="minorEastAsia"/>
                      <w:color w:val="000000"/>
                    </w:rPr>
                  </w:pPr>
                  <w:r>
                    <w:rPr>
                      <w:rFonts w:eastAsiaTheme="minorEastAsia"/>
                      <w:color w:val="000000"/>
                    </w:rPr>
                    <w:t>2套</w:t>
                  </w:r>
                </w:p>
              </w:tc>
              <w:tc>
                <w:tcPr>
                  <w:tcW w:w="1417" w:type="dxa"/>
                  <w:tcBorders>
                    <w:top w:val="single" w:color="auto" w:sz="4" w:space="0"/>
                    <w:tl2br w:val="nil"/>
                    <w:tr2bl w:val="nil"/>
                  </w:tcBorders>
                  <w:vAlign w:val="center"/>
                </w:tcPr>
                <w:p>
                  <w:pPr>
                    <w:adjustRightInd w:val="0"/>
                    <w:snapToGrid w:val="0"/>
                    <w:jc w:val="center"/>
                    <w:rPr>
                      <w:rFonts w:eastAsiaTheme="minorEastAsia"/>
                      <w:color w:val="000000"/>
                    </w:rPr>
                  </w:pPr>
                  <w:r>
                    <w:rPr>
                      <w:rFonts w:hint="eastAsia" w:eastAsiaTheme="minorEastAsia"/>
                      <w:color w:val="000000"/>
                      <w:szCs w:val="21"/>
                    </w:rPr>
                    <w:t>外购</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dxa"/>
                  <w:tcBorders>
                    <w:tl2br w:val="nil"/>
                    <w:tr2bl w:val="nil"/>
                  </w:tcBorders>
                  <w:vAlign w:val="center"/>
                </w:tcPr>
                <w:p>
                  <w:pPr>
                    <w:adjustRightInd w:val="0"/>
                    <w:snapToGrid w:val="0"/>
                    <w:jc w:val="center"/>
                    <w:rPr>
                      <w:color w:val="000000"/>
                      <w:szCs w:val="21"/>
                    </w:rPr>
                  </w:pPr>
                  <w:r>
                    <w:rPr>
                      <w:rFonts w:hint="eastAsia"/>
                      <w:color w:val="000000"/>
                      <w:szCs w:val="21"/>
                    </w:rPr>
                    <w:t>3</w:t>
                  </w:r>
                </w:p>
              </w:tc>
              <w:tc>
                <w:tcPr>
                  <w:tcW w:w="2620" w:type="dxa"/>
                  <w:tcBorders>
                    <w:tl2br w:val="nil"/>
                    <w:tr2bl w:val="nil"/>
                  </w:tcBorders>
                  <w:vAlign w:val="center"/>
                </w:tcPr>
                <w:p>
                  <w:pPr>
                    <w:adjustRightInd w:val="0"/>
                    <w:snapToGrid w:val="0"/>
                    <w:jc w:val="center"/>
                    <w:rPr>
                      <w:rFonts w:hAnsi="宋体"/>
                      <w:color w:val="000000"/>
                      <w:szCs w:val="21"/>
                    </w:rPr>
                  </w:pPr>
                  <w:r>
                    <w:rPr>
                      <w:rFonts w:hint="eastAsia" w:hAnsi="宋体"/>
                      <w:color w:val="000000"/>
                      <w:szCs w:val="21"/>
                    </w:rPr>
                    <w:t>制钉机</w:t>
                  </w:r>
                </w:p>
              </w:tc>
              <w:tc>
                <w:tcPr>
                  <w:tcW w:w="1984" w:type="dxa"/>
                  <w:tcBorders>
                    <w:tl2br w:val="nil"/>
                    <w:tr2bl w:val="nil"/>
                  </w:tcBorders>
                  <w:vAlign w:val="center"/>
                </w:tcPr>
                <w:p>
                  <w:pPr>
                    <w:adjustRightInd w:val="0"/>
                    <w:snapToGrid w:val="0"/>
                    <w:jc w:val="center"/>
                    <w:rPr>
                      <w:color w:val="000000"/>
                      <w:szCs w:val="21"/>
                    </w:rPr>
                  </w:pPr>
                  <w:r>
                    <w:rPr>
                      <w:rFonts w:hint="eastAsia"/>
                      <w:color w:val="000000"/>
                      <w:szCs w:val="21"/>
                    </w:rPr>
                    <w:t>714型</w:t>
                  </w:r>
                </w:p>
              </w:tc>
              <w:tc>
                <w:tcPr>
                  <w:tcW w:w="1985" w:type="dxa"/>
                  <w:tcBorders>
                    <w:tl2br w:val="nil"/>
                    <w:tr2bl w:val="nil"/>
                  </w:tcBorders>
                  <w:vAlign w:val="center"/>
                </w:tcPr>
                <w:p>
                  <w:pPr>
                    <w:adjustRightInd w:val="0"/>
                    <w:snapToGrid w:val="0"/>
                    <w:jc w:val="center"/>
                    <w:rPr>
                      <w:color w:val="000000"/>
                      <w:szCs w:val="21"/>
                    </w:rPr>
                  </w:pPr>
                  <w:r>
                    <w:rPr>
                      <w:rFonts w:hint="eastAsia"/>
                      <w:color w:val="000000"/>
                      <w:szCs w:val="21"/>
                    </w:rPr>
                    <w:t>6台</w:t>
                  </w:r>
                </w:p>
              </w:tc>
              <w:tc>
                <w:tcPr>
                  <w:tcW w:w="1417" w:type="dxa"/>
                  <w:tcBorders>
                    <w:tl2br w:val="nil"/>
                    <w:tr2bl w:val="nil"/>
                  </w:tcBorders>
                  <w:vAlign w:val="center"/>
                </w:tcPr>
                <w:p>
                  <w:pPr>
                    <w:adjustRightInd w:val="0"/>
                    <w:snapToGrid w:val="0"/>
                    <w:jc w:val="center"/>
                    <w:rPr>
                      <w:color w:val="000000"/>
                      <w:szCs w:val="21"/>
                    </w:rPr>
                  </w:pPr>
                  <w:r>
                    <w:rPr>
                      <w:rFonts w:hint="eastAsia" w:eastAsiaTheme="minorEastAsia"/>
                      <w:color w:val="000000"/>
                      <w:szCs w:val="21"/>
                    </w:rPr>
                    <w:t>外购</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dxa"/>
                  <w:tcBorders>
                    <w:tl2br w:val="nil"/>
                    <w:tr2bl w:val="nil"/>
                  </w:tcBorders>
                  <w:vAlign w:val="center"/>
                </w:tcPr>
                <w:p>
                  <w:pPr>
                    <w:adjustRightInd w:val="0"/>
                    <w:snapToGrid w:val="0"/>
                    <w:jc w:val="center"/>
                    <w:rPr>
                      <w:color w:val="000000"/>
                      <w:szCs w:val="21"/>
                    </w:rPr>
                  </w:pPr>
                  <w:r>
                    <w:rPr>
                      <w:rFonts w:hint="eastAsia"/>
                      <w:color w:val="000000"/>
                      <w:szCs w:val="21"/>
                    </w:rPr>
                    <w:t>4</w:t>
                  </w:r>
                </w:p>
              </w:tc>
              <w:tc>
                <w:tcPr>
                  <w:tcW w:w="2620" w:type="dxa"/>
                  <w:tcBorders>
                    <w:tl2br w:val="nil"/>
                    <w:tr2bl w:val="nil"/>
                  </w:tcBorders>
                  <w:vAlign w:val="center"/>
                </w:tcPr>
                <w:p>
                  <w:pPr>
                    <w:adjustRightInd w:val="0"/>
                    <w:snapToGrid w:val="0"/>
                    <w:jc w:val="center"/>
                    <w:rPr>
                      <w:rFonts w:hAnsi="宋体"/>
                      <w:color w:val="000000"/>
                      <w:szCs w:val="21"/>
                    </w:rPr>
                  </w:pPr>
                  <w:r>
                    <w:rPr>
                      <w:rFonts w:hint="eastAsia" w:hAnsi="宋体"/>
                      <w:color w:val="000000"/>
                      <w:szCs w:val="21"/>
                    </w:rPr>
                    <w:t>制钉机</w:t>
                  </w:r>
                </w:p>
              </w:tc>
              <w:tc>
                <w:tcPr>
                  <w:tcW w:w="1984" w:type="dxa"/>
                  <w:tcBorders>
                    <w:tl2br w:val="nil"/>
                    <w:tr2bl w:val="nil"/>
                  </w:tcBorders>
                  <w:vAlign w:val="center"/>
                </w:tcPr>
                <w:p>
                  <w:pPr>
                    <w:adjustRightInd w:val="0"/>
                    <w:snapToGrid w:val="0"/>
                    <w:jc w:val="center"/>
                    <w:rPr>
                      <w:color w:val="000000"/>
                      <w:szCs w:val="21"/>
                    </w:rPr>
                  </w:pPr>
                  <w:r>
                    <w:rPr>
                      <w:rFonts w:hint="eastAsia"/>
                      <w:color w:val="000000"/>
                      <w:szCs w:val="21"/>
                    </w:rPr>
                    <w:t xml:space="preserve">713型 </w:t>
                  </w:r>
                </w:p>
              </w:tc>
              <w:tc>
                <w:tcPr>
                  <w:tcW w:w="1985" w:type="dxa"/>
                  <w:tcBorders>
                    <w:tl2br w:val="nil"/>
                    <w:tr2bl w:val="nil"/>
                  </w:tcBorders>
                  <w:vAlign w:val="center"/>
                </w:tcPr>
                <w:p>
                  <w:pPr>
                    <w:adjustRightInd w:val="0"/>
                    <w:snapToGrid w:val="0"/>
                    <w:jc w:val="center"/>
                    <w:rPr>
                      <w:color w:val="000000"/>
                      <w:szCs w:val="21"/>
                    </w:rPr>
                  </w:pPr>
                  <w:r>
                    <w:rPr>
                      <w:rFonts w:hint="eastAsia"/>
                      <w:color w:val="000000"/>
                      <w:szCs w:val="21"/>
                    </w:rPr>
                    <w:t>15台</w:t>
                  </w:r>
                </w:p>
              </w:tc>
              <w:tc>
                <w:tcPr>
                  <w:tcW w:w="1417" w:type="dxa"/>
                  <w:tcBorders>
                    <w:tl2br w:val="nil"/>
                    <w:tr2bl w:val="nil"/>
                  </w:tcBorders>
                  <w:vAlign w:val="center"/>
                </w:tcPr>
                <w:p>
                  <w:pPr>
                    <w:adjustRightInd w:val="0"/>
                    <w:snapToGrid w:val="0"/>
                    <w:jc w:val="center"/>
                    <w:rPr>
                      <w:color w:val="000000"/>
                      <w:szCs w:val="21"/>
                    </w:rPr>
                  </w:pPr>
                  <w:r>
                    <w:rPr>
                      <w:rFonts w:hint="eastAsia" w:eastAsiaTheme="minorEastAsia"/>
                      <w:color w:val="000000"/>
                      <w:szCs w:val="21"/>
                    </w:rPr>
                    <w:t>外购</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dxa"/>
                  <w:tcBorders>
                    <w:tl2br w:val="nil"/>
                    <w:tr2bl w:val="nil"/>
                  </w:tcBorders>
                  <w:vAlign w:val="center"/>
                </w:tcPr>
                <w:p>
                  <w:pPr>
                    <w:adjustRightInd w:val="0"/>
                    <w:snapToGrid w:val="0"/>
                    <w:jc w:val="center"/>
                    <w:rPr>
                      <w:color w:val="000000"/>
                      <w:szCs w:val="21"/>
                    </w:rPr>
                  </w:pPr>
                  <w:r>
                    <w:rPr>
                      <w:rFonts w:hint="eastAsia"/>
                      <w:color w:val="000000"/>
                      <w:szCs w:val="21"/>
                    </w:rPr>
                    <w:t>5</w:t>
                  </w:r>
                </w:p>
              </w:tc>
              <w:tc>
                <w:tcPr>
                  <w:tcW w:w="2620" w:type="dxa"/>
                  <w:tcBorders>
                    <w:tl2br w:val="nil"/>
                    <w:tr2bl w:val="nil"/>
                  </w:tcBorders>
                  <w:vAlign w:val="center"/>
                </w:tcPr>
                <w:p>
                  <w:pPr>
                    <w:adjustRightInd w:val="0"/>
                    <w:snapToGrid w:val="0"/>
                    <w:jc w:val="center"/>
                    <w:rPr>
                      <w:rFonts w:hAnsi="宋体"/>
                      <w:color w:val="000000"/>
                      <w:szCs w:val="21"/>
                    </w:rPr>
                  </w:pPr>
                  <w:r>
                    <w:rPr>
                      <w:rFonts w:hint="eastAsia" w:hAnsi="宋体"/>
                      <w:color w:val="000000"/>
                      <w:szCs w:val="21"/>
                    </w:rPr>
                    <w:t>抛光机</w:t>
                  </w:r>
                </w:p>
              </w:tc>
              <w:tc>
                <w:tcPr>
                  <w:tcW w:w="1984" w:type="dxa"/>
                  <w:tcBorders>
                    <w:tl2br w:val="nil"/>
                    <w:tr2bl w:val="nil"/>
                  </w:tcBorders>
                  <w:vAlign w:val="center"/>
                </w:tcPr>
                <w:p>
                  <w:pPr>
                    <w:adjustRightInd w:val="0"/>
                    <w:snapToGrid w:val="0"/>
                    <w:jc w:val="center"/>
                    <w:rPr>
                      <w:color w:val="000000"/>
                      <w:szCs w:val="21"/>
                    </w:rPr>
                  </w:pPr>
                  <w:r>
                    <w:rPr>
                      <w:rFonts w:hint="eastAsia"/>
                      <w:color w:val="000000"/>
                      <w:szCs w:val="21"/>
                    </w:rPr>
                    <w:t>2t</w:t>
                  </w:r>
                </w:p>
              </w:tc>
              <w:tc>
                <w:tcPr>
                  <w:tcW w:w="1985" w:type="dxa"/>
                  <w:tcBorders>
                    <w:tl2br w:val="nil"/>
                    <w:tr2bl w:val="nil"/>
                  </w:tcBorders>
                  <w:vAlign w:val="center"/>
                </w:tcPr>
                <w:p>
                  <w:pPr>
                    <w:adjustRightInd w:val="0"/>
                    <w:snapToGrid w:val="0"/>
                    <w:jc w:val="center"/>
                    <w:rPr>
                      <w:color w:val="000000"/>
                      <w:szCs w:val="21"/>
                    </w:rPr>
                  </w:pPr>
                  <w:r>
                    <w:rPr>
                      <w:rFonts w:hint="eastAsia"/>
                      <w:color w:val="000000"/>
                      <w:szCs w:val="21"/>
                    </w:rPr>
                    <w:t>2台</w:t>
                  </w:r>
                </w:p>
              </w:tc>
              <w:tc>
                <w:tcPr>
                  <w:tcW w:w="1417" w:type="dxa"/>
                  <w:tcBorders>
                    <w:tl2br w:val="nil"/>
                    <w:tr2bl w:val="nil"/>
                  </w:tcBorders>
                  <w:vAlign w:val="center"/>
                </w:tcPr>
                <w:p>
                  <w:pPr>
                    <w:adjustRightInd w:val="0"/>
                    <w:snapToGrid w:val="0"/>
                    <w:jc w:val="center"/>
                    <w:rPr>
                      <w:color w:val="000000"/>
                      <w:szCs w:val="21"/>
                    </w:rPr>
                  </w:pPr>
                  <w:r>
                    <w:rPr>
                      <w:rFonts w:hint="eastAsia" w:eastAsiaTheme="minorEastAsia"/>
                      <w:color w:val="000000"/>
                      <w:szCs w:val="21"/>
                    </w:rPr>
                    <w:t>外购</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dxa"/>
                  <w:tcBorders>
                    <w:tl2br w:val="nil"/>
                    <w:tr2bl w:val="nil"/>
                  </w:tcBorders>
                  <w:vAlign w:val="center"/>
                </w:tcPr>
                <w:p>
                  <w:pPr>
                    <w:adjustRightInd w:val="0"/>
                    <w:snapToGrid w:val="0"/>
                    <w:jc w:val="center"/>
                    <w:rPr>
                      <w:color w:val="000000"/>
                      <w:szCs w:val="21"/>
                    </w:rPr>
                  </w:pPr>
                  <w:r>
                    <w:rPr>
                      <w:rFonts w:hint="eastAsia"/>
                      <w:color w:val="000000"/>
                      <w:szCs w:val="21"/>
                    </w:rPr>
                    <w:t>6</w:t>
                  </w:r>
                </w:p>
              </w:tc>
              <w:tc>
                <w:tcPr>
                  <w:tcW w:w="2620" w:type="dxa"/>
                  <w:tcBorders>
                    <w:tl2br w:val="nil"/>
                    <w:tr2bl w:val="nil"/>
                  </w:tcBorders>
                  <w:vAlign w:val="center"/>
                </w:tcPr>
                <w:p>
                  <w:pPr>
                    <w:adjustRightInd w:val="0"/>
                    <w:snapToGrid w:val="0"/>
                    <w:jc w:val="center"/>
                    <w:rPr>
                      <w:color w:val="000000"/>
                      <w:szCs w:val="21"/>
                    </w:rPr>
                  </w:pPr>
                  <w:r>
                    <w:rPr>
                      <w:rFonts w:hAnsi="宋体"/>
                      <w:color w:val="000000"/>
                      <w:szCs w:val="21"/>
                    </w:rPr>
                    <w:t>空压机</w:t>
                  </w:r>
                </w:p>
              </w:tc>
              <w:tc>
                <w:tcPr>
                  <w:tcW w:w="1984" w:type="dxa"/>
                  <w:tcBorders>
                    <w:tl2br w:val="nil"/>
                    <w:tr2bl w:val="nil"/>
                  </w:tcBorders>
                  <w:vAlign w:val="center"/>
                </w:tcPr>
                <w:p>
                  <w:pPr>
                    <w:adjustRightInd w:val="0"/>
                    <w:snapToGrid w:val="0"/>
                    <w:jc w:val="center"/>
                    <w:rPr>
                      <w:color w:val="000000"/>
                      <w:szCs w:val="21"/>
                    </w:rPr>
                  </w:pPr>
                  <w:r>
                    <w:rPr>
                      <w:rFonts w:hint="eastAsia"/>
                      <w:color w:val="000000"/>
                      <w:szCs w:val="21"/>
                    </w:rPr>
                    <w:t>/</w:t>
                  </w:r>
                </w:p>
              </w:tc>
              <w:tc>
                <w:tcPr>
                  <w:tcW w:w="1985" w:type="dxa"/>
                  <w:tcBorders>
                    <w:tl2br w:val="nil"/>
                    <w:tr2bl w:val="nil"/>
                  </w:tcBorders>
                  <w:vAlign w:val="center"/>
                </w:tcPr>
                <w:p>
                  <w:pPr>
                    <w:adjustRightInd w:val="0"/>
                    <w:snapToGrid w:val="0"/>
                    <w:jc w:val="center"/>
                    <w:rPr>
                      <w:color w:val="000000"/>
                      <w:szCs w:val="21"/>
                    </w:rPr>
                  </w:pPr>
                  <w:r>
                    <w:rPr>
                      <w:rFonts w:hint="eastAsia"/>
                      <w:color w:val="000000"/>
                      <w:szCs w:val="21"/>
                    </w:rPr>
                    <w:t>3台</w:t>
                  </w:r>
                </w:p>
              </w:tc>
              <w:tc>
                <w:tcPr>
                  <w:tcW w:w="1417" w:type="dxa"/>
                  <w:tcBorders>
                    <w:tl2br w:val="nil"/>
                    <w:tr2bl w:val="nil"/>
                  </w:tcBorders>
                  <w:vAlign w:val="center"/>
                </w:tcPr>
                <w:p>
                  <w:pPr>
                    <w:adjustRightInd w:val="0"/>
                    <w:snapToGrid w:val="0"/>
                    <w:jc w:val="center"/>
                    <w:rPr>
                      <w:color w:val="000000"/>
                      <w:szCs w:val="21"/>
                    </w:rPr>
                  </w:pPr>
                  <w:r>
                    <w:rPr>
                      <w:rFonts w:hint="eastAsia" w:eastAsiaTheme="minorEastAsia"/>
                      <w:color w:val="000000"/>
                      <w:szCs w:val="21"/>
                    </w:rPr>
                    <w:t>外购</w:t>
                  </w:r>
                </w:p>
              </w:tc>
            </w:tr>
          </w:tbl>
          <w:p>
            <w:pPr>
              <w:adjustRightInd w:val="0"/>
              <w:snapToGrid w:val="0"/>
              <w:spacing w:line="440" w:lineRule="exact"/>
              <w:textAlignment w:val="baseline"/>
              <w:rPr>
                <w:sz w:val="24"/>
              </w:rPr>
            </w:pPr>
            <w:r>
              <w:rPr>
                <w:rFonts w:hint="eastAsia" w:asciiTheme="minorEastAsia" w:hAnsiTheme="minorEastAsia" w:eastAsiaTheme="minorEastAsia" w:cstheme="minorEastAsia"/>
                <w:b/>
                <w:color w:val="000000"/>
                <w:sz w:val="24"/>
              </w:rPr>
              <w:t>　　</w:t>
            </w:r>
            <w:r>
              <w:rPr>
                <w:rFonts w:hint="eastAsia" w:eastAsiaTheme="minorEastAsia"/>
                <w:b/>
                <w:color w:val="000000"/>
                <w:sz w:val="24"/>
              </w:rPr>
              <w:t>4、</w:t>
            </w:r>
            <w:r>
              <w:rPr>
                <w:b/>
                <w:color w:val="000000"/>
                <w:sz w:val="24"/>
              </w:rPr>
              <w:t>主要原辅材料消耗量</w:t>
            </w:r>
          </w:p>
          <w:p>
            <w:pPr>
              <w:adjustRightInd w:val="0"/>
              <w:snapToGrid w:val="0"/>
              <w:spacing w:line="440" w:lineRule="exact"/>
              <w:ind w:firstLine="480" w:firstLineChars="200"/>
              <w:textAlignment w:val="baseline"/>
              <w:rPr>
                <w:rFonts w:eastAsiaTheme="minorEastAsia"/>
                <w:sz w:val="24"/>
              </w:rPr>
            </w:pPr>
            <w:r>
              <w:rPr>
                <w:rFonts w:hAnsiTheme="minorEastAsia" w:eastAsiaTheme="minorEastAsia"/>
                <w:sz w:val="24"/>
              </w:rPr>
              <w:t>本项目主要原辅材料消耗见</w:t>
            </w:r>
            <w:r>
              <w:rPr>
                <w:rFonts w:hint="eastAsia" w:hAnsiTheme="minorEastAsia" w:eastAsiaTheme="minorEastAsia"/>
                <w:sz w:val="24"/>
              </w:rPr>
              <w:t>下</w:t>
            </w:r>
            <w:r>
              <w:rPr>
                <w:rFonts w:hAnsiTheme="minorEastAsia" w:eastAsiaTheme="minorEastAsia"/>
                <w:sz w:val="24"/>
              </w:rPr>
              <w:t>表：</w:t>
            </w:r>
          </w:p>
          <w:p>
            <w:pPr>
              <w:adjustRightInd w:val="0"/>
              <w:snapToGrid w:val="0"/>
              <w:spacing w:line="440" w:lineRule="exact"/>
              <w:ind w:firstLine="480" w:firstLineChars="200"/>
              <w:rPr>
                <w:rFonts w:eastAsia="黑体"/>
                <w:bCs/>
                <w:color w:val="000000"/>
                <w:sz w:val="24"/>
              </w:rPr>
            </w:pPr>
            <w:r>
              <w:rPr>
                <w:rFonts w:eastAsia="黑体"/>
                <w:bCs/>
                <w:color w:val="000000"/>
                <w:sz w:val="24"/>
              </w:rPr>
              <w:t>表4           本项目原辅材料及动力消耗情况一览表</w:t>
            </w:r>
          </w:p>
          <w:tbl>
            <w:tblPr>
              <w:tblStyle w:val="24"/>
              <w:tblW w:w="4997"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2046"/>
              <w:gridCol w:w="1772"/>
              <w:gridCol w:w="1328"/>
              <w:gridCol w:w="2778"/>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0" w:type="pct"/>
                  <w:tcBorders>
                    <w:bottom w:val="single" w:color="auto" w:sz="8" w:space="0"/>
                    <w:tl2br w:val="nil"/>
                    <w:tr2bl w:val="nil"/>
                  </w:tcBorders>
                  <w:vAlign w:val="center"/>
                </w:tcPr>
                <w:p>
                  <w:pPr>
                    <w:jc w:val="center"/>
                    <w:rPr>
                      <w:b/>
                      <w:bCs/>
                      <w:color w:val="000000"/>
                      <w:szCs w:val="21"/>
                    </w:rPr>
                  </w:pPr>
                  <w:r>
                    <w:rPr>
                      <w:b/>
                      <w:bCs/>
                      <w:color w:val="000000"/>
                      <w:szCs w:val="21"/>
                    </w:rPr>
                    <w:t>序号</w:t>
                  </w:r>
                </w:p>
              </w:tc>
              <w:tc>
                <w:tcPr>
                  <w:tcW w:w="1128" w:type="pct"/>
                  <w:tcBorders>
                    <w:bottom w:val="single" w:color="auto" w:sz="8" w:space="0"/>
                    <w:tl2br w:val="nil"/>
                    <w:tr2bl w:val="nil"/>
                  </w:tcBorders>
                  <w:vAlign w:val="center"/>
                </w:tcPr>
                <w:p>
                  <w:pPr>
                    <w:jc w:val="center"/>
                    <w:rPr>
                      <w:b/>
                      <w:bCs/>
                      <w:color w:val="000000"/>
                      <w:szCs w:val="21"/>
                    </w:rPr>
                  </w:pPr>
                  <w:r>
                    <w:rPr>
                      <w:b/>
                      <w:bCs/>
                      <w:color w:val="000000"/>
                      <w:szCs w:val="21"/>
                    </w:rPr>
                    <w:t>原材料名称</w:t>
                  </w:r>
                </w:p>
              </w:tc>
              <w:tc>
                <w:tcPr>
                  <w:tcW w:w="977" w:type="pct"/>
                  <w:tcBorders>
                    <w:bottom w:val="single" w:color="auto" w:sz="8" w:space="0"/>
                    <w:tl2br w:val="nil"/>
                    <w:tr2bl w:val="nil"/>
                  </w:tcBorders>
                  <w:vAlign w:val="center"/>
                </w:tcPr>
                <w:p>
                  <w:pPr>
                    <w:widowControl/>
                    <w:jc w:val="center"/>
                    <w:textAlignment w:val="center"/>
                    <w:rPr>
                      <w:b/>
                      <w:bCs/>
                      <w:color w:val="000000"/>
                      <w:szCs w:val="21"/>
                    </w:rPr>
                  </w:pPr>
                  <w:r>
                    <w:rPr>
                      <w:b/>
                      <w:bCs/>
                      <w:color w:val="000000"/>
                      <w:kern w:val="0"/>
                      <w:sz w:val="22"/>
                      <w:szCs w:val="22"/>
                    </w:rPr>
                    <w:t>年用量</w:t>
                  </w:r>
                </w:p>
              </w:tc>
              <w:tc>
                <w:tcPr>
                  <w:tcW w:w="732" w:type="pct"/>
                  <w:tcBorders>
                    <w:bottom w:val="single" w:color="auto" w:sz="8" w:space="0"/>
                    <w:tl2br w:val="nil"/>
                    <w:tr2bl w:val="nil"/>
                  </w:tcBorders>
                  <w:vAlign w:val="center"/>
                </w:tcPr>
                <w:p>
                  <w:pPr>
                    <w:jc w:val="center"/>
                    <w:rPr>
                      <w:b/>
                      <w:bCs/>
                      <w:color w:val="000000"/>
                      <w:szCs w:val="21"/>
                    </w:rPr>
                  </w:pPr>
                  <w:r>
                    <w:rPr>
                      <w:rFonts w:hint="eastAsia"/>
                      <w:b/>
                      <w:bCs/>
                      <w:color w:val="000000"/>
                      <w:szCs w:val="21"/>
                    </w:rPr>
                    <w:t>储存方式</w:t>
                  </w:r>
                </w:p>
              </w:tc>
              <w:tc>
                <w:tcPr>
                  <w:tcW w:w="1531" w:type="pct"/>
                  <w:tcBorders>
                    <w:bottom w:val="single" w:color="auto" w:sz="8" w:space="0"/>
                    <w:tl2br w:val="nil"/>
                    <w:tr2bl w:val="nil"/>
                  </w:tcBorders>
                  <w:vAlign w:val="center"/>
                </w:tcPr>
                <w:p>
                  <w:pPr>
                    <w:jc w:val="center"/>
                    <w:rPr>
                      <w:b/>
                      <w:bCs/>
                      <w:color w:val="000000"/>
                      <w:szCs w:val="21"/>
                    </w:rPr>
                  </w:pPr>
                  <w:r>
                    <w:rPr>
                      <w:b/>
                      <w:bCs/>
                      <w:color w:val="000000"/>
                      <w:szCs w:val="21"/>
                    </w:rPr>
                    <w:t>备注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0" w:type="pct"/>
                  <w:vMerge w:val="restart"/>
                  <w:tcBorders>
                    <w:top w:val="single" w:color="auto" w:sz="8" w:space="0"/>
                    <w:tl2br w:val="nil"/>
                    <w:tr2bl w:val="nil"/>
                  </w:tcBorders>
                  <w:vAlign w:val="center"/>
                </w:tcPr>
                <w:p>
                  <w:pPr>
                    <w:adjustRightInd w:val="0"/>
                    <w:snapToGrid w:val="0"/>
                    <w:spacing w:line="360" w:lineRule="exact"/>
                    <w:jc w:val="center"/>
                    <w:rPr>
                      <w:color w:val="000000"/>
                      <w:szCs w:val="21"/>
                    </w:rPr>
                  </w:pPr>
                  <w:r>
                    <w:rPr>
                      <w:szCs w:val="21"/>
                    </w:rPr>
                    <w:t>原、辅材料</w:t>
                  </w:r>
                </w:p>
              </w:tc>
              <w:tc>
                <w:tcPr>
                  <w:tcW w:w="1128" w:type="pct"/>
                  <w:tcBorders>
                    <w:top w:val="single" w:color="auto" w:sz="8" w:space="0"/>
                    <w:tl2br w:val="nil"/>
                    <w:tr2bl w:val="nil"/>
                  </w:tcBorders>
                  <w:vAlign w:val="center"/>
                </w:tcPr>
                <w:p>
                  <w:pPr>
                    <w:adjustRightInd w:val="0"/>
                    <w:snapToGrid w:val="0"/>
                    <w:spacing w:line="360" w:lineRule="exact"/>
                    <w:jc w:val="center"/>
                    <w:rPr>
                      <w:rFonts w:eastAsiaTheme="minorEastAsia"/>
                      <w:color w:val="000000"/>
                      <w:szCs w:val="21"/>
                    </w:rPr>
                  </w:pPr>
                  <w:r>
                    <w:rPr>
                      <w:rFonts w:hAnsiTheme="minorEastAsia" w:eastAsiaTheme="minorEastAsia"/>
                      <w:szCs w:val="21"/>
                    </w:rPr>
                    <w:t>盘圆（冷拔丝）</w:t>
                  </w:r>
                </w:p>
              </w:tc>
              <w:tc>
                <w:tcPr>
                  <w:tcW w:w="977" w:type="pct"/>
                  <w:tcBorders>
                    <w:top w:val="single" w:color="auto" w:sz="8" w:space="0"/>
                    <w:tl2br w:val="nil"/>
                    <w:tr2bl w:val="nil"/>
                  </w:tcBorders>
                  <w:vAlign w:val="center"/>
                </w:tcPr>
                <w:p>
                  <w:pPr>
                    <w:adjustRightInd w:val="0"/>
                    <w:snapToGrid w:val="0"/>
                    <w:spacing w:line="360" w:lineRule="exact"/>
                    <w:jc w:val="center"/>
                    <w:rPr>
                      <w:rFonts w:eastAsiaTheme="minorEastAsia"/>
                      <w:color w:val="000000"/>
                      <w:szCs w:val="21"/>
                    </w:rPr>
                  </w:pPr>
                  <w:r>
                    <w:rPr>
                      <w:rFonts w:hint="eastAsia" w:eastAsiaTheme="minorEastAsia"/>
                      <w:szCs w:val="21"/>
                    </w:rPr>
                    <w:t>1</w:t>
                  </w:r>
                  <w:r>
                    <w:rPr>
                      <w:rFonts w:eastAsiaTheme="minorEastAsia"/>
                      <w:szCs w:val="21"/>
                    </w:rPr>
                    <w:t>0</w:t>
                  </w:r>
                  <w:r>
                    <w:rPr>
                      <w:rFonts w:hint="eastAsia" w:eastAsiaTheme="minorEastAsia"/>
                      <w:szCs w:val="21"/>
                    </w:rPr>
                    <w:t>10</w:t>
                  </w:r>
                  <w:r>
                    <w:rPr>
                      <w:rFonts w:eastAsiaTheme="minorEastAsia"/>
                      <w:szCs w:val="21"/>
                    </w:rPr>
                    <w:t>t/a</w:t>
                  </w:r>
                </w:p>
              </w:tc>
              <w:tc>
                <w:tcPr>
                  <w:tcW w:w="732" w:type="pct"/>
                  <w:tcBorders>
                    <w:top w:val="single" w:color="auto" w:sz="8" w:space="0"/>
                    <w:tl2br w:val="nil"/>
                    <w:tr2bl w:val="nil"/>
                  </w:tcBorders>
                  <w:vAlign w:val="center"/>
                </w:tcPr>
                <w:p>
                  <w:pPr>
                    <w:adjustRightInd w:val="0"/>
                    <w:snapToGrid w:val="0"/>
                    <w:spacing w:line="360" w:lineRule="exact"/>
                    <w:jc w:val="center"/>
                    <w:rPr>
                      <w:rFonts w:eastAsiaTheme="minorEastAsia"/>
                      <w:color w:val="000000"/>
                      <w:szCs w:val="21"/>
                    </w:rPr>
                  </w:pPr>
                  <w:r>
                    <w:rPr>
                      <w:rFonts w:eastAsiaTheme="minorEastAsia"/>
                      <w:color w:val="000000"/>
                      <w:szCs w:val="21"/>
                    </w:rPr>
                    <w:t>捆装</w:t>
                  </w:r>
                </w:p>
              </w:tc>
              <w:tc>
                <w:tcPr>
                  <w:tcW w:w="1531" w:type="pct"/>
                  <w:tcBorders>
                    <w:top w:val="single" w:color="auto" w:sz="8" w:space="0"/>
                    <w:tl2br w:val="nil"/>
                    <w:tr2bl w:val="nil"/>
                  </w:tcBorders>
                  <w:vAlign w:val="center"/>
                </w:tcPr>
                <w:p>
                  <w:pPr>
                    <w:adjustRightInd w:val="0"/>
                    <w:snapToGrid w:val="0"/>
                    <w:spacing w:line="360" w:lineRule="exact"/>
                    <w:jc w:val="center"/>
                    <w:rPr>
                      <w:rFonts w:eastAsiaTheme="minorEastAsia"/>
                      <w:color w:val="000000"/>
                      <w:szCs w:val="21"/>
                    </w:rPr>
                  </w:pPr>
                  <w:r>
                    <w:rPr>
                      <w:rFonts w:hAnsiTheme="minorEastAsia" w:eastAsiaTheme="minorEastAsia"/>
                      <w:szCs w:val="21"/>
                    </w:rPr>
                    <w:t>外购，</w:t>
                  </w:r>
                  <w:r>
                    <w:rPr>
                      <w:rFonts w:eastAsiaTheme="minorEastAsia"/>
                      <w:color w:val="000000"/>
                      <w:kern w:val="0"/>
                      <w:szCs w:val="21"/>
                    </w:rPr>
                    <w:t>Φ6.5</w:t>
                  </w:r>
                  <w:r>
                    <w:rPr>
                      <w:rFonts w:eastAsiaTheme="minorEastAsia"/>
                      <w:szCs w:val="21"/>
                    </w:rPr>
                    <w:t>mm</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0" w:type="pct"/>
                  <w:vMerge w:val="continue"/>
                  <w:tcBorders>
                    <w:tl2br w:val="nil"/>
                    <w:tr2bl w:val="nil"/>
                  </w:tcBorders>
                  <w:vAlign w:val="center"/>
                </w:tcPr>
                <w:p>
                  <w:pPr>
                    <w:jc w:val="center"/>
                    <w:rPr>
                      <w:color w:val="000000"/>
                      <w:szCs w:val="21"/>
                    </w:rPr>
                  </w:pPr>
                </w:p>
              </w:tc>
              <w:tc>
                <w:tcPr>
                  <w:tcW w:w="1128" w:type="pct"/>
                  <w:tcBorders>
                    <w:tl2br w:val="nil"/>
                    <w:tr2bl w:val="nil"/>
                  </w:tcBorders>
                  <w:vAlign w:val="center"/>
                </w:tcPr>
                <w:p>
                  <w:pPr>
                    <w:adjustRightInd w:val="0"/>
                    <w:snapToGrid w:val="0"/>
                    <w:spacing w:line="360" w:lineRule="exact"/>
                    <w:jc w:val="center"/>
                    <w:rPr>
                      <w:rFonts w:eastAsiaTheme="minorEastAsia"/>
                      <w:color w:val="000000"/>
                      <w:szCs w:val="21"/>
                    </w:rPr>
                  </w:pPr>
                  <w:r>
                    <w:rPr>
                      <w:rFonts w:hAnsiTheme="minorEastAsia" w:eastAsiaTheme="minorEastAsia"/>
                      <w:szCs w:val="21"/>
                    </w:rPr>
                    <w:t>拔丝粉</w:t>
                  </w:r>
                </w:p>
              </w:tc>
              <w:tc>
                <w:tcPr>
                  <w:tcW w:w="977" w:type="pct"/>
                  <w:tcBorders>
                    <w:tl2br w:val="nil"/>
                    <w:tr2bl w:val="nil"/>
                  </w:tcBorders>
                  <w:vAlign w:val="center"/>
                </w:tcPr>
                <w:p>
                  <w:pPr>
                    <w:adjustRightInd w:val="0"/>
                    <w:snapToGrid w:val="0"/>
                    <w:spacing w:line="360" w:lineRule="exact"/>
                    <w:jc w:val="center"/>
                    <w:rPr>
                      <w:rFonts w:eastAsiaTheme="minorEastAsia"/>
                      <w:color w:val="000000"/>
                      <w:szCs w:val="21"/>
                    </w:rPr>
                  </w:pPr>
                  <w:r>
                    <w:rPr>
                      <w:rFonts w:hint="eastAsia" w:eastAsiaTheme="minorEastAsia"/>
                      <w:szCs w:val="21"/>
                    </w:rPr>
                    <w:t>0.5</w:t>
                  </w:r>
                  <w:r>
                    <w:rPr>
                      <w:rFonts w:eastAsiaTheme="minorEastAsia"/>
                      <w:szCs w:val="21"/>
                    </w:rPr>
                    <w:t>t/a</w:t>
                  </w:r>
                </w:p>
              </w:tc>
              <w:tc>
                <w:tcPr>
                  <w:tcW w:w="732" w:type="pct"/>
                  <w:tcBorders>
                    <w:tl2br w:val="nil"/>
                    <w:tr2bl w:val="nil"/>
                  </w:tcBorders>
                  <w:vAlign w:val="center"/>
                </w:tcPr>
                <w:p>
                  <w:pPr>
                    <w:adjustRightInd w:val="0"/>
                    <w:snapToGrid w:val="0"/>
                    <w:spacing w:line="360" w:lineRule="exact"/>
                    <w:jc w:val="center"/>
                    <w:rPr>
                      <w:rFonts w:eastAsiaTheme="minorEastAsia"/>
                      <w:color w:val="000000"/>
                      <w:szCs w:val="21"/>
                    </w:rPr>
                  </w:pPr>
                  <w:r>
                    <w:rPr>
                      <w:rFonts w:eastAsiaTheme="minorEastAsia"/>
                      <w:color w:val="000000"/>
                      <w:szCs w:val="21"/>
                    </w:rPr>
                    <w:t>袋装</w:t>
                  </w:r>
                </w:p>
              </w:tc>
              <w:tc>
                <w:tcPr>
                  <w:tcW w:w="1531" w:type="pct"/>
                  <w:tcBorders>
                    <w:tl2br w:val="nil"/>
                    <w:tr2bl w:val="nil"/>
                  </w:tcBorders>
                  <w:vAlign w:val="center"/>
                </w:tcPr>
                <w:p>
                  <w:pPr>
                    <w:adjustRightInd w:val="0"/>
                    <w:snapToGrid w:val="0"/>
                    <w:spacing w:line="360" w:lineRule="exact"/>
                    <w:jc w:val="center"/>
                    <w:rPr>
                      <w:rFonts w:eastAsiaTheme="minorEastAsia"/>
                      <w:color w:val="000000"/>
                      <w:szCs w:val="21"/>
                    </w:rPr>
                  </w:pPr>
                  <w:r>
                    <w:rPr>
                      <w:rFonts w:hAnsiTheme="minorEastAsia" w:eastAsiaTheme="minorEastAsia"/>
                      <w:szCs w:val="21"/>
                    </w:rPr>
                    <w:t>外购</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0" w:type="pct"/>
                  <w:vMerge w:val="continue"/>
                  <w:tcBorders>
                    <w:tl2br w:val="nil"/>
                    <w:tr2bl w:val="nil"/>
                  </w:tcBorders>
                  <w:vAlign w:val="center"/>
                </w:tcPr>
                <w:p>
                  <w:pPr>
                    <w:jc w:val="center"/>
                    <w:rPr>
                      <w:color w:val="000000"/>
                      <w:szCs w:val="21"/>
                    </w:rPr>
                  </w:pPr>
                </w:p>
              </w:tc>
              <w:tc>
                <w:tcPr>
                  <w:tcW w:w="1128" w:type="pct"/>
                  <w:tcBorders>
                    <w:tl2br w:val="nil"/>
                    <w:tr2bl w:val="nil"/>
                  </w:tcBorders>
                  <w:vAlign w:val="center"/>
                </w:tcPr>
                <w:p>
                  <w:pPr>
                    <w:adjustRightInd w:val="0"/>
                    <w:snapToGrid w:val="0"/>
                    <w:spacing w:line="360" w:lineRule="exact"/>
                    <w:jc w:val="center"/>
                    <w:rPr>
                      <w:rFonts w:hAnsiTheme="minorEastAsia" w:eastAsiaTheme="minorEastAsia"/>
                      <w:szCs w:val="21"/>
                    </w:rPr>
                  </w:pPr>
                  <w:r>
                    <w:rPr>
                      <w:rFonts w:hint="eastAsia" w:hAnsiTheme="minorEastAsia" w:eastAsiaTheme="minorEastAsia"/>
                      <w:szCs w:val="21"/>
                    </w:rPr>
                    <w:t>锯末</w:t>
                  </w:r>
                </w:p>
              </w:tc>
              <w:tc>
                <w:tcPr>
                  <w:tcW w:w="977" w:type="pct"/>
                  <w:tcBorders>
                    <w:tl2br w:val="nil"/>
                    <w:tr2bl w:val="nil"/>
                  </w:tcBorders>
                  <w:vAlign w:val="center"/>
                </w:tcPr>
                <w:p>
                  <w:pPr>
                    <w:adjustRightInd w:val="0"/>
                    <w:snapToGrid w:val="0"/>
                    <w:spacing w:line="360" w:lineRule="exact"/>
                    <w:jc w:val="center"/>
                    <w:rPr>
                      <w:rFonts w:eastAsiaTheme="minorEastAsia"/>
                      <w:szCs w:val="21"/>
                    </w:rPr>
                  </w:pPr>
                  <w:r>
                    <w:rPr>
                      <w:rFonts w:hint="eastAsia" w:eastAsiaTheme="minorEastAsia"/>
                      <w:szCs w:val="21"/>
                    </w:rPr>
                    <w:t>6.0</w:t>
                  </w:r>
                  <w:r>
                    <w:rPr>
                      <w:rFonts w:eastAsiaTheme="minorEastAsia"/>
                      <w:szCs w:val="21"/>
                    </w:rPr>
                    <w:t>t/a</w:t>
                  </w:r>
                </w:p>
              </w:tc>
              <w:tc>
                <w:tcPr>
                  <w:tcW w:w="732" w:type="pct"/>
                  <w:tcBorders>
                    <w:tl2br w:val="nil"/>
                    <w:tr2bl w:val="nil"/>
                  </w:tcBorders>
                  <w:vAlign w:val="center"/>
                </w:tcPr>
                <w:p>
                  <w:pPr>
                    <w:adjustRightInd w:val="0"/>
                    <w:snapToGrid w:val="0"/>
                    <w:spacing w:line="360" w:lineRule="exact"/>
                    <w:jc w:val="center"/>
                    <w:rPr>
                      <w:rFonts w:eastAsiaTheme="minorEastAsia"/>
                      <w:color w:val="000000"/>
                      <w:szCs w:val="21"/>
                    </w:rPr>
                  </w:pPr>
                  <w:r>
                    <w:rPr>
                      <w:rFonts w:eastAsiaTheme="minorEastAsia"/>
                      <w:color w:val="000000"/>
                      <w:szCs w:val="21"/>
                    </w:rPr>
                    <w:t>袋装</w:t>
                  </w:r>
                </w:p>
              </w:tc>
              <w:tc>
                <w:tcPr>
                  <w:tcW w:w="1531" w:type="pct"/>
                  <w:tcBorders>
                    <w:tl2br w:val="nil"/>
                    <w:tr2bl w:val="nil"/>
                  </w:tcBorders>
                  <w:vAlign w:val="center"/>
                </w:tcPr>
                <w:p>
                  <w:pPr>
                    <w:adjustRightInd w:val="0"/>
                    <w:snapToGrid w:val="0"/>
                    <w:spacing w:line="360" w:lineRule="exact"/>
                    <w:jc w:val="center"/>
                    <w:rPr>
                      <w:rFonts w:hAnsiTheme="minorEastAsia" w:eastAsiaTheme="minorEastAsia"/>
                      <w:szCs w:val="21"/>
                    </w:rPr>
                  </w:pPr>
                  <w:r>
                    <w:rPr>
                      <w:rFonts w:hAnsiTheme="minorEastAsia" w:eastAsiaTheme="minorEastAsia"/>
                      <w:szCs w:val="21"/>
                    </w:rPr>
                    <w:t>外购</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0" w:type="pct"/>
                  <w:vMerge w:val="restart"/>
                  <w:tcBorders>
                    <w:tl2br w:val="nil"/>
                    <w:tr2bl w:val="nil"/>
                  </w:tcBorders>
                  <w:vAlign w:val="center"/>
                </w:tcPr>
                <w:p>
                  <w:pPr>
                    <w:jc w:val="center"/>
                    <w:rPr>
                      <w:color w:val="000000"/>
                      <w:szCs w:val="21"/>
                    </w:rPr>
                  </w:pPr>
                  <w:r>
                    <w:rPr>
                      <w:szCs w:val="21"/>
                    </w:rPr>
                    <w:t>能耗</w:t>
                  </w:r>
                </w:p>
              </w:tc>
              <w:tc>
                <w:tcPr>
                  <w:tcW w:w="1128" w:type="pct"/>
                  <w:tcBorders>
                    <w:tl2br w:val="nil"/>
                    <w:tr2bl w:val="nil"/>
                  </w:tcBorders>
                  <w:vAlign w:val="center"/>
                </w:tcPr>
                <w:p>
                  <w:pPr>
                    <w:adjustRightInd w:val="0"/>
                    <w:snapToGrid w:val="0"/>
                    <w:spacing w:line="360" w:lineRule="exact"/>
                    <w:jc w:val="center"/>
                    <w:rPr>
                      <w:rFonts w:eastAsiaTheme="minorEastAsia"/>
                      <w:szCs w:val="21"/>
                    </w:rPr>
                  </w:pPr>
                  <w:r>
                    <w:rPr>
                      <w:rFonts w:hAnsiTheme="minorEastAsia" w:eastAsiaTheme="minorEastAsia"/>
                      <w:szCs w:val="21"/>
                    </w:rPr>
                    <w:t>水</w:t>
                  </w:r>
                </w:p>
              </w:tc>
              <w:tc>
                <w:tcPr>
                  <w:tcW w:w="977" w:type="pct"/>
                  <w:tcBorders>
                    <w:tl2br w:val="nil"/>
                    <w:tr2bl w:val="nil"/>
                  </w:tcBorders>
                  <w:vAlign w:val="center"/>
                </w:tcPr>
                <w:p>
                  <w:pPr>
                    <w:adjustRightInd w:val="0"/>
                    <w:snapToGrid w:val="0"/>
                    <w:spacing w:line="360" w:lineRule="exact"/>
                    <w:jc w:val="center"/>
                    <w:rPr>
                      <w:rFonts w:eastAsiaTheme="minorEastAsia"/>
                      <w:szCs w:val="21"/>
                      <w:highlight w:val="yellow"/>
                    </w:rPr>
                  </w:pPr>
                  <w:r>
                    <w:rPr>
                      <w:rFonts w:hint="eastAsia" w:eastAsiaTheme="minorEastAsia"/>
                      <w:szCs w:val="21"/>
                    </w:rPr>
                    <w:t>36</w:t>
                  </w:r>
                  <w:r>
                    <w:rPr>
                      <w:rFonts w:eastAsiaTheme="minorEastAsia"/>
                      <w:szCs w:val="21"/>
                    </w:rPr>
                    <w:t>m</w:t>
                  </w:r>
                  <w:r>
                    <w:rPr>
                      <w:rFonts w:eastAsiaTheme="minorEastAsia"/>
                      <w:szCs w:val="21"/>
                      <w:vertAlign w:val="superscript"/>
                    </w:rPr>
                    <w:t>3</w:t>
                  </w:r>
                  <w:r>
                    <w:rPr>
                      <w:rFonts w:eastAsiaTheme="minorEastAsia"/>
                      <w:szCs w:val="21"/>
                    </w:rPr>
                    <w:t>/a</w:t>
                  </w:r>
                </w:p>
              </w:tc>
              <w:tc>
                <w:tcPr>
                  <w:tcW w:w="732" w:type="pct"/>
                  <w:tcBorders>
                    <w:tl2br w:val="nil"/>
                    <w:tr2bl w:val="nil"/>
                  </w:tcBorders>
                  <w:vAlign w:val="center"/>
                </w:tcPr>
                <w:p>
                  <w:pPr>
                    <w:adjustRightInd w:val="0"/>
                    <w:snapToGrid w:val="0"/>
                    <w:spacing w:line="360" w:lineRule="exact"/>
                    <w:jc w:val="center"/>
                    <w:rPr>
                      <w:rFonts w:eastAsiaTheme="minorEastAsia"/>
                      <w:szCs w:val="21"/>
                    </w:rPr>
                  </w:pPr>
                  <w:r>
                    <w:rPr>
                      <w:rFonts w:hint="eastAsia" w:eastAsiaTheme="minorEastAsia"/>
                      <w:szCs w:val="21"/>
                    </w:rPr>
                    <w:t>/</w:t>
                  </w:r>
                </w:p>
              </w:tc>
              <w:tc>
                <w:tcPr>
                  <w:tcW w:w="1531" w:type="pct"/>
                  <w:tcBorders>
                    <w:tl2br w:val="nil"/>
                    <w:tr2bl w:val="nil"/>
                  </w:tcBorders>
                  <w:vAlign w:val="center"/>
                </w:tcPr>
                <w:p>
                  <w:pPr>
                    <w:adjustRightInd w:val="0"/>
                    <w:snapToGrid w:val="0"/>
                    <w:spacing w:line="360" w:lineRule="exact"/>
                    <w:jc w:val="center"/>
                    <w:rPr>
                      <w:rFonts w:eastAsiaTheme="minorEastAsia"/>
                      <w:szCs w:val="21"/>
                    </w:rPr>
                  </w:pPr>
                  <w:r>
                    <w:rPr>
                      <w:rFonts w:hAnsiTheme="minorEastAsia" w:eastAsiaTheme="minorEastAsia"/>
                      <w:szCs w:val="21"/>
                    </w:rPr>
                    <w:t>合河乡供水管网</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0" w:type="pct"/>
                  <w:vMerge w:val="continue"/>
                  <w:tcBorders>
                    <w:tl2br w:val="nil"/>
                    <w:tr2bl w:val="nil"/>
                  </w:tcBorders>
                  <w:vAlign w:val="center"/>
                </w:tcPr>
                <w:p>
                  <w:pPr>
                    <w:jc w:val="center"/>
                    <w:rPr>
                      <w:color w:val="000000"/>
                      <w:szCs w:val="21"/>
                    </w:rPr>
                  </w:pPr>
                </w:p>
              </w:tc>
              <w:tc>
                <w:tcPr>
                  <w:tcW w:w="1128" w:type="pct"/>
                  <w:tcBorders>
                    <w:tl2br w:val="nil"/>
                    <w:tr2bl w:val="nil"/>
                  </w:tcBorders>
                  <w:vAlign w:val="center"/>
                </w:tcPr>
                <w:p>
                  <w:pPr>
                    <w:adjustRightInd w:val="0"/>
                    <w:snapToGrid w:val="0"/>
                    <w:spacing w:line="360" w:lineRule="exact"/>
                    <w:jc w:val="center"/>
                    <w:rPr>
                      <w:rFonts w:eastAsiaTheme="minorEastAsia"/>
                      <w:szCs w:val="21"/>
                    </w:rPr>
                  </w:pPr>
                  <w:r>
                    <w:rPr>
                      <w:rFonts w:hAnsiTheme="minorEastAsia" w:eastAsiaTheme="minorEastAsia"/>
                      <w:szCs w:val="21"/>
                    </w:rPr>
                    <w:t>电</w:t>
                  </w:r>
                </w:p>
              </w:tc>
              <w:tc>
                <w:tcPr>
                  <w:tcW w:w="977" w:type="pct"/>
                  <w:tcBorders>
                    <w:tl2br w:val="nil"/>
                    <w:tr2bl w:val="nil"/>
                  </w:tcBorders>
                  <w:vAlign w:val="center"/>
                </w:tcPr>
                <w:p>
                  <w:pPr>
                    <w:adjustRightInd w:val="0"/>
                    <w:snapToGrid w:val="0"/>
                    <w:spacing w:line="360" w:lineRule="exact"/>
                    <w:jc w:val="center"/>
                    <w:rPr>
                      <w:rFonts w:eastAsiaTheme="minorEastAsia"/>
                      <w:szCs w:val="21"/>
                      <w:highlight w:val="yellow"/>
                    </w:rPr>
                  </w:pPr>
                  <w:r>
                    <w:rPr>
                      <w:rFonts w:hint="eastAsia" w:eastAsiaTheme="minorEastAsia"/>
                      <w:szCs w:val="21"/>
                    </w:rPr>
                    <w:t>10</w:t>
                  </w:r>
                  <w:r>
                    <w:rPr>
                      <w:rFonts w:hAnsiTheme="minorEastAsia" w:eastAsiaTheme="minorEastAsia"/>
                      <w:szCs w:val="21"/>
                    </w:rPr>
                    <w:t>万</w:t>
                  </w:r>
                  <w:r>
                    <w:rPr>
                      <w:rFonts w:eastAsiaTheme="minorEastAsia"/>
                      <w:szCs w:val="21"/>
                    </w:rPr>
                    <w:t>kW·h/a</w:t>
                  </w:r>
                </w:p>
              </w:tc>
              <w:tc>
                <w:tcPr>
                  <w:tcW w:w="732" w:type="pct"/>
                  <w:tcBorders>
                    <w:tl2br w:val="nil"/>
                    <w:tr2bl w:val="nil"/>
                  </w:tcBorders>
                  <w:vAlign w:val="center"/>
                </w:tcPr>
                <w:p>
                  <w:pPr>
                    <w:adjustRightInd w:val="0"/>
                    <w:snapToGrid w:val="0"/>
                    <w:spacing w:line="360" w:lineRule="exact"/>
                    <w:jc w:val="center"/>
                    <w:rPr>
                      <w:rFonts w:eastAsiaTheme="minorEastAsia"/>
                      <w:szCs w:val="21"/>
                    </w:rPr>
                  </w:pPr>
                  <w:r>
                    <w:rPr>
                      <w:rFonts w:hint="eastAsia" w:eastAsiaTheme="minorEastAsia"/>
                      <w:szCs w:val="21"/>
                    </w:rPr>
                    <w:t>/</w:t>
                  </w:r>
                </w:p>
              </w:tc>
              <w:tc>
                <w:tcPr>
                  <w:tcW w:w="1531" w:type="pct"/>
                  <w:tcBorders>
                    <w:tl2br w:val="nil"/>
                    <w:tr2bl w:val="nil"/>
                  </w:tcBorders>
                  <w:vAlign w:val="center"/>
                </w:tcPr>
                <w:p>
                  <w:pPr>
                    <w:adjustRightInd w:val="0"/>
                    <w:snapToGrid w:val="0"/>
                    <w:spacing w:line="360" w:lineRule="exact"/>
                    <w:jc w:val="center"/>
                    <w:rPr>
                      <w:rFonts w:eastAsiaTheme="minorEastAsia"/>
                      <w:szCs w:val="21"/>
                    </w:rPr>
                  </w:pPr>
                  <w:r>
                    <w:rPr>
                      <w:rFonts w:hAnsiTheme="minorEastAsia" w:eastAsiaTheme="minorEastAsia"/>
                      <w:szCs w:val="21"/>
                    </w:rPr>
                    <w:t>合河乡供电所供应</w:t>
                  </w:r>
                </w:p>
              </w:tc>
            </w:tr>
          </w:tbl>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baseline"/>
              <w:rPr>
                <w:rFonts w:ascii="宋体" w:hAnsi="宋体"/>
                <w:bCs/>
                <w:color w:val="000000"/>
                <w:sz w:val="24"/>
              </w:rPr>
            </w:pPr>
            <w:r>
              <w:rPr>
                <w:rFonts w:hint="eastAsia" w:ascii="宋体" w:hAnsi="宋体"/>
                <w:bCs/>
                <w:color w:val="000000"/>
                <w:sz w:val="24"/>
              </w:rPr>
              <w:t>生产所用的原材料均为外购材料，所用拔丝粉的理化性质：</w:t>
            </w:r>
          </w:p>
          <w:p>
            <w:pPr>
              <w:pStyle w:val="124"/>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rPr>
                <w:rFonts w:ascii="宋体" w:hAnsi="宋体"/>
                <w:b/>
                <w:color w:val="000000"/>
                <w:sz w:val="24"/>
              </w:rPr>
            </w:pPr>
            <w:r>
              <w:rPr>
                <w:rFonts w:ascii="宋体" w:hAnsi="宋体"/>
                <w:b/>
                <w:sz w:val="24"/>
              </w:rPr>
              <w:t>拔丝粉</w:t>
            </w:r>
            <w:r>
              <w:rPr>
                <w:rFonts w:ascii="宋体" w:hAnsi="宋体"/>
                <w:sz w:val="24"/>
              </w:rPr>
              <w:t>：形态为粉状，是金属丝冷拔过程中的工艺润滑材料，主要成分为石灰、石蜡、肥皂、滑石粉、碱等，主要作用是在被拉金属丝与拔丝机模壁之间形成一层润滑膜，减小界面间的摩擦，节约能量消耗，延长模具的使用寿命，同时在钢丝表面形成一种润滑膜，对钢丝起到保护作用。</w:t>
            </w:r>
          </w:p>
          <w:p>
            <w:pPr>
              <w:keepNext w:val="0"/>
              <w:keepLines w:val="0"/>
              <w:pageBreakBefore w:val="0"/>
              <w:widowControl w:val="0"/>
              <w:numPr>
                <w:ilvl w:val="0"/>
                <w:numId w:val="1"/>
              </w:numPr>
              <w:kinsoku/>
              <w:wordWrap/>
              <w:overflowPunct/>
              <w:topLinePunct w:val="0"/>
              <w:autoSpaceDE/>
              <w:autoSpaceDN/>
              <w:bidi w:val="0"/>
              <w:spacing w:line="440" w:lineRule="exact"/>
              <w:ind w:firstLine="482" w:firstLineChars="200"/>
              <w:rPr>
                <w:b/>
                <w:color w:val="000000"/>
                <w:sz w:val="24"/>
              </w:rPr>
            </w:pPr>
            <w:r>
              <w:rPr>
                <w:b/>
                <w:color w:val="000000"/>
                <w:sz w:val="24"/>
              </w:rPr>
              <w:t>项目建设与产业政策相符性分析</w:t>
            </w:r>
          </w:p>
          <w:p>
            <w:pPr>
              <w:keepNext w:val="0"/>
              <w:keepLines w:val="0"/>
              <w:pageBreakBefore w:val="0"/>
              <w:widowControl w:val="0"/>
              <w:kinsoku/>
              <w:wordWrap/>
              <w:overflowPunct/>
              <w:topLinePunct w:val="0"/>
              <w:autoSpaceDE/>
              <w:autoSpaceDN/>
              <w:bidi w:val="0"/>
              <w:spacing w:line="440" w:lineRule="exact"/>
              <w:jc w:val="left"/>
              <w:rPr>
                <w:sz w:val="24"/>
              </w:rPr>
            </w:pPr>
            <w:r>
              <w:rPr>
                <w:rFonts w:hint="eastAsia" w:ascii="宋体" w:hAnsi="宋体"/>
                <w:sz w:val="24"/>
              </w:rPr>
              <w:t>　　</w:t>
            </w:r>
            <w:r>
              <w:rPr>
                <w:rFonts w:hAnsi="宋体"/>
                <w:sz w:val="24"/>
              </w:rPr>
              <w:t>本项目属于</w:t>
            </w:r>
            <w:r>
              <w:rPr>
                <w:rFonts w:hint="eastAsia"/>
                <w:bCs/>
                <w:sz w:val="24"/>
              </w:rPr>
              <w:t>紧固件制造</w:t>
            </w:r>
            <w:r>
              <w:rPr>
                <w:rFonts w:hAnsi="宋体"/>
                <w:sz w:val="24"/>
              </w:rPr>
              <w:t>，已在新乡县发展和改革委员会备案（见附件</w:t>
            </w:r>
            <w:r>
              <w:rPr>
                <w:sz w:val="24"/>
              </w:rPr>
              <w:t>2</w:t>
            </w:r>
            <w:r>
              <w:rPr>
                <w:rFonts w:hAnsi="宋体"/>
                <w:sz w:val="24"/>
              </w:rPr>
              <w:t>），项目代码为：</w:t>
            </w:r>
            <w:r>
              <w:rPr>
                <w:rFonts w:hint="eastAsia"/>
                <w:sz w:val="24"/>
              </w:rPr>
              <w:t>2020-410721-34-03-041250</w:t>
            </w:r>
            <w:r>
              <w:rPr>
                <w:rFonts w:hAnsi="宋体"/>
                <w:sz w:val="24"/>
              </w:rPr>
              <w:t>。对比《产业结构调整指导目录（</w:t>
            </w:r>
            <w:r>
              <w:rPr>
                <w:sz w:val="24"/>
              </w:rPr>
              <w:t>2019</w:t>
            </w:r>
            <w:r>
              <w:rPr>
                <w:rFonts w:hAnsi="宋体"/>
                <w:sz w:val="24"/>
              </w:rPr>
              <w:t>年本）》</w:t>
            </w:r>
            <w:r>
              <w:rPr>
                <w:rFonts w:hint="eastAsia" w:hAnsi="宋体"/>
                <w:sz w:val="24"/>
                <w:lang w:eastAsia="zh-CN"/>
              </w:rPr>
              <w:t>，</w:t>
            </w:r>
            <w:r>
              <w:rPr>
                <w:rFonts w:hAnsi="宋体"/>
                <w:sz w:val="24"/>
              </w:rPr>
              <w:t>本项目不属于国家产业结构调整指导目录中鼓励类、限制类和淘汰类，为允许类，符合国家产业政策要求。</w:t>
            </w:r>
            <w:r>
              <w:rPr>
                <w:rFonts w:hAnsi="宋体"/>
                <w:color w:val="000000"/>
                <w:sz w:val="24"/>
              </w:rPr>
              <w:t>本项目情况与产业政策一致性分析见</w:t>
            </w:r>
            <w:r>
              <w:rPr>
                <w:rFonts w:hint="eastAsia" w:hAnsi="宋体"/>
                <w:color w:val="000000"/>
                <w:sz w:val="24"/>
              </w:rPr>
              <w:t>下</w:t>
            </w:r>
            <w:r>
              <w:rPr>
                <w:rFonts w:hAnsi="宋体"/>
                <w:color w:val="000000"/>
                <w:sz w:val="24"/>
              </w:rPr>
              <w:t>表：</w:t>
            </w:r>
          </w:p>
          <w:p>
            <w:pPr>
              <w:adjustRightInd w:val="0"/>
              <w:snapToGrid w:val="0"/>
              <w:spacing w:line="440" w:lineRule="exact"/>
              <w:ind w:firstLine="480" w:firstLineChars="200"/>
              <w:rPr>
                <w:rFonts w:eastAsia="黑体"/>
                <w:bCs/>
                <w:color w:val="000000"/>
                <w:sz w:val="24"/>
              </w:rPr>
            </w:pPr>
          </w:p>
          <w:p>
            <w:pPr>
              <w:adjustRightInd w:val="0"/>
              <w:snapToGrid w:val="0"/>
              <w:spacing w:line="440" w:lineRule="exact"/>
              <w:ind w:firstLine="480" w:firstLineChars="200"/>
              <w:rPr>
                <w:rFonts w:eastAsia="黑体"/>
                <w:bCs/>
                <w:color w:val="000000"/>
                <w:sz w:val="24"/>
              </w:rPr>
            </w:pPr>
          </w:p>
          <w:p>
            <w:pPr>
              <w:adjustRightInd w:val="0"/>
              <w:snapToGrid w:val="0"/>
              <w:spacing w:line="440" w:lineRule="exact"/>
              <w:ind w:firstLine="480" w:firstLineChars="200"/>
              <w:rPr>
                <w:rFonts w:eastAsia="黑体"/>
                <w:bCs/>
                <w:color w:val="000000"/>
                <w:sz w:val="24"/>
              </w:rPr>
            </w:pPr>
          </w:p>
          <w:p>
            <w:pPr>
              <w:adjustRightInd w:val="0"/>
              <w:snapToGrid w:val="0"/>
              <w:spacing w:line="440" w:lineRule="exact"/>
              <w:ind w:firstLine="480" w:firstLineChars="200"/>
              <w:rPr>
                <w:rFonts w:eastAsia="黑体"/>
                <w:bCs/>
                <w:color w:val="000000"/>
                <w:sz w:val="24"/>
              </w:rPr>
            </w:pPr>
          </w:p>
          <w:p>
            <w:pPr>
              <w:adjustRightInd w:val="0"/>
              <w:snapToGrid w:val="0"/>
              <w:spacing w:line="440" w:lineRule="exact"/>
              <w:ind w:firstLine="480" w:firstLineChars="200"/>
              <w:rPr>
                <w:rFonts w:eastAsia="黑体"/>
                <w:bCs/>
                <w:color w:val="000000"/>
                <w:sz w:val="24"/>
              </w:rPr>
            </w:pPr>
            <w:r>
              <w:rPr>
                <w:rFonts w:eastAsia="黑体"/>
                <w:bCs/>
                <w:color w:val="000000"/>
                <w:sz w:val="24"/>
              </w:rPr>
              <w:t>表</w:t>
            </w:r>
            <w:r>
              <w:rPr>
                <w:rFonts w:hint="eastAsia" w:eastAsia="黑体"/>
                <w:bCs/>
                <w:color w:val="000000"/>
                <w:sz w:val="24"/>
              </w:rPr>
              <w:t>5</w:t>
            </w:r>
            <w:r>
              <w:rPr>
                <w:rFonts w:eastAsia="黑体"/>
                <w:bCs/>
                <w:color w:val="000000"/>
                <w:sz w:val="24"/>
              </w:rPr>
              <w:t xml:space="preserve">                      产业政策相符性分析</w:t>
            </w:r>
          </w:p>
          <w:tbl>
            <w:tblPr>
              <w:tblStyle w:val="24"/>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2589"/>
              <w:gridCol w:w="4216"/>
              <w:gridCol w:w="1259"/>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53" w:type="pct"/>
                  <w:tcBorders>
                    <w:bottom w:val="single" w:color="auto" w:sz="8" w:space="0"/>
                  </w:tcBorders>
                  <w:vAlign w:val="center"/>
                </w:tcPr>
                <w:p>
                  <w:pPr>
                    <w:adjustRightInd w:val="0"/>
                    <w:snapToGrid w:val="0"/>
                    <w:jc w:val="center"/>
                    <w:rPr>
                      <w:rFonts w:asciiTheme="minorEastAsia" w:hAnsiTheme="minorEastAsia" w:eastAsiaTheme="minorEastAsia"/>
                      <w:b/>
                      <w:bCs/>
                      <w:szCs w:val="21"/>
                    </w:rPr>
                  </w:pPr>
                  <w:r>
                    <w:rPr>
                      <w:rFonts w:asciiTheme="minorEastAsia" w:hAnsiTheme="minorEastAsia" w:eastAsiaTheme="minorEastAsia"/>
                      <w:b/>
                      <w:bCs/>
                      <w:szCs w:val="21"/>
                    </w:rPr>
                    <w:t>类别</w:t>
                  </w:r>
                </w:p>
              </w:tc>
              <w:tc>
                <w:tcPr>
                  <w:tcW w:w="1427" w:type="pct"/>
                  <w:tcBorders>
                    <w:bottom w:val="single" w:color="auto" w:sz="8" w:space="0"/>
                  </w:tcBorders>
                  <w:vAlign w:val="center"/>
                </w:tcPr>
                <w:p>
                  <w:pPr>
                    <w:adjustRightInd w:val="0"/>
                    <w:snapToGrid w:val="0"/>
                    <w:ind w:firstLine="13" w:firstLineChars="6"/>
                    <w:jc w:val="center"/>
                    <w:rPr>
                      <w:rFonts w:asciiTheme="minorEastAsia" w:hAnsiTheme="minorEastAsia" w:eastAsiaTheme="minorEastAsia"/>
                      <w:b/>
                      <w:bCs/>
                      <w:szCs w:val="21"/>
                    </w:rPr>
                  </w:pPr>
                  <w:r>
                    <w:rPr>
                      <w:rFonts w:asciiTheme="minorEastAsia" w:hAnsiTheme="minorEastAsia" w:eastAsiaTheme="minorEastAsia"/>
                      <w:b/>
                      <w:bCs/>
                      <w:szCs w:val="21"/>
                    </w:rPr>
                    <w:t>内容</w:t>
                  </w:r>
                </w:p>
              </w:tc>
              <w:tc>
                <w:tcPr>
                  <w:tcW w:w="2324" w:type="pct"/>
                  <w:tcBorders>
                    <w:bottom w:val="single" w:color="auto" w:sz="8" w:space="0"/>
                  </w:tcBorders>
                  <w:vAlign w:val="center"/>
                </w:tcPr>
                <w:p>
                  <w:pPr>
                    <w:adjustRightInd w:val="0"/>
                    <w:snapToGrid w:val="0"/>
                    <w:ind w:firstLine="13" w:firstLineChars="6"/>
                    <w:jc w:val="center"/>
                    <w:rPr>
                      <w:rFonts w:asciiTheme="minorEastAsia" w:hAnsiTheme="minorEastAsia" w:eastAsiaTheme="minorEastAsia"/>
                      <w:b/>
                      <w:bCs/>
                      <w:szCs w:val="21"/>
                    </w:rPr>
                  </w:pPr>
                  <w:r>
                    <w:rPr>
                      <w:rFonts w:hint="eastAsia" w:asciiTheme="minorEastAsia" w:hAnsiTheme="minorEastAsia" w:eastAsiaTheme="minorEastAsia"/>
                      <w:b/>
                      <w:bCs/>
                      <w:szCs w:val="21"/>
                    </w:rPr>
                    <w:t>本项目情况</w:t>
                  </w:r>
                </w:p>
              </w:tc>
              <w:tc>
                <w:tcPr>
                  <w:tcW w:w="694" w:type="pct"/>
                  <w:tcBorders>
                    <w:bottom w:val="single" w:color="auto" w:sz="8" w:space="0"/>
                  </w:tcBorders>
                  <w:vAlign w:val="center"/>
                </w:tcPr>
                <w:p>
                  <w:pPr>
                    <w:adjustRightInd w:val="0"/>
                    <w:snapToGrid w:val="0"/>
                    <w:ind w:firstLine="13" w:firstLineChars="6"/>
                    <w:jc w:val="center"/>
                    <w:rPr>
                      <w:rFonts w:asciiTheme="minorEastAsia" w:hAnsiTheme="minorEastAsia" w:eastAsiaTheme="minorEastAsia"/>
                      <w:b/>
                      <w:bCs/>
                      <w:szCs w:val="21"/>
                    </w:rPr>
                  </w:pPr>
                  <w:r>
                    <w:rPr>
                      <w:rFonts w:hint="eastAsia" w:asciiTheme="minorEastAsia" w:hAnsiTheme="minorEastAsia" w:eastAsiaTheme="minorEastAsia"/>
                      <w:b/>
                      <w:bCs/>
                      <w:szCs w:val="21"/>
                    </w:rPr>
                    <w:t>相符性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53" w:type="pct"/>
                  <w:tcBorders>
                    <w:top w:val="single" w:color="auto" w:sz="8" w:space="0"/>
                    <w:tl2br w:val="nil"/>
                    <w:tr2bl w:val="nil"/>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鼓励类</w:t>
                  </w:r>
                </w:p>
              </w:tc>
              <w:tc>
                <w:tcPr>
                  <w:tcW w:w="1427" w:type="pct"/>
                  <w:tcBorders>
                    <w:top w:val="single" w:color="auto" w:sz="8" w:space="0"/>
                    <w:tl2br w:val="nil"/>
                    <w:tr2bl w:val="nil"/>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w:t>
                  </w:r>
                </w:p>
              </w:tc>
              <w:tc>
                <w:tcPr>
                  <w:tcW w:w="2324" w:type="pct"/>
                  <w:vMerge w:val="restart"/>
                  <w:tcBorders>
                    <w:top w:val="single" w:color="auto" w:sz="8" w:space="0"/>
                    <w:tl2br w:val="nil"/>
                    <w:tr2bl w:val="nil"/>
                  </w:tcBorders>
                  <w:vAlign w:val="center"/>
                </w:tcPr>
                <w:p>
                  <w:pPr>
                    <w:adjustRightInd w:val="0"/>
                    <w:snapToGrid w:val="0"/>
                    <w:jc w:val="left"/>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本项目产品为</w:t>
                  </w:r>
                  <w:r>
                    <w:rPr>
                      <w:rFonts w:hint="eastAsia" w:asciiTheme="minorEastAsia" w:hAnsiTheme="minorEastAsia" w:eastAsiaTheme="minorEastAsia"/>
                      <w:szCs w:val="21"/>
                    </w:rPr>
                    <w:t>铁钉制造</w:t>
                  </w:r>
                  <w:r>
                    <w:rPr>
                      <w:rFonts w:asciiTheme="minorEastAsia" w:hAnsiTheme="minorEastAsia" w:eastAsiaTheme="minorEastAsia"/>
                      <w:szCs w:val="21"/>
                    </w:rPr>
                    <w:t>，原材料、设备、工艺均不涉及限制类、淘汰类，为允许类项目</w:t>
                  </w:r>
                  <w:r>
                    <w:rPr>
                      <w:rFonts w:hint="eastAsia" w:asciiTheme="minorEastAsia" w:hAnsiTheme="minorEastAsia" w:eastAsiaTheme="minorEastAsia"/>
                      <w:szCs w:val="21"/>
                    </w:rPr>
                    <w:t>。</w:t>
                  </w:r>
                </w:p>
              </w:tc>
              <w:tc>
                <w:tcPr>
                  <w:tcW w:w="694" w:type="pct"/>
                  <w:vMerge w:val="restart"/>
                  <w:tcBorders>
                    <w:top w:val="single" w:color="auto" w:sz="8" w:space="0"/>
                    <w:tl2br w:val="nil"/>
                    <w:tr2bl w:val="nil"/>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符合国家产业政策</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553" w:type="pct"/>
                  <w:tcBorders>
                    <w:tl2br w:val="nil"/>
                    <w:tr2bl w:val="nil"/>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限制类</w:t>
                  </w:r>
                </w:p>
              </w:tc>
              <w:tc>
                <w:tcPr>
                  <w:tcW w:w="1427" w:type="pct"/>
                  <w:tcBorders>
                    <w:tl2br w:val="nil"/>
                    <w:tr2bl w:val="nil"/>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w:t>
                  </w:r>
                </w:p>
              </w:tc>
              <w:tc>
                <w:tcPr>
                  <w:tcW w:w="2324" w:type="pct"/>
                  <w:vMerge w:val="continue"/>
                  <w:tcBorders>
                    <w:tl2br w:val="nil"/>
                    <w:tr2bl w:val="nil"/>
                  </w:tcBorders>
                  <w:vAlign w:val="center"/>
                </w:tcPr>
                <w:p>
                  <w:pPr>
                    <w:adjustRightInd w:val="0"/>
                    <w:snapToGrid w:val="0"/>
                    <w:jc w:val="center"/>
                    <w:rPr>
                      <w:rFonts w:asciiTheme="minorEastAsia" w:hAnsiTheme="minorEastAsia" w:eastAsiaTheme="minorEastAsia"/>
                      <w:szCs w:val="21"/>
                    </w:rPr>
                  </w:pPr>
                </w:p>
              </w:tc>
              <w:tc>
                <w:tcPr>
                  <w:tcW w:w="694" w:type="pct"/>
                  <w:vMerge w:val="continue"/>
                  <w:tcBorders>
                    <w:tl2br w:val="nil"/>
                    <w:tr2bl w:val="nil"/>
                  </w:tcBorders>
                  <w:vAlign w:val="center"/>
                </w:tcPr>
                <w:p>
                  <w:pPr>
                    <w:adjustRightInd w:val="0"/>
                    <w:snapToGrid w:val="0"/>
                    <w:jc w:val="center"/>
                    <w:rPr>
                      <w:rFonts w:asciiTheme="minorEastAsia" w:hAnsiTheme="minorEastAsia" w:eastAsiaTheme="minorEastAsia"/>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3" w:type="pct"/>
                  <w:tcBorders>
                    <w:tl2br w:val="nil"/>
                    <w:tr2bl w:val="nil"/>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淘汰类</w:t>
                  </w:r>
                </w:p>
              </w:tc>
              <w:tc>
                <w:tcPr>
                  <w:tcW w:w="1427" w:type="pct"/>
                  <w:tcBorders>
                    <w:tl2br w:val="nil"/>
                    <w:tr2bl w:val="nil"/>
                  </w:tcBorders>
                  <w:vAlign w:val="center"/>
                </w:tcPr>
                <w:p>
                  <w:pPr>
                    <w:adjustRightInd w:val="0"/>
                    <w:snapToGrid w:val="0"/>
                    <w:jc w:val="center"/>
                    <w:rPr>
                      <w:rFonts w:asciiTheme="minorEastAsia" w:hAnsiTheme="minorEastAsia" w:eastAsiaTheme="minorEastAsia"/>
                      <w:szCs w:val="21"/>
                    </w:rPr>
                  </w:pPr>
                  <w:r>
                    <w:rPr>
                      <w:rFonts w:asciiTheme="minorEastAsia" w:hAnsiTheme="minorEastAsia" w:eastAsiaTheme="minorEastAsia"/>
                      <w:szCs w:val="21"/>
                    </w:rPr>
                    <w:t>/</w:t>
                  </w:r>
                </w:p>
              </w:tc>
              <w:tc>
                <w:tcPr>
                  <w:tcW w:w="2324" w:type="pct"/>
                  <w:vMerge w:val="continue"/>
                  <w:tcBorders>
                    <w:tl2br w:val="nil"/>
                    <w:tr2bl w:val="nil"/>
                  </w:tcBorders>
                  <w:vAlign w:val="center"/>
                </w:tcPr>
                <w:p>
                  <w:pPr>
                    <w:adjustRightInd w:val="0"/>
                    <w:snapToGrid w:val="0"/>
                    <w:jc w:val="center"/>
                    <w:rPr>
                      <w:rFonts w:asciiTheme="minorEastAsia" w:hAnsiTheme="minorEastAsia" w:eastAsiaTheme="minorEastAsia"/>
                      <w:szCs w:val="21"/>
                    </w:rPr>
                  </w:pPr>
                </w:p>
              </w:tc>
              <w:tc>
                <w:tcPr>
                  <w:tcW w:w="694" w:type="pct"/>
                  <w:vMerge w:val="continue"/>
                  <w:tcBorders>
                    <w:tl2br w:val="nil"/>
                    <w:tr2bl w:val="nil"/>
                  </w:tcBorders>
                  <w:vAlign w:val="center"/>
                </w:tcPr>
                <w:p>
                  <w:pPr>
                    <w:adjustRightInd w:val="0"/>
                    <w:snapToGrid w:val="0"/>
                    <w:jc w:val="center"/>
                    <w:rPr>
                      <w:rFonts w:asciiTheme="minorEastAsia" w:hAnsiTheme="minorEastAsia" w:eastAsiaTheme="minorEastAsia"/>
                      <w:szCs w:val="21"/>
                    </w:rPr>
                  </w:pPr>
                </w:p>
              </w:tc>
            </w:tr>
          </w:tbl>
          <w:p>
            <w:pPr>
              <w:spacing w:line="500" w:lineRule="exact"/>
              <w:ind w:firstLine="480" w:firstLineChars="200"/>
              <w:rPr>
                <w:rFonts w:asciiTheme="minorEastAsia" w:hAnsiTheme="minorEastAsia" w:eastAsiaTheme="minorEastAsia"/>
                <w:bCs/>
                <w:color w:val="000000"/>
                <w:sz w:val="24"/>
              </w:rPr>
            </w:pPr>
            <w:r>
              <w:rPr>
                <w:rFonts w:hint="eastAsia" w:asciiTheme="minorEastAsia" w:hAnsiTheme="minorEastAsia" w:eastAsiaTheme="minorEastAsia"/>
                <w:color w:val="000000"/>
                <w:sz w:val="24"/>
              </w:rPr>
              <w:t>经以上</w:t>
            </w:r>
            <w:r>
              <w:rPr>
                <w:rFonts w:asciiTheme="minorEastAsia" w:hAnsiTheme="minorEastAsia" w:eastAsiaTheme="minorEastAsia"/>
                <w:color w:val="000000"/>
                <w:sz w:val="24"/>
              </w:rPr>
              <w:t>对比分析，</w:t>
            </w:r>
            <w:r>
              <w:rPr>
                <w:rFonts w:hint="eastAsia" w:asciiTheme="minorEastAsia" w:hAnsiTheme="minorEastAsia" w:eastAsiaTheme="minorEastAsia"/>
                <w:color w:val="000000"/>
                <w:sz w:val="24"/>
              </w:rPr>
              <w:t>本项目</w:t>
            </w:r>
            <w:r>
              <w:rPr>
                <w:rFonts w:asciiTheme="minorEastAsia" w:hAnsiTheme="minorEastAsia" w:eastAsiaTheme="minorEastAsia"/>
                <w:color w:val="000000"/>
                <w:sz w:val="24"/>
              </w:rPr>
              <w:t>不属于鼓励类、限制类、淘汰类项目，为允许类项目，原辅材料、设备、生产工艺等均不在限制类、淘汰类之列，符合国家产业政策。</w:t>
            </w:r>
          </w:p>
          <w:p>
            <w:pPr>
              <w:spacing w:line="500" w:lineRule="exact"/>
              <w:ind w:firstLine="482" w:firstLineChars="200"/>
              <w:rPr>
                <w:b/>
                <w:color w:val="000000"/>
                <w:sz w:val="24"/>
              </w:rPr>
            </w:pPr>
            <w:r>
              <w:rPr>
                <w:b/>
                <w:color w:val="000000"/>
                <w:sz w:val="24"/>
              </w:rPr>
              <w:t>6、项目建设内容与备案相符性分析</w:t>
            </w:r>
          </w:p>
          <w:p>
            <w:pPr>
              <w:spacing w:line="500" w:lineRule="exact"/>
              <w:ind w:firstLine="480" w:firstLineChars="200"/>
              <w:rPr>
                <w:color w:val="000000"/>
                <w:sz w:val="24"/>
              </w:rPr>
            </w:pPr>
            <w:r>
              <w:rPr>
                <w:rFonts w:hAnsi="宋体"/>
                <w:color w:val="000000"/>
                <w:sz w:val="24"/>
              </w:rPr>
              <w:t>项目建设与备案相符性分析见下表：</w:t>
            </w:r>
          </w:p>
          <w:p>
            <w:pPr>
              <w:pStyle w:val="97"/>
              <w:adjustRightInd w:val="0"/>
              <w:snapToGrid w:val="0"/>
              <w:spacing w:line="440" w:lineRule="exact"/>
              <w:ind w:firstLine="660" w:firstLineChars="275"/>
              <w:rPr>
                <w:rFonts w:eastAsia="黑体"/>
                <w:bCs/>
                <w:color w:val="000000"/>
                <w:sz w:val="24"/>
              </w:rPr>
            </w:pPr>
            <w:r>
              <w:rPr>
                <w:rFonts w:eastAsia="黑体"/>
                <w:bCs/>
                <w:color w:val="000000"/>
                <w:sz w:val="24"/>
              </w:rPr>
              <w:t>表</w:t>
            </w:r>
            <w:r>
              <w:rPr>
                <w:rFonts w:hint="eastAsia" w:eastAsia="黑体"/>
                <w:bCs/>
                <w:color w:val="000000"/>
                <w:sz w:val="24"/>
              </w:rPr>
              <w:t>6             本项目与</w:t>
            </w:r>
            <w:r>
              <w:rPr>
                <w:rFonts w:eastAsia="黑体"/>
                <w:bCs/>
                <w:color w:val="000000"/>
                <w:sz w:val="24"/>
              </w:rPr>
              <w:t>备案</w:t>
            </w:r>
            <w:r>
              <w:rPr>
                <w:rFonts w:hint="eastAsia" w:eastAsia="黑体"/>
                <w:bCs/>
                <w:color w:val="000000"/>
                <w:sz w:val="24"/>
              </w:rPr>
              <w:t>一致性分析一览表</w:t>
            </w:r>
          </w:p>
          <w:tbl>
            <w:tblPr>
              <w:tblStyle w:val="24"/>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070"/>
              <w:gridCol w:w="3163"/>
              <w:gridCol w:w="3286"/>
              <w:gridCol w:w="88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 w:type="dxa"/>
                  <w:tcBorders>
                    <w:bottom w:val="single" w:color="auto" w:sz="8" w:space="0"/>
                  </w:tcBorders>
                  <w:vAlign w:val="center"/>
                </w:tcPr>
                <w:p>
                  <w:pPr>
                    <w:adjustRightInd w:val="0"/>
                    <w:snapToGrid w:val="0"/>
                    <w:jc w:val="center"/>
                    <w:rPr>
                      <w:rFonts w:asciiTheme="minorEastAsia" w:hAnsiTheme="minorEastAsia" w:eastAsiaTheme="minorEastAsia"/>
                      <w:b/>
                      <w:bCs/>
                      <w:color w:val="000000"/>
                      <w:szCs w:val="21"/>
                    </w:rPr>
                  </w:pPr>
                  <w:r>
                    <w:rPr>
                      <w:rFonts w:asciiTheme="minorEastAsia" w:hAnsiTheme="minorEastAsia" w:eastAsiaTheme="minorEastAsia"/>
                      <w:b/>
                      <w:bCs/>
                      <w:color w:val="000000"/>
                      <w:szCs w:val="21"/>
                    </w:rPr>
                    <w:t>序号</w:t>
                  </w:r>
                </w:p>
              </w:tc>
              <w:tc>
                <w:tcPr>
                  <w:tcW w:w="1070" w:type="dxa"/>
                  <w:tcBorders>
                    <w:bottom w:val="single" w:color="auto" w:sz="8" w:space="0"/>
                  </w:tcBorders>
                  <w:vAlign w:val="center"/>
                </w:tcPr>
                <w:p>
                  <w:pPr>
                    <w:adjustRightInd w:val="0"/>
                    <w:snapToGrid w:val="0"/>
                    <w:jc w:val="center"/>
                    <w:rPr>
                      <w:rFonts w:asciiTheme="minorEastAsia" w:hAnsiTheme="minorEastAsia" w:eastAsiaTheme="minorEastAsia"/>
                      <w:b/>
                      <w:bCs/>
                      <w:color w:val="000000"/>
                      <w:szCs w:val="21"/>
                    </w:rPr>
                  </w:pPr>
                  <w:r>
                    <w:rPr>
                      <w:rFonts w:asciiTheme="minorEastAsia" w:hAnsiTheme="minorEastAsia" w:eastAsiaTheme="minorEastAsia"/>
                      <w:b/>
                      <w:bCs/>
                      <w:color w:val="000000"/>
                      <w:szCs w:val="21"/>
                    </w:rPr>
                    <w:t>内容</w:t>
                  </w:r>
                </w:p>
              </w:tc>
              <w:tc>
                <w:tcPr>
                  <w:tcW w:w="3163" w:type="dxa"/>
                  <w:tcBorders>
                    <w:bottom w:val="single" w:color="auto" w:sz="8" w:space="0"/>
                  </w:tcBorders>
                  <w:vAlign w:val="center"/>
                </w:tcPr>
                <w:p>
                  <w:pPr>
                    <w:adjustRightInd w:val="0"/>
                    <w:snapToGrid w:val="0"/>
                    <w:jc w:val="center"/>
                    <w:rPr>
                      <w:rFonts w:asciiTheme="minorEastAsia" w:hAnsiTheme="minorEastAsia" w:eastAsiaTheme="minorEastAsia"/>
                      <w:b/>
                      <w:bCs/>
                      <w:color w:val="000000"/>
                      <w:szCs w:val="21"/>
                    </w:rPr>
                  </w:pPr>
                  <w:r>
                    <w:rPr>
                      <w:rFonts w:asciiTheme="minorEastAsia" w:hAnsiTheme="minorEastAsia" w:eastAsiaTheme="minorEastAsia"/>
                      <w:b/>
                      <w:bCs/>
                      <w:color w:val="000000"/>
                      <w:szCs w:val="21"/>
                    </w:rPr>
                    <w:t>备案</w:t>
                  </w:r>
                </w:p>
              </w:tc>
              <w:tc>
                <w:tcPr>
                  <w:tcW w:w="3286" w:type="dxa"/>
                  <w:tcBorders>
                    <w:bottom w:val="single" w:color="auto" w:sz="8" w:space="0"/>
                  </w:tcBorders>
                  <w:vAlign w:val="center"/>
                </w:tcPr>
                <w:p>
                  <w:pPr>
                    <w:adjustRightInd w:val="0"/>
                    <w:snapToGrid w:val="0"/>
                    <w:jc w:val="center"/>
                    <w:rPr>
                      <w:rFonts w:asciiTheme="minorEastAsia" w:hAnsiTheme="minorEastAsia" w:eastAsiaTheme="minorEastAsia"/>
                      <w:b/>
                      <w:bCs/>
                      <w:color w:val="000000"/>
                      <w:szCs w:val="21"/>
                    </w:rPr>
                  </w:pPr>
                  <w:r>
                    <w:rPr>
                      <w:rFonts w:asciiTheme="minorEastAsia" w:hAnsiTheme="minorEastAsia" w:eastAsiaTheme="minorEastAsia"/>
                      <w:b/>
                      <w:bCs/>
                      <w:color w:val="000000"/>
                      <w:szCs w:val="21"/>
                    </w:rPr>
                    <w:t>拟建设情况</w:t>
                  </w:r>
                </w:p>
              </w:tc>
              <w:tc>
                <w:tcPr>
                  <w:tcW w:w="880" w:type="dxa"/>
                  <w:tcBorders>
                    <w:bottom w:val="single" w:color="auto" w:sz="8" w:space="0"/>
                  </w:tcBorders>
                  <w:vAlign w:val="center"/>
                </w:tcPr>
                <w:p>
                  <w:pPr>
                    <w:adjustRightInd w:val="0"/>
                    <w:snapToGrid w:val="0"/>
                    <w:jc w:val="center"/>
                    <w:rPr>
                      <w:rFonts w:asciiTheme="minorEastAsia" w:hAnsiTheme="minorEastAsia" w:eastAsiaTheme="minorEastAsia"/>
                      <w:b/>
                      <w:bCs/>
                      <w:color w:val="000000"/>
                      <w:szCs w:val="21"/>
                    </w:rPr>
                  </w:pPr>
                  <w:r>
                    <w:rPr>
                      <w:rFonts w:asciiTheme="minorEastAsia" w:hAnsiTheme="minorEastAsia" w:eastAsiaTheme="minorEastAsia"/>
                      <w:b/>
                      <w:bCs/>
                      <w:color w:val="000000"/>
                      <w:szCs w:val="21"/>
                    </w:rPr>
                    <w:t>相符性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 w:type="dxa"/>
                  <w:tcBorders>
                    <w:top w:val="single" w:color="auto" w:sz="8" w:space="0"/>
                    <w:bottom w:val="single" w:color="auto" w:sz="4" w:space="0"/>
                    <w:tl2br w:val="nil"/>
                    <w:tr2bl w:val="nil"/>
                  </w:tcBorders>
                  <w:vAlign w:val="center"/>
                </w:tcPr>
                <w:p>
                  <w:pPr>
                    <w:adjustRightInd w:val="0"/>
                    <w:snapToGrid w:val="0"/>
                    <w:jc w:val="center"/>
                    <w:rPr>
                      <w:rFonts w:eastAsiaTheme="minorEastAsia"/>
                      <w:color w:val="000000"/>
                      <w:kern w:val="0"/>
                      <w:szCs w:val="21"/>
                    </w:rPr>
                  </w:pPr>
                  <w:r>
                    <w:rPr>
                      <w:rFonts w:eastAsiaTheme="minorEastAsia"/>
                      <w:color w:val="000000"/>
                      <w:kern w:val="0"/>
                      <w:szCs w:val="21"/>
                    </w:rPr>
                    <w:t>1</w:t>
                  </w:r>
                </w:p>
              </w:tc>
              <w:tc>
                <w:tcPr>
                  <w:tcW w:w="1070" w:type="dxa"/>
                  <w:tcBorders>
                    <w:top w:val="single" w:color="auto" w:sz="8" w:space="0"/>
                    <w:bottom w:val="single" w:color="auto" w:sz="4" w:space="0"/>
                    <w:tl2br w:val="nil"/>
                    <w:tr2bl w:val="nil"/>
                  </w:tcBorders>
                  <w:vAlign w:val="center"/>
                </w:tcPr>
                <w:p>
                  <w:pPr>
                    <w:adjustRightInd w:val="0"/>
                    <w:snapToGrid w:val="0"/>
                    <w:jc w:val="center"/>
                    <w:rPr>
                      <w:rFonts w:eastAsiaTheme="minorEastAsia"/>
                      <w:color w:val="000000"/>
                      <w:kern w:val="0"/>
                      <w:szCs w:val="21"/>
                    </w:rPr>
                  </w:pPr>
                  <w:r>
                    <w:rPr>
                      <w:rFonts w:eastAsiaTheme="minorEastAsia"/>
                      <w:color w:val="000000"/>
                      <w:szCs w:val="21"/>
                    </w:rPr>
                    <w:t>项目名称</w:t>
                  </w:r>
                </w:p>
              </w:tc>
              <w:tc>
                <w:tcPr>
                  <w:tcW w:w="3163" w:type="dxa"/>
                  <w:tcBorders>
                    <w:top w:val="single" w:color="auto" w:sz="8" w:space="0"/>
                    <w:bottom w:val="single" w:color="auto" w:sz="4" w:space="0"/>
                    <w:tl2br w:val="nil"/>
                    <w:tr2bl w:val="nil"/>
                  </w:tcBorders>
                  <w:vAlign w:val="center"/>
                </w:tcPr>
                <w:p>
                  <w:pPr>
                    <w:adjustRightInd w:val="0"/>
                    <w:snapToGrid w:val="0"/>
                    <w:jc w:val="center"/>
                    <w:rPr>
                      <w:rFonts w:eastAsiaTheme="minorEastAsia"/>
                      <w:bCs/>
                      <w:color w:val="000000"/>
                      <w:szCs w:val="21"/>
                    </w:rPr>
                  </w:pPr>
                  <w:r>
                    <w:rPr>
                      <w:rFonts w:hint="eastAsia" w:eastAsiaTheme="minorEastAsia"/>
                      <w:bCs/>
                      <w:color w:val="000000"/>
                      <w:szCs w:val="21"/>
                    </w:rPr>
                    <w:t>新乡县合河乡鑫达线材厂</w:t>
                  </w:r>
                </w:p>
                <w:p>
                  <w:pPr>
                    <w:adjustRightInd w:val="0"/>
                    <w:snapToGrid w:val="0"/>
                    <w:jc w:val="center"/>
                    <w:rPr>
                      <w:rFonts w:eastAsiaTheme="minorEastAsia"/>
                      <w:bCs/>
                      <w:color w:val="000000"/>
                      <w:szCs w:val="21"/>
                    </w:rPr>
                  </w:pPr>
                  <w:r>
                    <w:rPr>
                      <w:rFonts w:hint="eastAsia" w:eastAsiaTheme="minorEastAsia"/>
                      <w:bCs/>
                      <w:color w:val="000000"/>
                      <w:szCs w:val="21"/>
                    </w:rPr>
                    <w:t>年产1000吨铁钉项目</w:t>
                  </w:r>
                </w:p>
              </w:tc>
              <w:tc>
                <w:tcPr>
                  <w:tcW w:w="3286" w:type="dxa"/>
                  <w:tcBorders>
                    <w:top w:val="single" w:color="auto" w:sz="8" w:space="0"/>
                    <w:bottom w:val="single" w:color="auto" w:sz="4" w:space="0"/>
                    <w:tl2br w:val="nil"/>
                    <w:tr2bl w:val="nil"/>
                  </w:tcBorders>
                  <w:vAlign w:val="center"/>
                </w:tcPr>
                <w:p>
                  <w:pPr>
                    <w:adjustRightInd w:val="0"/>
                    <w:snapToGrid w:val="0"/>
                    <w:jc w:val="center"/>
                    <w:rPr>
                      <w:rFonts w:eastAsiaTheme="minorEastAsia"/>
                      <w:bCs/>
                      <w:color w:val="000000"/>
                      <w:szCs w:val="21"/>
                    </w:rPr>
                  </w:pPr>
                  <w:r>
                    <w:rPr>
                      <w:rFonts w:hint="eastAsia" w:eastAsiaTheme="minorEastAsia"/>
                      <w:bCs/>
                      <w:color w:val="000000"/>
                      <w:szCs w:val="21"/>
                    </w:rPr>
                    <w:t>新乡县合河乡鑫达线材厂</w:t>
                  </w:r>
                </w:p>
                <w:p>
                  <w:pPr>
                    <w:adjustRightInd w:val="0"/>
                    <w:snapToGrid w:val="0"/>
                    <w:jc w:val="center"/>
                    <w:rPr>
                      <w:rFonts w:eastAsiaTheme="minorEastAsia"/>
                      <w:bCs/>
                      <w:color w:val="000000"/>
                      <w:szCs w:val="21"/>
                    </w:rPr>
                  </w:pPr>
                  <w:r>
                    <w:rPr>
                      <w:rFonts w:hint="eastAsia" w:eastAsiaTheme="minorEastAsia"/>
                      <w:bCs/>
                      <w:color w:val="000000"/>
                      <w:szCs w:val="21"/>
                    </w:rPr>
                    <w:t>年产1000吨铁钉项目</w:t>
                  </w:r>
                </w:p>
              </w:tc>
              <w:tc>
                <w:tcPr>
                  <w:tcW w:w="880" w:type="dxa"/>
                  <w:tcBorders>
                    <w:top w:val="single" w:color="auto" w:sz="8" w:space="0"/>
                    <w:bottom w:val="single" w:color="auto" w:sz="4" w:space="0"/>
                    <w:tl2br w:val="nil"/>
                    <w:tr2bl w:val="nil"/>
                  </w:tcBorders>
                  <w:vAlign w:val="center"/>
                </w:tcPr>
                <w:p>
                  <w:pPr>
                    <w:adjustRightInd w:val="0"/>
                    <w:snapToGrid w:val="0"/>
                    <w:jc w:val="center"/>
                    <w:rPr>
                      <w:rFonts w:eastAsiaTheme="minorEastAsia"/>
                      <w:color w:val="000000"/>
                      <w:szCs w:val="21"/>
                    </w:rPr>
                  </w:pPr>
                  <w:r>
                    <w:rPr>
                      <w:rFonts w:eastAsiaTheme="minorEastAsia"/>
                      <w:color w:val="000000"/>
                      <w:szCs w:val="21"/>
                    </w:rPr>
                    <w:t>相 符</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 w:type="dxa"/>
                  <w:tcBorders>
                    <w:top w:val="single" w:color="auto" w:sz="4" w:space="0"/>
                    <w:tl2br w:val="nil"/>
                    <w:tr2bl w:val="nil"/>
                  </w:tcBorders>
                  <w:vAlign w:val="center"/>
                </w:tcPr>
                <w:p>
                  <w:pPr>
                    <w:adjustRightInd w:val="0"/>
                    <w:snapToGrid w:val="0"/>
                    <w:jc w:val="center"/>
                    <w:rPr>
                      <w:rFonts w:eastAsiaTheme="minorEastAsia"/>
                      <w:color w:val="000000"/>
                      <w:kern w:val="0"/>
                      <w:szCs w:val="21"/>
                    </w:rPr>
                  </w:pPr>
                  <w:r>
                    <w:rPr>
                      <w:rFonts w:eastAsiaTheme="minorEastAsia"/>
                      <w:color w:val="000000"/>
                      <w:kern w:val="0"/>
                      <w:szCs w:val="21"/>
                    </w:rPr>
                    <w:t>2</w:t>
                  </w:r>
                </w:p>
              </w:tc>
              <w:tc>
                <w:tcPr>
                  <w:tcW w:w="1070" w:type="dxa"/>
                  <w:tcBorders>
                    <w:top w:val="single" w:color="auto" w:sz="4" w:space="0"/>
                    <w:tl2br w:val="nil"/>
                    <w:tr2bl w:val="nil"/>
                  </w:tcBorders>
                  <w:vAlign w:val="center"/>
                </w:tcPr>
                <w:p>
                  <w:pPr>
                    <w:adjustRightInd w:val="0"/>
                    <w:snapToGrid w:val="0"/>
                    <w:jc w:val="center"/>
                    <w:rPr>
                      <w:rFonts w:eastAsiaTheme="minorEastAsia"/>
                      <w:color w:val="000000"/>
                      <w:kern w:val="0"/>
                      <w:szCs w:val="21"/>
                    </w:rPr>
                  </w:pPr>
                  <w:r>
                    <w:rPr>
                      <w:rFonts w:hAnsiTheme="minorEastAsia" w:eastAsiaTheme="minorEastAsia"/>
                      <w:color w:val="000000"/>
                      <w:kern w:val="0"/>
                      <w:szCs w:val="21"/>
                    </w:rPr>
                    <w:t>建设地点</w:t>
                  </w:r>
                </w:p>
              </w:tc>
              <w:tc>
                <w:tcPr>
                  <w:tcW w:w="3163" w:type="dxa"/>
                  <w:tcBorders>
                    <w:top w:val="single" w:color="auto" w:sz="4" w:space="0"/>
                    <w:tl2br w:val="nil"/>
                    <w:tr2bl w:val="nil"/>
                  </w:tcBorders>
                  <w:vAlign w:val="center"/>
                </w:tcPr>
                <w:p>
                  <w:pPr>
                    <w:adjustRightInd w:val="0"/>
                    <w:snapToGrid w:val="0"/>
                    <w:jc w:val="center"/>
                    <w:rPr>
                      <w:rFonts w:eastAsiaTheme="minorEastAsia"/>
                      <w:color w:val="000000"/>
                      <w:szCs w:val="21"/>
                    </w:rPr>
                  </w:pPr>
                  <w:r>
                    <w:rPr>
                      <w:rFonts w:eastAsiaTheme="minorEastAsia"/>
                      <w:bCs/>
                      <w:color w:val="000000"/>
                      <w:szCs w:val="21"/>
                    </w:rPr>
                    <w:t>新乡市新乡县合河乡贾桥村工业区西头路北4号</w:t>
                  </w:r>
                </w:p>
              </w:tc>
              <w:tc>
                <w:tcPr>
                  <w:tcW w:w="3286" w:type="dxa"/>
                  <w:tcBorders>
                    <w:top w:val="single" w:color="auto" w:sz="4" w:space="0"/>
                    <w:tl2br w:val="nil"/>
                    <w:tr2bl w:val="nil"/>
                  </w:tcBorders>
                  <w:vAlign w:val="center"/>
                </w:tcPr>
                <w:p>
                  <w:pPr>
                    <w:adjustRightInd w:val="0"/>
                    <w:snapToGrid w:val="0"/>
                    <w:jc w:val="center"/>
                    <w:rPr>
                      <w:rFonts w:eastAsiaTheme="minorEastAsia"/>
                      <w:color w:val="000000"/>
                      <w:szCs w:val="21"/>
                    </w:rPr>
                  </w:pPr>
                  <w:r>
                    <w:rPr>
                      <w:rFonts w:eastAsiaTheme="minorEastAsia"/>
                      <w:bCs/>
                      <w:color w:val="000000"/>
                      <w:szCs w:val="21"/>
                    </w:rPr>
                    <w:t>新乡市新乡县合河乡贾桥村工业区西头路北4号</w:t>
                  </w:r>
                </w:p>
              </w:tc>
              <w:tc>
                <w:tcPr>
                  <w:tcW w:w="880" w:type="dxa"/>
                  <w:tcBorders>
                    <w:top w:val="single" w:color="auto" w:sz="4" w:space="0"/>
                    <w:tl2br w:val="nil"/>
                    <w:tr2bl w:val="nil"/>
                  </w:tcBorders>
                  <w:vAlign w:val="center"/>
                </w:tcPr>
                <w:p>
                  <w:pPr>
                    <w:adjustRightInd w:val="0"/>
                    <w:snapToGrid w:val="0"/>
                    <w:jc w:val="center"/>
                    <w:rPr>
                      <w:rFonts w:eastAsiaTheme="minorEastAsia"/>
                      <w:color w:val="000000"/>
                      <w:szCs w:val="21"/>
                    </w:rPr>
                  </w:pPr>
                  <w:r>
                    <w:rPr>
                      <w:rFonts w:hAnsiTheme="minorEastAsia" w:eastAsiaTheme="minorEastAsia"/>
                      <w:color w:val="000000"/>
                      <w:szCs w:val="21"/>
                    </w:rPr>
                    <w:t>相</w:t>
                  </w:r>
                  <w:r>
                    <w:rPr>
                      <w:rFonts w:eastAsiaTheme="minorEastAsia"/>
                      <w:color w:val="000000"/>
                      <w:szCs w:val="21"/>
                    </w:rPr>
                    <w:t xml:space="preserve"> </w:t>
                  </w:r>
                  <w:r>
                    <w:rPr>
                      <w:rFonts w:hAnsiTheme="minorEastAsia" w:eastAsiaTheme="minorEastAsia"/>
                      <w:color w:val="000000"/>
                      <w:szCs w:val="21"/>
                    </w:rPr>
                    <w:t>符</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 w:type="dxa"/>
                  <w:tcBorders>
                    <w:tl2br w:val="nil"/>
                    <w:tr2bl w:val="nil"/>
                  </w:tcBorders>
                  <w:vAlign w:val="center"/>
                </w:tcPr>
                <w:p>
                  <w:pPr>
                    <w:adjustRightInd w:val="0"/>
                    <w:snapToGrid w:val="0"/>
                    <w:jc w:val="center"/>
                    <w:rPr>
                      <w:rFonts w:eastAsiaTheme="minorEastAsia"/>
                      <w:color w:val="000000"/>
                      <w:kern w:val="0"/>
                      <w:szCs w:val="21"/>
                    </w:rPr>
                  </w:pPr>
                  <w:r>
                    <w:rPr>
                      <w:rFonts w:eastAsiaTheme="minorEastAsia"/>
                      <w:color w:val="000000"/>
                      <w:kern w:val="0"/>
                      <w:szCs w:val="21"/>
                    </w:rPr>
                    <w:t>3</w:t>
                  </w:r>
                </w:p>
              </w:tc>
              <w:tc>
                <w:tcPr>
                  <w:tcW w:w="1070" w:type="dxa"/>
                  <w:tcBorders>
                    <w:tl2br w:val="nil"/>
                    <w:tr2bl w:val="nil"/>
                  </w:tcBorders>
                  <w:vAlign w:val="center"/>
                </w:tcPr>
                <w:p>
                  <w:pPr>
                    <w:adjustRightInd w:val="0"/>
                    <w:snapToGrid w:val="0"/>
                    <w:jc w:val="center"/>
                    <w:rPr>
                      <w:rFonts w:eastAsiaTheme="minorEastAsia"/>
                      <w:color w:val="000000"/>
                      <w:kern w:val="0"/>
                      <w:szCs w:val="21"/>
                    </w:rPr>
                  </w:pPr>
                  <w:r>
                    <w:rPr>
                      <w:rFonts w:hAnsiTheme="minorEastAsia" w:eastAsiaTheme="minorEastAsia"/>
                      <w:color w:val="000000"/>
                      <w:kern w:val="0"/>
                      <w:szCs w:val="21"/>
                    </w:rPr>
                    <w:t>投资</w:t>
                  </w:r>
                </w:p>
              </w:tc>
              <w:tc>
                <w:tcPr>
                  <w:tcW w:w="3163" w:type="dxa"/>
                  <w:tcBorders>
                    <w:tl2br w:val="nil"/>
                    <w:tr2bl w:val="nil"/>
                  </w:tcBorders>
                  <w:vAlign w:val="center"/>
                </w:tcPr>
                <w:p>
                  <w:pPr>
                    <w:adjustRightInd w:val="0"/>
                    <w:snapToGrid w:val="0"/>
                    <w:jc w:val="center"/>
                    <w:rPr>
                      <w:rFonts w:eastAsiaTheme="minorEastAsia"/>
                      <w:color w:val="000000"/>
                      <w:kern w:val="0"/>
                      <w:szCs w:val="21"/>
                    </w:rPr>
                  </w:pPr>
                  <w:r>
                    <w:rPr>
                      <w:rFonts w:eastAsiaTheme="minorEastAsia"/>
                      <w:color w:val="000000"/>
                      <w:kern w:val="0"/>
                      <w:szCs w:val="21"/>
                    </w:rPr>
                    <w:t>40万元</w:t>
                  </w:r>
                </w:p>
              </w:tc>
              <w:tc>
                <w:tcPr>
                  <w:tcW w:w="3286" w:type="dxa"/>
                  <w:tcBorders>
                    <w:tl2br w:val="nil"/>
                    <w:tr2bl w:val="nil"/>
                  </w:tcBorders>
                  <w:vAlign w:val="center"/>
                </w:tcPr>
                <w:p>
                  <w:pPr>
                    <w:adjustRightInd w:val="0"/>
                    <w:snapToGrid w:val="0"/>
                    <w:jc w:val="center"/>
                    <w:rPr>
                      <w:rFonts w:eastAsiaTheme="minorEastAsia"/>
                      <w:color w:val="000000"/>
                      <w:kern w:val="0"/>
                      <w:szCs w:val="21"/>
                    </w:rPr>
                  </w:pPr>
                  <w:r>
                    <w:rPr>
                      <w:rFonts w:eastAsiaTheme="minorEastAsia"/>
                      <w:color w:val="000000"/>
                      <w:kern w:val="0"/>
                      <w:szCs w:val="21"/>
                    </w:rPr>
                    <w:t>40万元</w:t>
                  </w:r>
                </w:p>
              </w:tc>
              <w:tc>
                <w:tcPr>
                  <w:tcW w:w="880" w:type="dxa"/>
                  <w:tcBorders>
                    <w:tl2br w:val="nil"/>
                    <w:tr2bl w:val="nil"/>
                  </w:tcBorders>
                  <w:vAlign w:val="center"/>
                </w:tcPr>
                <w:p>
                  <w:pPr>
                    <w:adjustRightInd w:val="0"/>
                    <w:snapToGrid w:val="0"/>
                    <w:jc w:val="center"/>
                    <w:rPr>
                      <w:rFonts w:eastAsiaTheme="minorEastAsia"/>
                      <w:color w:val="000000"/>
                      <w:szCs w:val="21"/>
                    </w:rPr>
                  </w:pPr>
                  <w:r>
                    <w:rPr>
                      <w:rFonts w:hAnsiTheme="minorEastAsia" w:eastAsiaTheme="minorEastAsia"/>
                      <w:color w:val="000000"/>
                      <w:szCs w:val="21"/>
                    </w:rPr>
                    <w:t>相</w:t>
                  </w:r>
                  <w:r>
                    <w:rPr>
                      <w:rFonts w:eastAsiaTheme="minorEastAsia"/>
                      <w:color w:val="000000"/>
                      <w:szCs w:val="21"/>
                    </w:rPr>
                    <w:t xml:space="preserve"> </w:t>
                  </w:r>
                  <w:r>
                    <w:rPr>
                      <w:rFonts w:hAnsiTheme="minorEastAsia" w:eastAsiaTheme="minorEastAsia"/>
                      <w:color w:val="000000"/>
                      <w:szCs w:val="21"/>
                    </w:rPr>
                    <w:t>符</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 w:type="dxa"/>
                  <w:tcBorders>
                    <w:tl2br w:val="nil"/>
                    <w:tr2bl w:val="nil"/>
                  </w:tcBorders>
                  <w:vAlign w:val="center"/>
                </w:tcPr>
                <w:p>
                  <w:pPr>
                    <w:adjustRightInd w:val="0"/>
                    <w:snapToGrid w:val="0"/>
                    <w:jc w:val="center"/>
                    <w:rPr>
                      <w:rFonts w:eastAsiaTheme="minorEastAsia"/>
                      <w:color w:val="000000"/>
                      <w:kern w:val="0"/>
                      <w:szCs w:val="21"/>
                    </w:rPr>
                  </w:pPr>
                  <w:r>
                    <w:rPr>
                      <w:rFonts w:eastAsiaTheme="minorEastAsia"/>
                      <w:color w:val="000000"/>
                      <w:kern w:val="0"/>
                      <w:szCs w:val="21"/>
                    </w:rPr>
                    <w:t>4</w:t>
                  </w:r>
                </w:p>
              </w:tc>
              <w:tc>
                <w:tcPr>
                  <w:tcW w:w="1070" w:type="dxa"/>
                  <w:tcBorders>
                    <w:tl2br w:val="nil"/>
                    <w:tr2bl w:val="nil"/>
                  </w:tcBorders>
                  <w:vAlign w:val="center"/>
                </w:tcPr>
                <w:p>
                  <w:pPr>
                    <w:adjustRightInd w:val="0"/>
                    <w:snapToGrid w:val="0"/>
                    <w:jc w:val="center"/>
                    <w:rPr>
                      <w:rFonts w:eastAsiaTheme="minorEastAsia"/>
                      <w:color w:val="000000"/>
                      <w:szCs w:val="21"/>
                    </w:rPr>
                  </w:pPr>
                  <w:r>
                    <w:rPr>
                      <w:rFonts w:hAnsiTheme="minorEastAsia" w:eastAsiaTheme="minorEastAsia"/>
                      <w:color w:val="000000"/>
                      <w:szCs w:val="21"/>
                    </w:rPr>
                    <w:t>建设规模</w:t>
                  </w:r>
                </w:p>
              </w:tc>
              <w:tc>
                <w:tcPr>
                  <w:tcW w:w="3163" w:type="dxa"/>
                  <w:tcBorders>
                    <w:tl2br w:val="nil"/>
                    <w:tr2bl w:val="nil"/>
                  </w:tcBorders>
                  <w:vAlign w:val="center"/>
                </w:tcPr>
                <w:p>
                  <w:pPr>
                    <w:jc w:val="center"/>
                    <w:rPr>
                      <w:rFonts w:eastAsiaTheme="minorEastAsia"/>
                      <w:color w:val="000000"/>
                      <w:szCs w:val="21"/>
                    </w:rPr>
                  </w:pPr>
                  <w:r>
                    <w:rPr>
                      <w:rFonts w:eastAsiaTheme="minorEastAsia"/>
                      <w:color w:val="000000"/>
                      <w:szCs w:val="21"/>
                    </w:rPr>
                    <w:t>年产</w:t>
                  </w:r>
                  <w:r>
                    <w:rPr>
                      <w:rFonts w:hint="eastAsia"/>
                      <w:bCs/>
                      <w:color w:val="000000"/>
                      <w:szCs w:val="21"/>
                    </w:rPr>
                    <w:t>1000吨铁钉</w:t>
                  </w:r>
                </w:p>
              </w:tc>
              <w:tc>
                <w:tcPr>
                  <w:tcW w:w="3286" w:type="dxa"/>
                  <w:tcBorders>
                    <w:tl2br w:val="nil"/>
                    <w:tr2bl w:val="nil"/>
                  </w:tcBorders>
                  <w:vAlign w:val="center"/>
                </w:tcPr>
                <w:p>
                  <w:pPr>
                    <w:jc w:val="center"/>
                    <w:rPr>
                      <w:rFonts w:eastAsiaTheme="minorEastAsia"/>
                      <w:color w:val="000000"/>
                      <w:szCs w:val="21"/>
                    </w:rPr>
                  </w:pPr>
                  <w:r>
                    <w:rPr>
                      <w:rFonts w:eastAsiaTheme="minorEastAsia"/>
                      <w:color w:val="000000"/>
                      <w:szCs w:val="21"/>
                    </w:rPr>
                    <w:t>年产</w:t>
                  </w:r>
                  <w:r>
                    <w:rPr>
                      <w:rFonts w:hint="eastAsia"/>
                      <w:bCs/>
                      <w:color w:val="000000"/>
                      <w:szCs w:val="21"/>
                    </w:rPr>
                    <w:t>1000吨铁钉</w:t>
                  </w:r>
                </w:p>
              </w:tc>
              <w:tc>
                <w:tcPr>
                  <w:tcW w:w="880" w:type="dxa"/>
                  <w:tcBorders>
                    <w:tl2br w:val="nil"/>
                    <w:tr2bl w:val="nil"/>
                  </w:tcBorders>
                  <w:vAlign w:val="center"/>
                </w:tcPr>
                <w:p>
                  <w:pPr>
                    <w:adjustRightInd w:val="0"/>
                    <w:snapToGrid w:val="0"/>
                    <w:jc w:val="center"/>
                    <w:rPr>
                      <w:rFonts w:eastAsiaTheme="minorEastAsia"/>
                      <w:color w:val="000000"/>
                      <w:szCs w:val="21"/>
                    </w:rPr>
                  </w:pPr>
                  <w:r>
                    <w:rPr>
                      <w:rFonts w:hAnsiTheme="minorEastAsia" w:eastAsiaTheme="minorEastAsia"/>
                      <w:color w:val="000000"/>
                      <w:szCs w:val="21"/>
                    </w:rPr>
                    <w:t>相</w:t>
                  </w:r>
                  <w:r>
                    <w:rPr>
                      <w:rFonts w:eastAsiaTheme="minorEastAsia"/>
                      <w:color w:val="000000"/>
                      <w:szCs w:val="21"/>
                    </w:rPr>
                    <w:t xml:space="preserve"> </w:t>
                  </w:r>
                  <w:r>
                    <w:rPr>
                      <w:rFonts w:hAnsiTheme="minorEastAsia" w:eastAsiaTheme="minorEastAsia"/>
                      <w:color w:val="000000"/>
                      <w:szCs w:val="21"/>
                    </w:rPr>
                    <w:t>符</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 w:type="dxa"/>
                  <w:tcBorders>
                    <w:tl2br w:val="nil"/>
                    <w:tr2bl w:val="nil"/>
                  </w:tcBorders>
                  <w:vAlign w:val="center"/>
                </w:tcPr>
                <w:p>
                  <w:pPr>
                    <w:pStyle w:val="11"/>
                    <w:jc w:val="center"/>
                    <w:rPr>
                      <w:rFonts w:eastAsiaTheme="minorEastAsia"/>
                      <w:color w:val="000000"/>
                      <w:kern w:val="0"/>
                      <w:szCs w:val="21"/>
                    </w:rPr>
                  </w:pPr>
                  <w:r>
                    <w:rPr>
                      <w:rFonts w:hint="eastAsia" w:eastAsiaTheme="minorEastAsia"/>
                      <w:bCs/>
                      <w:color w:val="000000"/>
                      <w:szCs w:val="21"/>
                    </w:rPr>
                    <w:t>5</w:t>
                  </w:r>
                </w:p>
              </w:tc>
              <w:tc>
                <w:tcPr>
                  <w:tcW w:w="1070" w:type="dxa"/>
                  <w:tcBorders>
                    <w:tl2br w:val="nil"/>
                    <w:tr2bl w:val="nil"/>
                  </w:tcBorders>
                  <w:vAlign w:val="center"/>
                </w:tcPr>
                <w:p>
                  <w:pPr>
                    <w:pStyle w:val="11"/>
                    <w:jc w:val="center"/>
                    <w:rPr>
                      <w:rFonts w:eastAsiaTheme="minorEastAsia"/>
                      <w:color w:val="000000"/>
                      <w:szCs w:val="21"/>
                    </w:rPr>
                  </w:pPr>
                  <w:r>
                    <w:rPr>
                      <w:rFonts w:hAnsiTheme="minorEastAsia" w:eastAsiaTheme="minorEastAsia"/>
                      <w:bCs/>
                      <w:color w:val="000000"/>
                      <w:szCs w:val="21"/>
                    </w:rPr>
                    <w:t>生产设备</w:t>
                  </w:r>
                </w:p>
              </w:tc>
              <w:tc>
                <w:tcPr>
                  <w:tcW w:w="3163" w:type="dxa"/>
                  <w:tcBorders>
                    <w:tl2br w:val="nil"/>
                    <w:tr2bl w:val="nil"/>
                  </w:tcBorders>
                  <w:vAlign w:val="center"/>
                </w:tcPr>
                <w:p>
                  <w:pPr>
                    <w:adjustRightInd w:val="0"/>
                    <w:snapToGrid w:val="0"/>
                    <w:rPr>
                      <w:rFonts w:eastAsiaTheme="minorEastAsia"/>
                      <w:color w:val="000000"/>
                      <w:szCs w:val="21"/>
                    </w:rPr>
                  </w:pPr>
                  <w:r>
                    <w:rPr>
                      <w:rFonts w:eastAsiaTheme="minorEastAsia"/>
                      <w:color w:val="000000"/>
                      <w:szCs w:val="21"/>
                    </w:rPr>
                    <w:t>拉丝机560型3套，拉丝机350型2套，收线机750型5个</w:t>
                  </w:r>
                  <w:r>
                    <w:rPr>
                      <w:rFonts w:hint="eastAsia" w:eastAsiaTheme="minorEastAsia"/>
                      <w:color w:val="000000"/>
                      <w:szCs w:val="21"/>
                    </w:rPr>
                    <w:t>、制钉机714型15台、制钉机713型15台</w:t>
                  </w:r>
                  <w:r>
                    <w:rPr>
                      <w:rFonts w:eastAsiaTheme="minorEastAsia"/>
                      <w:color w:val="000000"/>
                      <w:szCs w:val="21"/>
                    </w:rPr>
                    <w:t>等</w:t>
                  </w:r>
                </w:p>
              </w:tc>
              <w:tc>
                <w:tcPr>
                  <w:tcW w:w="3286" w:type="dxa"/>
                  <w:tcBorders>
                    <w:tl2br w:val="nil"/>
                    <w:tr2bl w:val="nil"/>
                  </w:tcBorders>
                  <w:vAlign w:val="center"/>
                </w:tcPr>
                <w:p>
                  <w:pPr>
                    <w:adjustRightInd w:val="0"/>
                    <w:snapToGrid w:val="0"/>
                    <w:rPr>
                      <w:rFonts w:eastAsiaTheme="minorEastAsia"/>
                      <w:color w:val="000000"/>
                      <w:szCs w:val="21"/>
                    </w:rPr>
                  </w:pPr>
                  <w:r>
                    <w:rPr>
                      <w:rFonts w:eastAsiaTheme="minorEastAsia"/>
                      <w:color w:val="000000"/>
                      <w:szCs w:val="21"/>
                    </w:rPr>
                    <w:t>拉丝机560型3套，拉丝机350型2套，收线机750型5个</w:t>
                  </w:r>
                  <w:r>
                    <w:rPr>
                      <w:rFonts w:hint="eastAsia" w:eastAsiaTheme="minorEastAsia"/>
                      <w:color w:val="000000"/>
                      <w:szCs w:val="21"/>
                    </w:rPr>
                    <w:t>、制钉机714型15台、制钉机713型15台、抛光机</w:t>
                  </w:r>
                  <w:r>
                    <w:rPr>
                      <w:rFonts w:eastAsiaTheme="minorEastAsia"/>
                      <w:color w:val="000000"/>
                      <w:szCs w:val="21"/>
                    </w:rPr>
                    <w:t>等</w:t>
                  </w:r>
                </w:p>
              </w:tc>
              <w:tc>
                <w:tcPr>
                  <w:tcW w:w="880" w:type="dxa"/>
                  <w:tcBorders>
                    <w:tl2br w:val="nil"/>
                    <w:tr2bl w:val="nil"/>
                  </w:tcBorders>
                  <w:vAlign w:val="center"/>
                </w:tcPr>
                <w:p>
                  <w:pPr>
                    <w:adjustRightInd w:val="0"/>
                    <w:snapToGrid w:val="0"/>
                    <w:jc w:val="center"/>
                    <w:rPr>
                      <w:rFonts w:eastAsiaTheme="minorEastAsia"/>
                      <w:color w:val="000000"/>
                      <w:szCs w:val="21"/>
                    </w:rPr>
                  </w:pPr>
                  <w:r>
                    <w:rPr>
                      <w:rFonts w:hAnsiTheme="minorEastAsia" w:eastAsiaTheme="minorEastAsia"/>
                      <w:color w:val="000000"/>
                      <w:szCs w:val="21"/>
                    </w:rPr>
                    <w:t>相</w:t>
                  </w:r>
                  <w:r>
                    <w:rPr>
                      <w:rFonts w:eastAsiaTheme="minorEastAsia"/>
                      <w:color w:val="000000"/>
                      <w:szCs w:val="21"/>
                    </w:rPr>
                    <w:t xml:space="preserve"> </w:t>
                  </w:r>
                  <w:r>
                    <w:rPr>
                      <w:rFonts w:hAnsiTheme="minorEastAsia" w:eastAsiaTheme="minorEastAsia"/>
                      <w:color w:val="000000"/>
                      <w:szCs w:val="21"/>
                    </w:rPr>
                    <w:t>符</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 w:type="dxa"/>
                  <w:tcBorders>
                    <w:tl2br w:val="nil"/>
                    <w:tr2bl w:val="nil"/>
                  </w:tcBorders>
                  <w:vAlign w:val="center"/>
                </w:tcPr>
                <w:p>
                  <w:pPr>
                    <w:pStyle w:val="11"/>
                    <w:jc w:val="center"/>
                    <w:rPr>
                      <w:rFonts w:eastAsiaTheme="minorEastAsia"/>
                      <w:color w:val="000000"/>
                      <w:kern w:val="0"/>
                      <w:szCs w:val="21"/>
                    </w:rPr>
                  </w:pPr>
                  <w:r>
                    <w:rPr>
                      <w:rFonts w:hint="eastAsia" w:eastAsiaTheme="minorEastAsia"/>
                      <w:bCs/>
                      <w:color w:val="000000"/>
                      <w:szCs w:val="21"/>
                    </w:rPr>
                    <w:t>6</w:t>
                  </w:r>
                </w:p>
              </w:tc>
              <w:tc>
                <w:tcPr>
                  <w:tcW w:w="1070" w:type="dxa"/>
                  <w:tcBorders>
                    <w:tl2br w:val="nil"/>
                    <w:tr2bl w:val="nil"/>
                  </w:tcBorders>
                  <w:vAlign w:val="center"/>
                </w:tcPr>
                <w:p>
                  <w:pPr>
                    <w:pStyle w:val="11"/>
                    <w:jc w:val="center"/>
                    <w:rPr>
                      <w:rFonts w:eastAsiaTheme="minorEastAsia"/>
                      <w:color w:val="000000"/>
                      <w:szCs w:val="21"/>
                    </w:rPr>
                  </w:pPr>
                  <w:r>
                    <w:rPr>
                      <w:rFonts w:hAnsiTheme="minorEastAsia" w:eastAsiaTheme="minorEastAsia"/>
                      <w:bCs/>
                      <w:color w:val="000000"/>
                      <w:szCs w:val="21"/>
                    </w:rPr>
                    <w:t>工艺流程</w:t>
                  </w:r>
                </w:p>
              </w:tc>
              <w:tc>
                <w:tcPr>
                  <w:tcW w:w="3163" w:type="dxa"/>
                  <w:tcBorders>
                    <w:tl2br w:val="nil"/>
                    <w:tr2bl w:val="nil"/>
                  </w:tcBorders>
                  <w:vAlign w:val="center"/>
                </w:tcPr>
                <w:p>
                  <w:pPr>
                    <w:adjustRightInd w:val="0"/>
                    <w:snapToGrid w:val="0"/>
                    <w:jc w:val="center"/>
                    <w:rPr>
                      <w:rFonts w:eastAsiaTheme="minorEastAsia"/>
                      <w:color w:val="000000"/>
                      <w:szCs w:val="21"/>
                    </w:rPr>
                  </w:pPr>
                  <w:r>
                    <w:rPr>
                      <w:rFonts w:hint="eastAsia" w:eastAsiaTheme="minorEastAsia"/>
                      <w:color w:val="000000"/>
                      <w:szCs w:val="21"/>
                    </w:rPr>
                    <w:t>盘圆</w:t>
                  </w:r>
                  <w:r>
                    <w:rPr>
                      <w:rFonts w:eastAsiaTheme="minorEastAsia"/>
                      <w:color w:val="000000"/>
                      <w:szCs w:val="21"/>
                    </w:rPr>
                    <w:t>→拔丝→</w:t>
                  </w:r>
                  <w:r>
                    <w:rPr>
                      <w:rFonts w:hint="eastAsia" w:eastAsiaTheme="minorEastAsia"/>
                      <w:color w:val="000000"/>
                      <w:szCs w:val="21"/>
                    </w:rPr>
                    <w:t>制钉</w:t>
                  </w:r>
                  <w:r>
                    <w:rPr>
                      <w:rFonts w:eastAsiaTheme="minorEastAsia"/>
                      <w:color w:val="000000"/>
                      <w:szCs w:val="21"/>
                    </w:rPr>
                    <w:t>→</w:t>
                  </w:r>
                  <w:r>
                    <w:rPr>
                      <w:rFonts w:hint="eastAsia" w:eastAsiaTheme="minorEastAsia"/>
                      <w:color w:val="000000"/>
                      <w:szCs w:val="21"/>
                    </w:rPr>
                    <w:t>抛光</w:t>
                  </w:r>
                  <w:r>
                    <w:rPr>
                      <w:rFonts w:eastAsiaTheme="minorEastAsia"/>
                      <w:color w:val="000000"/>
                      <w:szCs w:val="21"/>
                    </w:rPr>
                    <w:t>→成品</w:t>
                  </w:r>
                </w:p>
              </w:tc>
              <w:tc>
                <w:tcPr>
                  <w:tcW w:w="3286" w:type="dxa"/>
                  <w:tcBorders>
                    <w:tl2br w:val="nil"/>
                    <w:tr2bl w:val="nil"/>
                  </w:tcBorders>
                  <w:vAlign w:val="center"/>
                </w:tcPr>
                <w:p>
                  <w:pPr>
                    <w:adjustRightInd w:val="0"/>
                    <w:snapToGrid w:val="0"/>
                    <w:jc w:val="center"/>
                    <w:rPr>
                      <w:rFonts w:eastAsiaTheme="minorEastAsia"/>
                      <w:color w:val="000000"/>
                      <w:szCs w:val="21"/>
                    </w:rPr>
                  </w:pPr>
                  <w:r>
                    <w:rPr>
                      <w:rFonts w:eastAsiaTheme="minorEastAsia"/>
                      <w:color w:val="000000"/>
                      <w:szCs w:val="21"/>
                    </w:rPr>
                    <w:t>原材料→拔丝→</w:t>
                  </w:r>
                  <w:r>
                    <w:rPr>
                      <w:rFonts w:hint="eastAsia" w:eastAsiaTheme="minorEastAsia"/>
                      <w:color w:val="000000"/>
                      <w:szCs w:val="21"/>
                    </w:rPr>
                    <w:t>制钉</w:t>
                  </w:r>
                  <w:r>
                    <w:rPr>
                      <w:rFonts w:eastAsiaTheme="minorEastAsia"/>
                      <w:color w:val="000000"/>
                      <w:szCs w:val="21"/>
                    </w:rPr>
                    <w:t>→</w:t>
                  </w:r>
                  <w:r>
                    <w:rPr>
                      <w:rFonts w:hint="eastAsia" w:eastAsiaTheme="minorEastAsia"/>
                      <w:color w:val="000000"/>
                      <w:szCs w:val="21"/>
                    </w:rPr>
                    <w:t>抛光</w:t>
                  </w:r>
                  <w:r>
                    <w:rPr>
                      <w:rFonts w:eastAsiaTheme="minorEastAsia"/>
                      <w:color w:val="000000"/>
                      <w:szCs w:val="21"/>
                    </w:rPr>
                    <w:t>→成品</w:t>
                  </w:r>
                </w:p>
              </w:tc>
              <w:tc>
                <w:tcPr>
                  <w:tcW w:w="880" w:type="dxa"/>
                  <w:tcBorders>
                    <w:tl2br w:val="nil"/>
                    <w:tr2bl w:val="nil"/>
                  </w:tcBorders>
                  <w:vAlign w:val="center"/>
                </w:tcPr>
                <w:p>
                  <w:pPr>
                    <w:adjustRightInd w:val="0"/>
                    <w:snapToGrid w:val="0"/>
                    <w:jc w:val="center"/>
                    <w:rPr>
                      <w:rFonts w:eastAsiaTheme="minorEastAsia"/>
                      <w:color w:val="000000"/>
                      <w:szCs w:val="21"/>
                    </w:rPr>
                  </w:pPr>
                  <w:r>
                    <w:rPr>
                      <w:rFonts w:hAnsiTheme="minorEastAsia" w:eastAsiaTheme="minorEastAsia"/>
                      <w:color w:val="000000"/>
                      <w:szCs w:val="21"/>
                    </w:rPr>
                    <w:t>相</w:t>
                  </w:r>
                  <w:r>
                    <w:rPr>
                      <w:rFonts w:eastAsiaTheme="minorEastAsia"/>
                      <w:color w:val="000000"/>
                      <w:szCs w:val="21"/>
                    </w:rPr>
                    <w:t xml:space="preserve"> </w:t>
                  </w:r>
                  <w:r>
                    <w:rPr>
                      <w:rFonts w:hAnsiTheme="minorEastAsia" w:eastAsiaTheme="minorEastAsia"/>
                      <w:color w:val="000000"/>
                      <w:szCs w:val="21"/>
                    </w:rPr>
                    <w:t>符</w:t>
                  </w:r>
                </w:p>
              </w:tc>
            </w:tr>
          </w:tbl>
          <w:p>
            <w:pPr>
              <w:spacing w:line="440" w:lineRule="exact"/>
              <w:ind w:firstLine="480" w:firstLineChars="200"/>
              <w:rPr>
                <w:rFonts w:ascii="宋体" w:hAnsi="宋体"/>
                <w:sz w:val="24"/>
              </w:rPr>
            </w:pPr>
            <w:r>
              <w:rPr>
                <w:rFonts w:hint="eastAsia" w:ascii="宋体" w:hAnsi="宋体"/>
                <w:sz w:val="24"/>
              </w:rPr>
              <w:t>由上表可知，本项目与备案一致。</w:t>
            </w:r>
          </w:p>
          <w:p>
            <w:pPr>
              <w:spacing w:line="440" w:lineRule="exact"/>
              <w:ind w:firstLine="482" w:firstLineChars="200"/>
              <w:rPr>
                <w:b/>
                <w:sz w:val="24"/>
              </w:rPr>
            </w:pPr>
            <w:r>
              <w:rPr>
                <w:b/>
                <w:sz w:val="24"/>
              </w:rPr>
              <w:t>7、与相关文件相符性分析</w:t>
            </w:r>
          </w:p>
          <w:p>
            <w:pPr>
              <w:pStyle w:val="124"/>
              <w:adjustRightInd w:val="0"/>
              <w:snapToGrid w:val="0"/>
              <w:spacing w:line="440" w:lineRule="exact"/>
              <w:ind w:firstLine="482" w:firstLineChars="200"/>
              <w:rPr>
                <w:b/>
                <w:bCs/>
                <w:color w:val="000000"/>
                <w:sz w:val="24"/>
              </w:rPr>
            </w:pPr>
            <w:r>
              <w:rPr>
                <w:rFonts w:ascii="宋体" w:hAnsi="宋体"/>
                <w:b/>
                <w:bCs/>
                <w:sz w:val="24"/>
              </w:rPr>
              <w:t>（1）</w:t>
            </w:r>
            <w:r>
              <w:rPr>
                <w:rFonts w:hAnsi="宋体"/>
                <w:b/>
                <w:bCs/>
                <w:color w:val="000000"/>
                <w:sz w:val="24"/>
              </w:rPr>
              <w:t>本项目与《新乡市环境保护局关于印发深化建设项目环境影响评价审批制度改革实施细则的通知》</w:t>
            </w:r>
            <w:r>
              <w:rPr>
                <w:rFonts w:hint="eastAsia" w:hAnsi="宋体"/>
                <w:b/>
                <w:bCs/>
                <w:color w:val="000000"/>
                <w:sz w:val="24"/>
              </w:rPr>
              <w:t>(</w:t>
            </w:r>
            <w:r>
              <w:rPr>
                <w:rFonts w:hAnsi="宋体"/>
                <w:b/>
                <w:bCs/>
                <w:color w:val="000000"/>
                <w:sz w:val="24"/>
              </w:rPr>
              <w:t>新环［</w:t>
            </w:r>
            <w:r>
              <w:rPr>
                <w:b/>
                <w:bCs/>
                <w:color w:val="000000"/>
                <w:sz w:val="24"/>
              </w:rPr>
              <w:t>2015</w:t>
            </w:r>
            <w:r>
              <w:rPr>
                <w:rFonts w:hAnsi="宋体"/>
                <w:b/>
                <w:bCs/>
                <w:color w:val="000000"/>
                <w:sz w:val="24"/>
              </w:rPr>
              <w:t>］</w:t>
            </w:r>
            <w:r>
              <w:rPr>
                <w:b/>
                <w:bCs/>
                <w:color w:val="000000"/>
                <w:sz w:val="24"/>
              </w:rPr>
              <w:t>342</w:t>
            </w:r>
            <w:r>
              <w:rPr>
                <w:rFonts w:hint="eastAsia"/>
                <w:b/>
                <w:bCs/>
                <w:color w:val="000000"/>
                <w:sz w:val="24"/>
              </w:rPr>
              <w:t>)</w:t>
            </w:r>
            <w:r>
              <w:rPr>
                <w:rFonts w:hAnsi="宋体"/>
                <w:b/>
                <w:bCs/>
                <w:color w:val="000000"/>
                <w:sz w:val="24"/>
              </w:rPr>
              <w:t>号对照分析见</w:t>
            </w:r>
            <w:r>
              <w:rPr>
                <w:rFonts w:hint="eastAsia" w:hAnsi="宋体"/>
                <w:b/>
                <w:bCs/>
                <w:color w:val="000000"/>
                <w:sz w:val="24"/>
              </w:rPr>
              <w:t>下</w:t>
            </w:r>
            <w:r>
              <w:rPr>
                <w:rFonts w:hAnsi="宋体"/>
                <w:b/>
                <w:bCs/>
                <w:color w:val="000000"/>
                <w:sz w:val="24"/>
              </w:rPr>
              <w:t>表：</w:t>
            </w:r>
          </w:p>
          <w:p>
            <w:pPr>
              <w:adjustRightInd w:val="0"/>
              <w:snapToGrid w:val="0"/>
              <w:spacing w:line="400" w:lineRule="exact"/>
              <w:ind w:firstLine="480" w:firstLineChars="200"/>
              <w:textAlignment w:val="baseline"/>
              <w:rPr>
                <w:rFonts w:eastAsia="黑体"/>
                <w:color w:val="000000"/>
                <w:sz w:val="24"/>
              </w:rPr>
            </w:pPr>
            <w:r>
              <w:rPr>
                <w:rFonts w:eastAsia="黑体"/>
                <w:bCs/>
                <w:color w:val="000000"/>
                <w:sz w:val="24"/>
              </w:rPr>
              <w:t xml:space="preserve">表7　  </w:t>
            </w:r>
            <w:r>
              <w:rPr>
                <w:rFonts w:hint="eastAsia" w:ascii="黑体" w:hAnsi="黑体" w:eastAsia="黑体"/>
                <w:bCs/>
                <w:color w:val="000000"/>
                <w:sz w:val="24"/>
              </w:rPr>
              <w:t xml:space="preserve">            </w:t>
            </w:r>
            <w:r>
              <w:rPr>
                <w:rFonts w:ascii="黑体" w:hAnsi="黑体" w:eastAsia="黑体"/>
                <w:color w:val="000000"/>
                <w:sz w:val="24"/>
              </w:rPr>
              <w:t>与新环</w:t>
            </w:r>
            <w:r>
              <w:rPr>
                <w:color w:val="000000"/>
                <w:sz w:val="24"/>
              </w:rPr>
              <w:t>[2015]342</w:t>
            </w:r>
            <w:r>
              <w:rPr>
                <w:rFonts w:ascii="宋体" w:hAnsi="宋体"/>
                <w:color w:val="000000"/>
                <w:sz w:val="24"/>
              </w:rPr>
              <w:t>号</w:t>
            </w:r>
            <w:r>
              <w:rPr>
                <w:rFonts w:ascii="黑体" w:hAnsi="黑体" w:eastAsia="黑体"/>
                <w:color w:val="000000"/>
                <w:sz w:val="24"/>
              </w:rPr>
              <w:t>对比分析一览表</w:t>
            </w:r>
          </w:p>
          <w:tbl>
            <w:tblPr>
              <w:tblStyle w:val="24"/>
              <w:tblW w:w="0" w:type="auto"/>
              <w:jc w:val="center"/>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1252"/>
              <w:gridCol w:w="1672"/>
              <w:gridCol w:w="2920"/>
              <w:gridCol w:w="1932"/>
              <w:gridCol w:w="1296"/>
            </w:tblGrid>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tcBorders>
                    <w:right w:val="single" w:color="auto" w:sz="4" w:space="0"/>
                  </w:tcBorders>
                  <w:vAlign w:val="center"/>
                </w:tcPr>
                <w:p>
                  <w:pPr>
                    <w:adjustRightInd w:val="0"/>
                    <w:snapToGrid w:val="0"/>
                    <w:jc w:val="center"/>
                    <w:rPr>
                      <w:rFonts w:ascii="宋体" w:hAnsi="宋体"/>
                      <w:b/>
                      <w:bCs/>
                      <w:color w:val="000000"/>
                      <w:szCs w:val="21"/>
                    </w:rPr>
                  </w:pPr>
                  <w:r>
                    <w:rPr>
                      <w:rFonts w:ascii="宋体" w:hAnsi="宋体"/>
                      <w:b/>
                      <w:bCs/>
                      <w:color w:val="000000"/>
                      <w:szCs w:val="21"/>
                    </w:rPr>
                    <w:t>项目</w:t>
                  </w:r>
                </w:p>
              </w:tc>
              <w:tc>
                <w:tcPr>
                  <w:tcW w:w="4592" w:type="dxa"/>
                  <w:gridSpan w:val="2"/>
                  <w:tcBorders>
                    <w:left w:val="single" w:color="auto" w:sz="4" w:space="0"/>
                    <w:right w:val="single" w:color="auto" w:sz="4" w:space="0"/>
                  </w:tcBorders>
                  <w:vAlign w:val="center"/>
                </w:tcPr>
                <w:p>
                  <w:pPr>
                    <w:adjustRightInd w:val="0"/>
                    <w:snapToGrid w:val="0"/>
                    <w:jc w:val="center"/>
                    <w:rPr>
                      <w:rFonts w:ascii="宋体" w:hAnsi="宋体"/>
                      <w:b/>
                      <w:bCs/>
                      <w:color w:val="000000"/>
                      <w:szCs w:val="21"/>
                    </w:rPr>
                  </w:pPr>
                  <w:r>
                    <w:rPr>
                      <w:rFonts w:ascii="宋体" w:hAnsi="宋体"/>
                      <w:b/>
                      <w:bCs/>
                      <w:color w:val="000000"/>
                      <w:szCs w:val="21"/>
                    </w:rPr>
                    <w:t>与本项目相关条文</w:t>
                  </w:r>
                </w:p>
              </w:tc>
              <w:tc>
                <w:tcPr>
                  <w:tcW w:w="1932" w:type="dxa"/>
                  <w:tcBorders>
                    <w:left w:val="single" w:color="auto" w:sz="4" w:space="0"/>
                  </w:tcBorders>
                  <w:vAlign w:val="center"/>
                </w:tcPr>
                <w:p>
                  <w:pPr>
                    <w:adjustRightInd w:val="0"/>
                    <w:snapToGrid w:val="0"/>
                    <w:jc w:val="center"/>
                    <w:rPr>
                      <w:rFonts w:ascii="宋体" w:hAnsi="宋体"/>
                      <w:b/>
                      <w:bCs/>
                      <w:color w:val="000000"/>
                      <w:szCs w:val="21"/>
                    </w:rPr>
                  </w:pPr>
                  <w:r>
                    <w:rPr>
                      <w:rFonts w:ascii="宋体" w:hAnsi="宋体"/>
                      <w:b/>
                      <w:bCs/>
                      <w:color w:val="000000"/>
                      <w:szCs w:val="21"/>
                    </w:rPr>
                    <w:t>本项目情况</w:t>
                  </w:r>
                </w:p>
              </w:tc>
              <w:tc>
                <w:tcPr>
                  <w:tcW w:w="1296" w:type="dxa"/>
                  <w:vAlign w:val="center"/>
                </w:tcPr>
                <w:p>
                  <w:pPr>
                    <w:adjustRightInd w:val="0"/>
                    <w:snapToGrid w:val="0"/>
                    <w:jc w:val="center"/>
                    <w:rPr>
                      <w:rFonts w:ascii="宋体" w:hAnsi="宋体"/>
                      <w:b/>
                      <w:bCs/>
                      <w:color w:val="000000"/>
                      <w:szCs w:val="21"/>
                    </w:rPr>
                  </w:pPr>
                  <w:r>
                    <w:rPr>
                      <w:rFonts w:ascii="宋体" w:hAnsi="宋体"/>
                      <w:b/>
                      <w:bCs/>
                      <w:color w:val="000000"/>
                      <w:szCs w:val="21"/>
                    </w:rPr>
                    <w:t>对比结果</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vMerge w:val="restart"/>
                  <w:tcBorders>
                    <w:right w:val="single" w:color="auto" w:sz="4" w:space="0"/>
                    <w:tl2br w:val="nil"/>
                    <w:tr2bl w:val="nil"/>
                  </w:tcBorders>
                  <w:vAlign w:val="center"/>
                </w:tcPr>
                <w:p>
                  <w:pPr>
                    <w:adjustRightInd w:val="0"/>
                    <w:snapToGrid w:val="0"/>
                    <w:jc w:val="center"/>
                    <w:rPr>
                      <w:color w:val="000000"/>
                      <w:szCs w:val="21"/>
                    </w:rPr>
                  </w:pPr>
                  <w:r>
                    <w:rPr>
                      <w:color w:val="000000"/>
                      <w:szCs w:val="21"/>
                    </w:rPr>
                    <w:t>新乡市主体功能区</w:t>
                  </w:r>
                </w:p>
              </w:tc>
              <w:tc>
                <w:tcPr>
                  <w:tcW w:w="4592" w:type="dxa"/>
                  <w:gridSpan w:val="2"/>
                  <w:tcBorders>
                    <w:left w:val="single" w:color="auto" w:sz="4" w:space="0"/>
                    <w:bottom w:val="single" w:color="auto" w:sz="4" w:space="0"/>
                    <w:right w:val="single" w:color="auto" w:sz="4" w:space="0"/>
                    <w:tl2br w:val="nil"/>
                    <w:tr2bl w:val="nil"/>
                  </w:tcBorders>
                  <w:vAlign w:val="center"/>
                </w:tcPr>
                <w:p>
                  <w:pPr>
                    <w:adjustRightInd w:val="0"/>
                    <w:snapToGrid w:val="0"/>
                    <w:ind w:firstLine="420" w:firstLineChars="200"/>
                    <w:jc w:val="left"/>
                    <w:rPr>
                      <w:color w:val="000000"/>
                      <w:szCs w:val="21"/>
                    </w:rPr>
                  </w:pPr>
                  <w:r>
                    <w:rPr>
                      <w:color w:val="000000"/>
                      <w:szCs w:val="21"/>
                    </w:rPr>
                    <w:t>重点开发区域：1、新乡市市区（含平原城乡一体示范区）、新乡县、卫辉市；2、农产品主产区的县城关镇、少数建制镇以及产业集聚区</w:t>
                  </w:r>
                </w:p>
              </w:tc>
              <w:tc>
                <w:tcPr>
                  <w:tcW w:w="1932" w:type="dxa"/>
                  <w:vMerge w:val="restart"/>
                  <w:tcBorders>
                    <w:left w:val="single" w:color="auto" w:sz="4" w:space="0"/>
                    <w:right w:val="single" w:color="auto" w:sz="4" w:space="0"/>
                    <w:tl2br w:val="nil"/>
                    <w:tr2bl w:val="nil"/>
                  </w:tcBorders>
                  <w:vAlign w:val="center"/>
                </w:tcPr>
                <w:p>
                  <w:pPr>
                    <w:adjustRightInd w:val="0"/>
                    <w:snapToGrid w:val="0"/>
                    <w:ind w:firstLine="420" w:firstLineChars="200"/>
                    <w:jc w:val="left"/>
                    <w:rPr>
                      <w:color w:val="000000"/>
                      <w:kern w:val="0"/>
                      <w:szCs w:val="21"/>
                    </w:rPr>
                  </w:pPr>
                  <w:r>
                    <w:rPr>
                      <w:color w:val="000000"/>
                      <w:kern w:val="0"/>
                      <w:szCs w:val="21"/>
                    </w:rPr>
                    <w:t>本项目位于</w:t>
                  </w:r>
                  <w:r>
                    <w:rPr>
                      <w:bCs/>
                      <w:color w:val="000000"/>
                      <w:szCs w:val="21"/>
                    </w:rPr>
                    <w:t>新乡市新乡县合河乡贾桥村工业区西头路北4号</w:t>
                  </w:r>
                  <w:r>
                    <w:rPr>
                      <w:rFonts w:hint="eastAsia"/>
                      <w:bCs/>
                      <w:color w:val="000000"/>
                      <w:szCs w:val="21"/>
                    </w:rPr>
                    <w:t>。</w:t>
                  </w:r>
                </w:p>
              </w:tc>
              <w:tc>
                <w:tcPr>
                  <w:tcW w:w="1296" w:type="dxa"/>
                  <w:tcBorders>
                    <w:left w:val="single" w:color="auto" w:sz="4" w:space="0"/>
                    <w:bottom w:val="single" w:color="auto" w:sz="4" w:space="0"/>
                    <w:tl2br w:val="nil"/>
                    <w:tr2bl w:val="nil"/>
                  </w:tcBorders>
                  <w:vAlign w:val="center"/>
                </w:tcPr>
                <w:p>
                  <w:pPr>
                    <w:adjustRightInd w:val="0"/>
                    <w:snapToGrid w:val="0"/>
                    <w:jc w:val="center"/>
                    <w:rPr>
                      <w:color w:val="000000"/>
                      <w:szCs w:val="21"/>
                    </w:rPr>
                  </w:pPr>
                  <w:r>
                    <w:rPr>
                      <w:color w:val="000000"/>
                      <w:szCs w:val="21"/>
                    </w:rPr>
                    <w:t>属于</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vMerge w:val="continue"/>
                  <w:tcBorders>
                    <w:right w:val="single" w:color="auto" w:sz="4" w:space="0"/>
                    <w:tl2br w:val="nil"/>
                    <w:tr2bl w:val="nil"/>
                  </w:tcBorders>
                  <w:vAlign w:val="center"/>
                </w:tcPr>
                <w:p>
                  <w:pPr>
                    <w:adjustRightInd w:val="0"/>
                    <w:snapToGrid w:val="0"/>
                    <w:jc w:val="center"/>
                    <w:rPr>
                      <w:color w:val="000000"/>
                      <w:szCs w:val="21"/>
                    </w:rPr>
                  </w:pPr>
                </w:p>
              </w:tc>
              <w:tc>
                <w:tcPr>
                  <w:tcW w:w="4592" w:type="dxa"/>
                  <w:gridSpan w:val="2"/>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ind w:firstLine="420" w:firstLineChars="200"/>
                    <w:jc w:val="left"/>
                    <w:rPr>
                      <w:color w:val="000000"/>
                      <w:szCs w:val="21"/>
                    </w:rPr>
                  </w:pPr>
                  <w:r>
                    <w:rPr>
                      <w:color w:val="000000"/>
                      <w:szCs w:val="21"/>
                    </w:rPr>
                    <w:t>限制开发区、农产品主产区：辉县市、获嘉县、原阳县、延津县、封丘县。（不含产业集聚区、专业园区和县城建成区以及规划区中以居住、商贸、文教科研为主的区域）</w:t>
                  </w:r>
                </w:p>
              </w:tc>
              <w:tc>
                <w:tcPr>
                  <w:tcW w:w="1932" w:type="dxa"/>
                  <w:vMerge w:val="continue"/>
                  <w:tcBorders>
                    <w:left w:val="single" w:color="auto" w:sz="4" w:space="0"/>
                    <w:right w:val="single" w:color="auto" w:sz="4" w:space="0"/>
                    <w:tl2br w:val="nil"/>
                    <w:tr2bl w:val="nil"/>
                  </w:tcBorders>
                  <w:vAlign w:val="center"/>
                </w:tcPr>
                <w:p>
                  <w:pPr>
                    <w:adjustRightInd w:val="0"/>
                    <w:snapToGrid w:val="0"/>
                    <w:jc w:val="left"/>
                    <w:rPr>
                      <w:color w:val="000000"/>
                      <w:kern w:val="0"/>
                      <w:szCs w:val="21"/>
                    </w:rPr>
                  </w:pPr>
                </w:p>
              </w:tc>
              <w:tc>
                <w:tcPr>
                  <w:tcW w:w="1296" w:type="dxa"/>
                  <w:tcBorders>
                    <w:top w:val="single" w:color="auto" w:sz="4" w:space="0"/>
                    <w:left w:val="single" w:color="auto" w:sz="4" w:space="0"/>
                    <w:bottom w:val="single" w:color="auto" w:sz="4" w:space="0"/>
                    <w:tl2br w:val="nil"/>
                    <w:tr2bl w:val="nil"/>
                  </w:tcBorders>
                  <w:vAlign w:val="center"/>
                </w:tcPr>
                <w:p>
                  <w:pPr>
                    <w:adjustRightInd w:val="0"/>
                    <w:snapToGrid w:val="0"/>
                    <w:jc w:val="center"/>
                    <w:rPr>
                      <w:color w:val="000000"/>
                      <w:szCs w:val="21"/>
                    </w:rPr>
                  </w:pPr>
                  <w:r>
                    <w:rPr>
                      <w:color w:val="000000"/>
                      <w:szCs w:val="21"/>
                    </w:rPr>
                    <w:t>不属于</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vMerge w:val="continue"/>
                  <w:tcBorders>
                    <w:bottom w:val="single" w:color="auto" w:sz="4" w:space="0"/>
                    <w:right w:val="single" w:color="auto" w:sz="4" w:space="0"/>
                    <w:tl2br w:val="nil"/>
                    <w:tr2bl w:val="nil"/>
                  </w:tcBorders>
                  <w:vAlign w:val="center"/>
                </w:tcPr>
                <w:p>
                  <w:pPr>
                    <w:adjustRightInd w:val="0"/>
                    <w:snapToGrid w:val="0"/>
                    <w:jc w:val="center"/>
                    <w:rPr>
                      <w:color w:val="000000"/>
                      <w:szCs w:val="21"/>
                    </w:rPr>
                  </w:pPr>
                </w:p>
              </w:tc>
              <w:tc>
                <w:tcPr>
                  <w:tcW w:w="4592" w:type="dxa"/>
                  <w:gridSpan w:val="2"/>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ind w:firstLine="420" w:firstLineChars="200"/>
                    <w:jc w:val="left"/>
                    <w:rPr>
                      <w:color w:val="000000"/>
                      <w:szCs w:val="21"/>
                    </w:rPr>
                  </w:pPr>
                  <w:r>
                    <w:rPr>
                      <w:color w:val="000000"/>
                      <w:szCs w:val="21"/>
                    </w:rPr>
                    <w:t>禁止开发区：百泉风景名胜区、白云寺森林公园、辉县市关山国家地质公园</w:t>
                  </w:r>
                </w:p>
              </w:tc>
              <w:tc>
                <w:tcPr>
                  <w:tcW w:w="1932" w:type="dxa"/>
                  <w:vMerge w:val="continue"/>
                  <w:tcBorders>
                    <w:left w:val="single" w:color="auto" w:sz="4" w:space="0"/>
                    <w:bottom w:val="single" w:color="auto" w:sz="4" w:space="0"/>
                    <w:right w:val="single" w:color="auto" w:sz="4" w:space="0"/>
                    <w:tl2br w:val="nil"/>
                    <w:tr2bl w:val="nil"/>
                  </w:tcBorders>
                  <w:vAlign w:val="center"/>
                </w:tcPr>
                <w:p>
                  <w:pPr>
                    <w:adjustRightInd w:val="0"/>
                    <w:snapToGrid w:val="0"/>
                    <w:jc w:val="left"/>
                    <w:rPr>
                      <w:color w:val="000000"/>
                      <w:kern w:val="0"/>
                      <w:szCs w:val="21"/>
                    </w:rPr>
                  </w:pPr>
                </w:p>
              </w:tc>
              <w:tc>
                <w:tcPr>
                  <w:tcW w:w="1296" w:type="dxa"/>
                  <w:tcBorders>
                    <w:top w:val="single" w:color="auto" w:sz="4" w:space="0"/>
                    <w:left w:val="single" w:color="auto" w:sz="4" w:space="0"/>
                    <w:bottom w:val="single" w:color="auto" w:sz="4" w:space="0"/>
                    <w:tl2br w:val="nil"/>
                    <w:tr2bl w:val="nil"/>
                  </w:tcBorders>
                  <w:vAlign w:val="center"/>
                </w:tcPr>
                <w:p>
                  <w:pPr>
                    <w:adjustRightInd w:val="0"/>
                    <w:snapToGrid w:val="0"/>
                    <w:jc w:val="center"/>
                    <w:rPr>
                      <w:color w:val="000000"/>
                      <w:szCs w:val="21"/>
                    </w:rPr>
                  </w:pPr>
                  <w:r>
                    <w:rPr>
                      <w:color w:val="000000"/>
                      <w:szCs w:val="21"/>
                    </w:rPr>
                    <w:t>不属于</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tcBorders>
                    <w:top w:val="single" w:color="auto" w:sz="4" w:space="0"/>
                    <w:bottom w:val="single" w:color="auto" w:sz="4" w:space="0"/>
                    <w:right w:val="single" w:color="auto" w:sz="4" w:space="0"/>
                    <w:tl2br w:val="nil"/>
                    <w:tr2bl w:val="nil"/>
                  </w:tcBorders>
                  <w:vAlign w:val="center"/>
                </w:tcPr>
                <w:p>
                  <w:pPr>
                    <w:adjustRightInd w:val="0"/>
                    <w:snapToGrid w:val="0"/>
                    <w:jc w:val="center"/>
                    <w:rPr>
                      <w:color w:val="000000"/>
                      <w:szCs w:val="21"/>
                    </w:rPr>
                  </w:pPr>
                  <w:r>
                    <w:rPr>
                      <w:color w:val="000000"/>
                      <w:szCs w:val="21"/>
                    </w:rPr>
                    <w:t>新乡市集中水源地保护区名录</w:t>
                  </w:r>
                </w:p>
              </w:tc>
              <w:tc>
                <w:tcPr>
                  <w:tcW w:w="4592" w:type="dxa"/>
                  <w:gridSpan w:val="2"/>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ind w:firstLine="420" w:firstLineChars="200"/>
                    <w:rPr>
                      <w:rFonts w:ascii="宋体" w:hAnsi="宋体"/>
                    </w:rPr>
                  </w:pPr>
                  <w:r>
                    <w:rPr>
                      <w:rFonts w:hint="eastAsia" w:ascii="宋体" w:hAnsi="宋体"/>
                    </w:rPr>
                    <w:t>大召营镇水厂保护区界定如下：</w:t>
                  </w:r>
                </w:p>
                <w:p>
                  <w:pPr>
                    <w:adjustRightInd w:val="0"/>
                    <w:snapToGrid w:val="0"/>
                    <w:ind w:firstLine="420" w:firstLineChars="200"/>
                    <w:rPr>
                      <w:rFonts w:ascii="宋体" w:hAnsi="宋体"/>
                    </w:rPr>
                  </w:pPr>
                  <w:r>
                    <w:rPr>
                      <w:rFonts w:hint="eastAsia" w:ascii="宋体" w:hAnsi="宋体"/>
                    </w:rPr>
                    <w:t>一级保护区：1号井取水厂西厂界以西</w:t>
                  </w:r>
                  <w:r>
                    <w:rPr>
                      <w:rFonts w:hint="eastAsia"/>
                    </w:rPr>
                    <w:t>35</w:t>
                  </w:r>
                  <w:r>
                    <w:rPr>
                      <w:rFonts w:hint="eastAsia" w:ascii="宋体" w:hAnsi="宋体"/>
                    </w:rPr>
                    <w:t>米，北取北厂界以北</w:t>
                  </w:r>
                  <w:r>
                    <w:rPr>
                      <w:rFonts w:hint="eastAsia"/>
                    </w:rPr>
                    <w:t>20</w:t>
                  </w:r>
                  <w:r>
                    <w:rPr>
                      <w:rFonts w:hint="eastAsia" w:ascii="宋体" w:hAnsi="宋体"/>
                    </w:rPr>
                    <w:t>米，南取南厂界以南</w:t>
                  </w:r>
                  <w:r>
                    <w:rPr>
                      <w:rFonts w:hint="eastAsia"/>
                    </w:rPr>
                    <w:t>30</w:t>
                  </w:r>
                  <w:r>
                    <w:rPr>
                      <w:rFonts w:hint="eastAsia" w:ascii="宋体" w:hAnsi="宋体"/>
                    </w:rPr>
                    <w:t>米，东以厂界为边界的矩形区域；</w:t>
                  </w:r>
                  <w:r>
                    <w:rPr>
                      <w:rFonts w:hint="eastAsia"/>
                    </w:rPr>
                    <w:t>2</w:t>
                  </w:r>
                  <w:r>
                    <w:rPr>
                      <w:rFonts w:hint="eastAsia" w:ascii="宋体" w:hAnsi="宋体"/>
                    </w:rPr>
                    <w:t>号井取水井外围</w:t>
                  </w:r>
                  <w:r>
                    <w:rPr>
                      <w:rFonts w:hint="eastAsia"/>
                    </w:rPr>
                    <w:t>50m</w:t>
                  </w:r>
                  <w:r>
                    <w:rPr>
                      <w:rFonts w:hint="eastAsia" w:ascii="宋体" w:hAnsi="宋体"/>
                    </w:rPr>
                    <w:t>范围的圆形区域为一级保护区。 面积：</w:t>
                  </w:r>
                  <w:r>
                    <w:t xml:space="preserve"> </w:t>
                  </w:r>
                  <w:r>
                    <w:rPr>
                      <w:rFonts w:hint="eastAsia" w:ascii="宋体" w:hAnsi="宋体"/>
                    </w:rPr>
                    <w:t>一级保护区</w:t>
                  </w:r>
                  <w:r>
                    <w:t>0.01789km</w:t>
                  </w:r>
                  <w:r>
                    <w:rPr>
                      <w:vertAlign w:val="superscript"/>
                    </w:rPr>
                    <w:t>2</w:t>
                  </w:r>
                  <w:r>
                    <w:t>。</w:t>
                  </w:r>
                </w:p>
              </w:tc>
              <w:tc>
                <w:tcPr>
                  <w:tcW w:w="1932" w:type="dxa"/>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ind w:firstLine="420" w:firstLineChars="200"/>
                    <w:jc w:val="left"/>
                    <w:rPr>
                      <w:color w:val="000000"/>
                      <w:szCs w:val="21"/>
                    </w:rPr>
                  </w:pPr>
                  <w:r>
                    <w:rPr>
                      <w:color w:val="000000"/>
                      <w:kern w:val="0"/>
                      <w:szCs w:val="21"/>
                    </w:rPr>
                    <w:t>本项目距离大召营镇</w:t>
                  </w:r>
                  <w:r>
                    <w:rPr>
                      <w:color w:val="000000"/>
                      <w:szCs w:val="21"/>
                    </w:rPr>
                    <w:t>水厂保护区地下水饮用水源保护</w:t>
                  </w:r>
                  <w:r>
                    <w:rPr>
                      <w:rFonts w:hint="eastAsia"/>
                      <w:color w:val="000000"/>
                      <w:kern w:val="0"/>
                      <w:szCs w:val="21"/>
                    </w:rPr>
                    <w:t>5.4</w:t>
                  </w:r>
                  <w:r>
                    <w:rPr>
                      <w:color w:val="000000"/>
                      <w:kern w:val="0"/>
                      <w:szCs w:val="21"/>
                    </w:rPr>
                    <w:t>km</w:t>
                  </w:r>
                  <w:r>
                    <w:rPr>
                      <w:rFonts w:hint="eastAsia"/>
                      <w:color w:val="000000"/>
                      <w:kern w:val="0"/>
                      <w:szCs w:val="21"/>
                    </w:rPr>
                    <w:t>。</w:t>
                  </w:r>
                </w:p>
              </w:tc>
              <w:tc>
                <w:tcPr>
                  <w:tcW w:w="1296" w:type="dxa"/>
                  <w:tcBorders>
                    <w:top w:val="single" w:color="auto" w:sz="4" w:space="0"/>
                    <w:left w:val="single" w:color="auto" w:sz="4" w:space="0"/>
                    <w:bottom w:val="single" w:color="auto" w:sz="4" w:space="0"/>
                    <w:tl2br w:val="nil"/>
                    <w:tr2bl w:val="nil"/>
                  </w:tcBorders>
                  <w:vAlign w:val="center"/>
                </w:tcPr>
                <w:p>
                  <w:pPr>
                    <w:adjustRightInd w:val="0"/>
                    <w:snapToGrid w:val="0"/>
                    <w:ind w:firstLine="420" w:firstLineChars="200"/>
                    <w:jc w:val="left"/>
                    <w:rPr>
                      <w:color w:val="000000"/>
                      <w:szCs w:val="21"/>
                    </w:rPr>
                  </w:pPr>
                  <w:r>
                    <w:rPr>
                      <w:color w:val="000000"/>
                      <w:szCs w:val="21"/>
                    </w:rPr>
                    <w:t>本项目不在水源地保护区范围内</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vMerge w:val="restart"/>
                  <w:tcBorders>
                    <w:top w:val="single" w:color="auto" w:sz="4" w:space="0"/>
                    <w:right w:val="single" w:color="auto" w:sz="4" w:space="0"/>
                    <w:tl2br w:val="nil"/>
                    <w:tr2bl w:val="nil"/>
                  </w:tcBorders>
                  <w:vAlign w:val="center"/>
                </w:tcPr>
                <w:p>
                  <w:pPr>
                    <w:adjustRightInd w:val="0"/>
                    <w:snapToGrid w:val="0"/>
                    <w:jc w:val="center"/>
                    <w:rPr>
                      <w:color w:val="000000"/>
                      <w:szCs w:val="21"/>
                    </w:rPr>
                  </w:pPr>
                  <w:r>
                    <w:rPr>
                      <w:color w:val="000000"/>
                      <w:szCs w:val="21"/>
                    </w:rPr>
                    <w:t>污染防治（控）重点单元</w:t>
                  </w:r>
                </w:p>
              </w:tc>
              <w:tc>
                <w:tcPr>
                  <w:tcW w:w="1672" w:type="dxa"/>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jc w:val="center"/>
                    <w:rPr>
                      <w:color w:val="000000"/>
                      <w:szCs w:val="21"/>
                    </w:rPr>
                  </w:pPr>
                  <w:r>
                    <w:rPr>
                      <w:color w:val="000000"/>
                      <w:szCs w:val="21"/>
                    </w:rPr>
                    <w:t>水污染</w:t>
                  </w:r>
                </w:p>
              </w:tc>
              <w:tc>
                <w:tcPr>
                  <w:tcW w:w="2920" w:type="dxa"/>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jc w:val="left"/>
                    <w:rPr>
                      <w:color w:val="000000"/>
                      <w:szCs w:val="21"/>
                    </w:rPr>
                  </w:pPr>
                  <w:r>
                    <w:rPr>
                      <w:color w:val="000000"/>
                      <w:szCs w:val="21"/>
                    </w:rPr>
                    <w:t>卫河流域：新乡市区、新乡县、卫辉市、辉县市、获嘉县</w:t>
                  </w:r>
                </w:p>
              </w:tc>
              <w:tc>
                <w:tcPr>
                  <w:tcW w:w="1932" w:type="dxa"/>
                  <w:vMerge w:val="restart"/>
                  <w:tcBorders>
                    <w:top w:val="single" w:color="auto" w:sz="4" w:space="0"/>
                    <w:left w:val="single" w:color="auto" w:sz="4" w:space="0"/>
                    <w:right w:val="single" w:color="auto" w:sz="4" w:space="0"/>
                    <w:tl2br w:val="nil"/>
                    <w:tr2bl w:val="nil"/>
                  </w:tcBorders>
                  <w:vAlign w:val="center"/>
                </w:tcPr>
                <w:p>
                  <w:pPr>
                    <w:adjustRightInd w:val="0"/>
                    <w:snapToGrid w:val="0"/>
                    <w:ind w:firstLine="420" w:firstLineChars="200"/>
                    <w:jc w:val="left"/>
                    <w:rPr>
                      <w:color w:val="000000"/>
                      <w:szCs w:val="21"/>
                    </w:rPr>
                  </w:pPr>
                  <w:r>
                    <w:rPr>
                      <w:color w:val="000000"/>
                      <w:kern w:val="0"/>
                      <w:szCs w:val="21"/>
                    </w:rPr>
                    <w:t>本项目位于</w:t>
                  </w:r>
                  <w:r>
                    <w:rPr>
                      <w:bCs/>
                      <w:color w:val="000000"/>
                      <w:szCs w:val="21"/>
                    </w:rPr>
                    <w:t>新乡县合河乡贾桥村工业区西头路北4号</w:t>
                  </w:r>
                  <w:r>
                    <w:rPr>
                      <w:rFonts w:hint="eastAsia"/>
                      <w:bCs/>
                      <w:color w:val="000000"/>
                      <w:szCs w:val="21"/>
                    </w:rPr>
                    <w:t>。</w:t>
                  </w:r>
                </w:p>
              </w:tc>
              <w:tc>
                <w:tcPr>
                  <w:tcW w:w="1296" w:type="dxa"/>
                  <w:tcBorders>
                    <w:top w:val="single" w:color="auto" w:sz="4" w:space="0"/>
                    <w:left w:val="single" w:color="auto" w:sz="4" w:space="0"/>
                    <w:bottom w:val="single" w:color="auto" w:sz="4" w:space="0"/>
                    <w:tl2br w:val="nil"/>
                    <w:tr2bl w:val="nil"/>
                  </w:tcBorders>
                  <w:vAlign w:val="center"/>
                </w:tcPr>
                <w:p>
                  <w:pPr>
                    <w:adjustRightInd w:val="0"/>
                    <w:snapToGrid w:val="0"/>
                    <w:jc w:val="center"/>
                    <w:rPr>
                      <w:color w:val="000000"/>
                      <w:szCs w:val="21"/>
                    </w:rPr>
                  </w:pPr>
                  <w:r>
                    <w:rPr>
                      <w:color w:val="000000"/>
                      <w:szCs w:val="21"/>
                    </w:rPr>
                    <w:t>属于</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vMerge w:val="continue"/>
                  <w:tcBorders>
                    <w:right w:val="single" w:color="auto" w:sz="4" w:space="0"/>
                    <w:tl2br w:val="nil"/>
                    <w:tr2bl w:val="nil"/>
                  </w:tcBorders>
                  <w:vAlign w:val="center"/>
                </w:tcPr>
                <w:p>
                  <w:pPr>
                    <w:adjustRightInd w:val="0"/>
                    <w:snapToGrid w:val="0"/>
                    <w:jc w:val="center"/>
                    <w:rPr>
                      <w:color w:val="000000"/>
                      <w:szCs w:val="21"/>
                    </w:rPr>
                  </w:pPr>
                </w:p>
              </w:tc>
              <w:tc>
                <w:tcPr>
                  <w:tcW w:w="1672" w:type="dxa"/>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jc w:val="center"/>
                    <w:rPr>
                      <w:color w:val="000000"/>
                      <w:szCs w:val="21"/>
                    </w:rPr>
                  </w:pPr>
                  <w:r>
                    <w:rPr>
                      <w:color w:val="000000"/>
                      <w:szCs w:val="21"/>
                    </w:rPr>
                    <w:t>大气污染</w:t>
                  </w:r>
                </w:p>
              </w:tc>
              <w:tc>
                <w:tcPr>
                  <w:tcW w:w="2920" w:type="dxa"/>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jc w:val="center"/>
                    <w:rPr>
                      <w:color w:val="000000"/>
                      <w:szCs w:val="21"/>
                    </w:rPr>
                  </w:pPr>
                  <w:r>
                    <w:rPr>
                      <w:color w:val="000000"/>
                      <w:szCs w:val="21"/>
                    </w:rPr>
                    <w:t>新乡市域全部</w:t>
                  </w:r>
                </w:p>
              </w:tc>
              <w:tc>
                <w:tcPr>
                  <w:tcW w:w="1932" w:type="dxa"/>
                  <w:vMerge w:val="continue"/>
                  <w:tcBorders>
                    <w:left w:val="single" w:color="auto" w:sz="4" w:space="0"/>
                    <w:right w:val="single" w:color="auto" w:sz="4" w:space="0"/>
                    <w:tl2br w:val="nil"/>
                    <w:tr2bl w:val="nil"/>
                  </w:tcBorders>
                  <w:vAlign w:val="center"/>
                </w:tcPr>
                <w:p>
                  <w:pPr>
                    <w:adjustRightInd w:val="0"/>
                    <w:snapToGrid w:val="0"/>
                    <w:jc w:val="left"/>
                    <w:rPr>
                      <w:color w:val="000000"/>
                      <w:szCs w:val="21"/>
                    </w:rPr>
                  </w:pPr>
                </w:p>
              </w:tc>
              <w:tc>
                <w:tcPr>
                  <w:tcW w:w="1296" w:type="dxa"/>
                  <w:tcBorders>
                    <w:top w:val="single" w:color="auto" w:sz="4" w:space="0"/>
                    <w:left w:val="single" w:color="auto" w:sz="4" w:space="0"/>
                    <w:bottom w:val="single" w:color="auto" w:sz="4" w:space="0"/>
                    <w:tl2br w:val="nil"/>
                    <w:tr2bl w:val="nil"/>
                  </w:tcBorders>
                  <w:vAlign w:val="center"/>
                </w:tcPr>
                <w:p>
                  <w:pPr>
                    <w:adjustRightInd w:val="0"/>
                    <w:snapToGrid w:val="0"/>
                    <w:jc w:val="center"/>
                    <w:rPr>
                      <w:color w:val="000000"/>
                      <w:szCs w:val="21"/>
                    </w:rPr>
                  </w:pPr>
                  <w:r>
                    <w:rPr>
                      <w:color w:val="000000"/>
                      <w:szCs w:val="21"/>
                    </w:rPr>
                    <w:t>属于</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vMerge w:val="continue"/>
                  <w:tcBorders>
                    <w:bottom w:val="single" w:color="auto" w:sz="4" w:space="0"/>
                    <w:right w:val="single" w:color="auto" w:sz="4" w:space="0"/>
                    <w:tl2br w:val="nil"/>
                    <w:tr2bl w:val="nil"/>
                  </w:tcBorders>
                  <w:vAlign w:val="center"/>
                </w:tcPr>
                <w:p>
                  <w:pPr>
                    <w:adjustRightInd w:val="0"/>
                    <w:snapToGrid w:val="0"/>
                    <w:jc w:val="center"/>
                    <w:rPr>
                      <w:color w:val="000000"/>
                      <w:szCs w:val="21"/>
                    </w:rPr>
                  </w:pPr>
                </w:p>
              </w:tc>
              <w:tc>
                <w:tcPr>
                  <w:tcW w:w="1672" w:type="dxa"/>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jc w:val="center"/>
                    <w:rPr>
                      <w:color w:val="000000"/>
                      <w:szCs w:val="21"/>
                    </w:rPr>
                  </w:pPr>
                  <w:r>
                    <w:rPr>
                      <w:color w:val="000000"/>
                      <w:szCs w:val="21"/>
                    </w:rPr>
                    <w:t>重金属污染</w:t>
                  </w:r>
                </w:p>
              </w:tc>
              <w:tc>
                <w:tcPr>
                  <w:tcW w:w="2920" w:type="dxa"/>
                  <w:tcBorders>
                    <w:top w:val="single" w:color="auto" w:sz="4" w:space="0"/>
                    <w:left w:val="single" w:color="auto" w:sz="4" w:space="0"/>
                    <w:bottom w:val="single" w:color="auto" w:sz="4" w:space="0"/>
                    <w:right w:val="single" w:color="auto" w:sz="4" w:space="0"/>
                    <w:tl2br w:val="nil"/>
                    <w:tr2bl w:val="nil"/>
                  </w:tcBorders>
                  <w:vAlign w:val="center"/>
                </w:tcPr>
                <w:p>
                  <w:pPr>
                    <w:adjustRightInd w:val="0"/>
                    <w:snapToGrid w:val="0"/>
                    <w:jc w:val="left"/>
                    <w:rPr>
                      <w:color w:val="000000"/>
                      <w:szCs w:val="21"/>
                    </w:rPr>
                  </w:pPr>
                  <w:r>
                    <w:rPr>
                      <w:color w:val="000000"/>
                      <w:szCs w:val="21"/>
                    </w:rPr>
                    <w:t>新乡县、凤泉区（铅镉污染防控区）</w:t>
                  </w:r>
                </w:p>
              </w:tc>
              <w:tc>
                <w:tcPr>
                  <w:tcW w:w="1932" w:type="dxa"/>
                  <w:vMerge w:val="continue"/>
                  <w:tcBorders>
                    <w:left w:val="single" w:color="auto" w:sz="4" w:space="0"/>
                    <w:bottom w:val="single" w:color="auto" w:sz="4" w:space="0"/>
                    <w:right w:val="single" w:color="auto" w:sz="4" w:space="0"/>
                    <w:tl2br w:val="nil"/>
                    <w:tr2bl w:val="nil"/>
                  </w:tcBorders>
                  <w:vAlign w:val="center"/>
                </w:tcPr>
                <w:p>
                  <w:pPr>
                    <w:adjustRightInd w:val="0"/>
                    <w:snapToGrid w:val="0"/>
                    <w:jc w:val="left"/>
                    <w:rPr>
                      <w:color w:val="000000"/>
                      <w:szCs w:val="21"/>
                    </w:rPr>
                  </w:pPr>
                </w:p>
              </w:tc>
              <w:tc>
                <w:tcPr>
                  <w:tcW w:w="1296" w:type="dxa"/>
                  <w:tcBorders>
                    <w:top w:val="single" w:color="auto" w:sz="4" w:space="0"/>
                    <w:left w:val="single" w:color="auto" w:sz="4" w:space="0"/>
                    <w:bottom w:val="single" w:color="auto" w:sz="4" w:space="0"/>
                    <w:tl2br w:val="nil"/>
                    <w:tr2bl w:val="nil"/>
                  </w:tcBorders>
                  <w:vAlign w:val="center"/>
                </w:tcPr>
                <w:p>
                  <w:pPr>
                    <w:adjustRightInd w:val="0"/>
                    <w:snapToGrid w:val="0"/>
                    <w:jc w:val="center"/>
                    <w:rPr>
                      <w:color w:val="000000"/>
                      <w:szCs w:val="21"/>
                    </w:rPr>
                  </w:pPr>
                  <w:r>
                    <w:rPr>
                      <w:color w:val="000000"/>
                      <w:szCs w:val="21"/>
                    </w:rPr>
                    <w:t>属于</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252" w:type="dxa"/>
                  <w:tcBorders>
                    <w:top w:val="single" w:color="auto" w:sz="4" w:space="0"/>
                    <w:right w:val="single" w:color="auto" w:sz="4" w:space="0"/>
                    <w:tl2br w:val="nil"/>
                    <w:tr2bl w:val="nil"/>
                  </w:tcBorders>
                  <w:vAlign w:val="center"/>
                </w:tcPr>
                <w:p>
                  <w:pPr>
                    <w:adjustRightInd w:val="0"/>
                    <w:snapToGrid w:val="0"/>
                    <w:jc w:val="center"/>
                    <w:rPr>
                      <w:color w:val="000000"/>
                      <w:szCs w:val="21"/>
                    </w:rPr>
                  </w:pPr>
                  <w:r>
                    <w:rPr>
                      <w:color w:val="000000"/>
                      <w:szCs w:val="21"/>
                    </w:rPr>
                    <w:t>工业项目分类</w:t>
                  </w:r>
                </w:p>
              </w:tc>
              <w:tc>
                <w:tcPr>
                  <w:tcW w:w="4592" w:type="dxa"/>
                  <w:gridSpan w:val="2"/>
                  <w:tcBorders>
                    <w:top w:val="single" w:color="auto" w:sz="4" w:space="0"/>
                    <w:left w:val="single" w:color="auto" w:sz="4" w:space="0"/>
                    <w:right w:val="single" w:color="auto" w:sz="4" w:space="0"/>
                    <w:tl2br w:val="nil"/>
                    <w:tr2bl w:val="nil"/>
                  </w:tcBorders>
                  <w:vAlign w:val="center"/>
                </w:tcPr>
                <w:p>
                  <w:pPr>
                    <w:pStyle w:val="124"/>
                    <w:adjustRightInd w:val="0"/>
                    <w:snapToGrid w:val="0"/>
                    <w:ind w:firstLine="420" w:firstLineChars="200"/>
                    <w:jc w:val="left"/>
                    <w:rPr>
                      <w:color w:val="000000"/>
                      <w:sz w:val="21"/>
                      <w:szCs w:val="21"/>
                    </w:rPr>
                  </w:pPr>
                  <w:r>
                    <w:rPr>
                      <w:sz w:val="21"/>
                      <w:szCs w:val="21"/>
                    </w:rPr>
                    <w:t>一类工业项目：金属制品（不含有电镀或纯化工艺的热镀锌的表面处理及热处理加工）</w:t>
                  </w:r>
                </w:p>
              </w:tc>
              <w:tc>
                <w:tcPr>
                  <w:tcW w:w="1932" w:type="dxa"/>
                  <w:tcBorders>
                    <w:top w:val="single" w:color="auto" w:sz="4" w:space="0"/>
                    <w:left w:val="single" w:color="auto" w:sz="4" w:space="0"/>
                    <w:right w:val="single" w:color="auto" w:sz="4" w:space="0"/>
                    <w:tl2br w:val="nil"/>
                    <w:tr2bl w:val="nil"/>
                  </w:tcBorders>
                  <w:vAlign w:val="center"/>
                </w:tcPr>
                <w:p>
                  <w:pPr>
                    <w:pStyle w:val="124"/>
                    <w:adjustRightInd w:val="0"/>
                    <w:snapToGrid w:val="0"/>
                    <w:ind w:firstLine="420" w:firstLineChars="200"/>
                    <w:jc w:val="left"/>
                    <w:rPr>
                      <w:color w:val="000000"/>
                      <w:sz w:val="21"/>
                      <w:szCs w:val="21"/>
                    </w:rPr>
                  </w:pPr>
                  <w:r>
                    <w:rPr>
                      <w:sz w:val="21"/>
                      <w:szCs w:val="21"/>
                    </w:rPr>
                    <w:t>本项目属于金属制品加工项目</w:t>
                  </w:r>
                  <w:r>
                    <w:rPr>
                      <w:rFonts w:hint="eastAsia"/>
                      <w:sz w:val="21"/>
                      <w:szCs w:val="21"/>
                    </w:rPr>
                    <w:t>。</w:t>
                  </w:r>
                </w:p>
              </w:tc>
              <w:tc>
                <w:tcPr>
                  <w:tcW w:w="1296" w:type="dxa"/>
                  <w:tcBorders>
                    <w:top w:val="single" w:color="auto" w:sz="4" w:space="0"/>
                    <w:left w:val="single" w:color="auto" w:sz="4" w:space="0"/>
                    <w:tl2br w:val="nil"/>
                    <w:tr2bl w:val="nil"/>
                  </w:tcBorders>
                  <w:vAlign w:val="center"/>
                </w:tcPr>
                <w:p>
                  <w:pPr>
                    <w:pStyle w:val="124"/>
                    <w:adjustRightInd w:val="0"/>
                    <w:snapToGrid w:val="0"/>
                    <w:ind w:firstLine="420" w:firstLineChars="200"/>
                    <w:jc w:val="left"/>
                    <w:rPr>
                      <w:color w:val="000000"/>
                      <w:sz w:val="21"/>
                      <w:szCs w:val="21"/>
                    </w:rPr>
                  </w:pPr>
                  <w:r>
                    <w:rPr>
                      <w:sz w:val="21"/>
                      <w:szCs w:val="21"/>
                    </w:rPr>
                    <w:t>属于一类工业项目</w:t>
                  </w:r>
                </w:p>
              </w:tc>
            </w:tr>
          </w:tbl>
          <w:p>
            <w:pPr>
              <w:pStyle w:val="124"/>
              <w:adjustRightInd w:val="0"/>
              <w:snapToGrid w:val="0"/>
              <w:spacing w:line="440" w:lineRule="exact"/>
              <w:ind w:firstLine="480" w:firstLineChars="200"/>
              <w:rPr>
                <w:rFonts w:hAnsiTheme="minorEastAsia" w:eastAsiaTheme="minorEastAsia"/>
                <w:sz w:val="24"/>
              </w:rPr>
            </w:pPr>
            <w:r>
              <w:rPr>
                <w:rFonts w:hAnsiTheme="minorEastAsia" w:eastAsiaTheme="minorEastAsia"/>
                <w:color w:val="000000"/>
                <w:sz w:val="24"/>
              </w:rPr>
              <w:t>由</w:t>
            </w:r>
            <w:r>
              <w:rPr>
                <w:rFonts w:hint="eastAsia" w:hAnsiTheme="minorEastAsia" w:eastAsiaTheme="minorEastAsia"/>
                <w:color w:val="000000"/>
                <w:sz w:val="24"/>
              </w:rPr>
              <w:t>上表</w:t>
            </w:r>
            <w:r>
              <w:rPr>
                <w:rFonts w:hAnsiTheme="minorEastAsia" w:eastAsiaTheme="minorEastAsia"/>
                <w:color w:val="000000"/>
                <w:sz w:val="24"/>
              </w:rPr>
              <w:t>可知，本项目位于</w:t>
            </w:r>
            <w:r>
              <w:rPr>
                <w:rFonts w:hAnsiTheme="minorEastAsia" w:eastAsiaTheme="minorEastAsia"/>
                <w:bCs/>
                <w:color w:val="000000"/>
                <w:sz w:val="24"/>
              </w:rPr>
              <w:t>新乡县合河乡贾桥村工业区西头路北</w:t>
            </w:r>
            <w:r>
              <w:rPr>
                <w:rFonts w:eastAsiaTheme="minorEastAsia"/>
                <w:bCs/>
                <w:color w:val="000000"/>
                <w:sz w:val="24"/>
              </w:rPr>
              <w:t>4</w:t>
            </w:r>
            <w:r>
              <w:rPr>
                <w:rFonts w:hAnsiTheme="minorEastAsia" w:eastAsiaTheme="minorEastAsia"/>
                <w:bCs/>
                <w:color w:val="000000"/>
                <w:sz w:val="24"/>
              </w:rPr>
              <w:t>号</w:t>
            </w:r>
            <w:r>
              <w:rPr>
                <w:rFonts w:hAnsiTheme="minorEastAsia" w:eastAsiaTheme="minorEastAsia"/>
                <w:color w:val="000000"/>
                <w:sz w:val="24"/>
              </w:rPr>
              <w:t>，</w:t>
            </w:r>
            <w:r>
              <w:rPr>
                <w:rFonts w:hAnsiTheme="minorEastAsia" w:eastAsiaTheme="minorEastAsia"/>
                <w:sz w:val="24"/>
              </w:rPr>
              <w:t>新乡县属于新乡市主体功能区的重点开发区域，故本项目所在地属于新乡市主体功能区的重点开发区域。对照新环</w:t>
            </w:r>
            <w:r>
              <w:rPr>
                <w:rFonts w:eastAsiaTheme="minorEastAsia"/>
                <w:sz w:val="24"/>
              </w:rPr>
              <w:t>[2015]342</w:t>
            </w:r>
            <w:r>
              <w:rPr>
                <w:rFonts w:hAnsiTheme="minorEastAsia" w:eastAsiaTheme="minorEastAsia"/>
                <w:sz w:val="24"/>
              </w:rPr>
              <w:t>号文，本项目不在新乡市规定的工业准入优先区、城市人居功能区、农产品主产区和特殊环境敏感区等</w:t>
            </w:r>
            <w:r>
              <w:rPr>
                <w:rFonts w:eastAsiaTheme="minorEastAsia"/>
                <w:sz w:val="24"/>
              </w:rPr>
              <w:t>4</w:t>
            </w:r>
            <w:r>
              <w:rPr>
                <w:rFonts w:hAnsiTheme="minorEastAsia" w:eastAsiaTheme="minorEastAsia"/>
                <w:sz w:val="24"/>
              </w:rPr>
              <w:t>个区域，根据文件要求，若项目所在地不在所列</w:t>
            </w:r>
            <w:r>
              <w:rPr>
                <w:rFonts w:eastAsiaTheme="minorEastAsia"/>
                <w:sz w:val="24"/>
              </w:rPr>
              <w:t>4</w:t>
            </w:r>
            <w:r>
              <w:rPr>
                <w:rFonts w:hAnsiTheme="minorEastAsia" w:eastAsiaTheme="minorEastAsia"/>
                <w:sz w:val="24"/>
              </w:rPr>
              <w:t>种类型分区涵盖的区域，应参照农产品主产区的环境准入政策执行。</w:t>
            </w:r>
          </w:p>
          <w:p>
            <w:pPr>
              <w:pStyle w:val="124"/>
              <w:adjustRightInd w:val="0"/>
              <w:snapToGrid w:val="0"/>
              <w:spacing w:line="440" w:lineRule="exact"/>
              <w:ind w:firstLine="482" w:firstLineChars="200"/>
              <w:rPr>
                <w:rFonts w:eastAsiaTheme="minorEastAsia"/>
                <w:b/>
                <w:bCs/>
                <w:sz w:val="24"/>
              </w:rPr>
            </w:pPr>
            <w:r>
              <w:rPr>
                <w:rFonts w:hint="eastAsia" w:hAnsiTheme="minorEastAsia" w:eastAsiaTheme="minorEastAsia"/>
                <w:b/>
                <w:bCs/>
                <w:sz w:val="24"/>
              </w:rPr>
              <w:t>（2）</w:t>
            </w:r>
            <w:r>
              <w:rPr>
                <w:rFonts w:hAnsiTheme="minorEastAsia" w:eastAsiaTheme="minorEastAsia"/>
                <w:b/>
                <w:bCs/>
                <w:sz w:val="24"/>
              </w:rPr>
              <w:t>与农产品主产区的环境准入政策要求相符性分析见</w:t>
            </w:r>
            <w:r>
              <w:rPr>
                <w:rFonts w:hint="eastAsia" w:hAnsiTheme="minorEastAsia" w:eastAsiaTheme="minorEastAsia"/>
                <w:b/>
                <w:bCs/>
                <w:sz w:val="24"/>
              </w:rPr>
              <w:t>下</w:t>
            </w:r>
            <w:r>
              <w:rPr>
                <w:rFonts w:hAnsiTheme="minorEastAsia" w:eastAsiaTheme="minorEastAsia"/>
                <w:b/>
                <w:bCs/>
                <w:sz w:val="24"/>
              </w:rPr>
              <w:t>表：</w:t>
            </w:r>
          </w:p>
          <w:p>
            <w:pPr>
              <w:adjustRightInd w:val="0"/>
              <w:snapToGrid w:val="0"/>
              <w:spacing w:line="440" w:lineRule="exact"/>
              <w:ind w:firstLine="480" w:firstLineChars="200"/>
              <w:rPr>
                <w:rFonts w:eastAsia="黑体"/>
                <w:bCs/>
                <w:sz w:val="24"/>
              </w:rPr>
            </w:pPr>
            <w:r>
              <w:rPr>
                <w:rFonts w:eastAsia="黑体"/>
                <w:bCs/>
                <w:sz w:val="24"/>
              </w:rPr>
              <w:t>表</w:t>
            </w:r>
            <w:r>
              <w:rPr>
                <w:rFonts w:hint="eastAsia" w:eastAsia="黑体"/>
                <w:bCs/>
                <w:sz w:val="24"/>
              </w:rPr>
              <w:t xml:space="preserve">8　　   </w:t>
            </w:r>
            <w:r>
              <w:rPr>
                <w:rFonts w:eastAsia="黑体"/>
                <w:bCs/>
                <w:sz w:val="24"/>
              </w:rPr>
              <w:t xml:space="preserve"> 项目与农产品主产区环境准入政策要求相符性分析</w:t>
            </w:r>
          </w:p>
          <w:tbl>
            <w:tblPr>
              <w:tblStyle w:val="24"/>
              <w:tblW w:w="4997"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4336"/>
              <w:gridCol w:w="2520"/>
              <w:gridCol w:w="1332"/>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5" w:type="pct"/>
                  <w:tcBorders>
                    <w:bottom w:val="single" w:color="auto" w:sz="8" w:space="0"/>
                  </w:tcBorders>
                  <w:vAlign w:val="center"/>
                </w:tcPr>
                <w:p>
                  <w:pPr>
                    <w:adjustRightInd w:val="0"/>
                    <w:snapToGrid w:val="0"/>
                    <w:jc w:val="center"/>
                    <w:rPr>
                      <w:b/>
                      <w:bCs/>
                      <w:color w:val="000000"/>
                      <w:szCs w:val="21"/>
                    </w:rPr>
                  </w:pPr>
                  <w:r>
                    <w:rPr>
                      <w:b/>
                      <w:bCs/>
                      <w:color w:val="000000"/>
                      <w:szCs w:val="21"/>
                    </w:rPr>
                    <w:t>类别</w:t>
                  </w:r>
                </w:p>
              </w:tc>
              <w:tc>
                <w:tcPr>
                  <w:tcW w:w="2390" w:type="pct"/>
                  <w:tcBorders>
                    <w:bottom w:val="single" w:color="auto" w:sz="8" w:space="0"/>
                  </w:tcBorders>
                  <w:vAlign w:val="center"/>
                </w:tcPr>
                <w:p>
                  <w:pPr>
                    <w:adjustRightInd w:val="0"/>
                    <w:snapToGrid w:val="0"/>
                    <w:jc w:val="center"/>
                    <w:rPr>
                      <w:b/>
                      <w:bCs/>
                      <w:color w:val="000000"/>
                      <w:szCs w:val="21"/>
                    </w:rPr>
                  </w:pPr>
                  <w:r>
                    <w:rPr>
                      <w:b/>
                      <w:bCs/>
                      <w:color w:val="000000"/>
                      <w:szCs w:val="21"/>
                    </w:rPr>
                    <w:t>内容</w:t>
                  </w:r>
                </w:p>
              </w:tc>
              <w:tc>
                <w:tcPr>
                  <w:tcW w:w="1389" w:type="pct"/>
                  <w:tcBorders>
                    <w:bottom w:val="single" w:color="auto" w:sz="8" w:space="0"/>
                  </w:tcBorders>
                  <w:vAlign w:val="center"/>
                </w:tcPr>
                <w:p>
                  <w:pPr>
                    <w:adjustRightInd w:val="0"/>
                    <w:snapToGrid w:val="0"/>
                    <w:jc w:val="center"/>
                    <w:rPr>
                      <w:b/>
                      <w:bCs/>
                      <w:color w:val="000000"/>
                      <w:szCs w:val="21"/>
                    </w:rPr>
                  </w:pPr>
                  <w:r>
                    <w:rPr>
                      <w:b/>
                      <w:bCs/>
                      <w:color w:val="000000"/>
                      <w:szCs w:val="21"/>
                    </w:rPr>
                    <w:t>本项目情况</w:t>
                  </w:r>
                </w:p>
              </w:tc>
              <w:tc>
                <w:tcPr>
                  <w:tcW w:w="734" w:type="pct"/>
                  <w:tcBorders>
                    <w:bottom w:val="single" w:color="auto" w:sz="8" w:space="0"/>
                  </w:tcBorders>
                  <w:vAlign w:val="center"/>
                </w:tcPr>
                <w:p>
                  <w:pPr>
                    <w:adjustRightInd w:val="0"/>
                    <w:snapToGrid w:val="0"/>
                    <w:jc w:val="center"/>
                    <w:rPr>
                      <w:b/>
                      <w:bCs/>
                      <w:color w:val="000000"/>
                      <w:szCs w:val="21"/>
                    </w:rPr>
                  </w:pPr>
                  <w:r>
                    <w:rPr>
                      <w:b/>
                      <w:bCs/>
                      <w:color w:val="000000"/>
                      <w:szCs w:val="21"/>
                    </w:rPr>
                    <w:t>对比结果</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5" w:type="pct"/>
                  <w:tcBorders>
                    <w:top w:val="single" w:color="auto" w:sz="8" w:space="0"/>
                    <w:tl2br w:val="nil"/>
                    <w:tr2bl w:val="nil"/>
                  </w:tcBorders>
                  <w:vAlign w:val="center"/>
                </w:tcPr>
                <w:p>
                  <w:pPr>
                    <w:contextualSpacing/>
                    <w:jc w:val="center"/>
                    <w:rPr>
                      <w:rFonts w:eastAsiaTheme="minorEastAsia"/>
                      <w:color w:val="000000"/>
                      <w:szCs w:val="21"/>
                    </w:rPr>
                  </w:pPr>
                  <w:r>
                    <w:rPr>
                      <w:rFonts w:hAnsiTheme="minorEastAsia" w:eastAsiaTheme="minorEastAsia"/>
                      <w:color w:val="000000"/>
                      <w:szCs w:val="21"/>
                    </w:rPr>
                    <w:t>农产品主产区</w:t>
                  </w:r>
                </w:p>
              </w:tc>
              <w:tc>
                <w:tcPr>
                  <w:tcW w:w="2390" w:type="pct"/>
                  <w:tcBorders>
                    <w:top w:val="single" w:color="auto" w:sz="8" w:space="0"/>
                    <w:tl2br w:val="nil"/>
                    <w:tr2bl w:val="nil"/>
                  </w:tcBorders>
                  <w:vAlign w:val="center"/>
                </w:tcPr>
                <w:p>
                  <w:pPr>
                    <w:contextualSpacing/>
                    <w:rPr>
                      <w:rFonts w:eastAsiaTheme="minorEastAsia"/>
                      <w:b/>
                      <w:szCs w:val="21"/>
                    </w:rPr>
                  </w:pPr>
                  <w:r>
                    <w:rPr>
                      <w:rFonts w:hAnsiTheme="minorEastAsia" w:eastAsiaTheme="minorEastAsia"/>
                      <w:b/>
                      <w:szCs w:val="21"/>
                    </w:rPr>
                    <w:t>环境准入政策：</w:t>
                  </w:r>
                </w:p>
                <w:p>
                  <w:pPr>
                    <w:contextualSpacing/>
                    <w:jc w:val="left"/>
                    <w:rPr>
                      <w:rFonts w:eastAsiaTheme="minorEastAsia"/>
                      <w:kern w:val="0"/>
                      <w:szCs w:val="21"/>
                    </w:rPr>
                  </w:pPr>
                  <w:r>
                    <w:rPr>
                      <w:rFonts w:hint="eastAsia" w:eastAsiaTheme="minorEastAsia"/>
                      <w:kern w:val="0"/>
                      <w:szCs w:val="21"/>
                    </w:rPr>
                    <w:t xml:space="preserve">    1、</w:t>
                  </w:r>
                  <w:r>
                    <w:rPr>
                      <w:rFonts w:hAnsiTheme="minorEastAsia" w:eastAsiaTheme="minorEastAsia"/>
                      <w:kern w:val="0"/>
                      <w:szCs w:val="21"/>
                    </w:rPr>
                    <w:t>简化部分审批程序。依据环保部《建设项目环境影响评价分类管理名录》规定，对填报环境影响登记表的项目，除畜禽养殖场、养殖小区、肉禽类加工、水产品加工、粪便处理、部分餐饮场所以及核与辐射项目外，环评文件由审批制改为备案制，即报即受理，</w:t>
                  </w:r>
                  <w:r>
                    <w:rPr>
                      <w:rFonts w:eastAsiaTheme="minorEastAsia"/>
                      <w:kern w:val="0"/>
                      <w:szCs w:val="21"/>
                    </w:rPr>
                    <w:t>2</w:t>
                  </w:r>
                  <w:r>
                    <w:rPr>
                      <w:rFonts w:hAnsiTheme="minorEastAsia" w:eastAsiaTheme="minorEastAsia"/>
                      <w:kern w:val="0"/>
                      <w:szCs w:val="21"/>
                    </w:rPr>
                    <w:t>个工作日内办结；对编制环境影响报告表的农副产品加工项目，简化审批程序，即报即受理。</w:t>
                  </w:r>
                </w:p>
                <w:p>
                  <w:pPr>
                    <w:ind w:firstLine="420" w:firstLineChars="200"/>
                    <w:contextualSpacing/>
                    <w:jc w:val="left"/>
                    <w:rPr>
                      <w:rFonts w:eastAsiaTheme="minorEastAsia"/>
                      <w:kern w:val="0"/>
                      <w:szCs w:val="21"/>
                    </w:rPr>
                  </w:pPr>
                  <w:r>
                    <w:rPr>
                      <w:rFonts w:hint="eastAsia" w:hAnsiTheme="minorEastAsia" w:eastAsiaTheme="minorEastAsia"/>
                      <w:kern w:val="0"/>
                      <w:szCs w:val="21"/>
                    </w:rPr>
                    <w:t>2、</w:t>
                  </w:r>
                  <w:r>
                    <w:rPr>
                      <w:rFonts w:hAnsiTheme="minorEastAsia" w:eastAsiaTheme="minorEastAsia"/>
                      <w:kern w:val="0"/>
                      <w:szCs w:val="21"/>
                    </w:rPr>
                    <w:t>严控重污染项目。不予审批《工业项目分类清单》中三类工业的新建项目和涉及重金属、持久性有机污染物排放等影响粮食生产安全的二类工业新建项目（矿产资源点状开发项目和符合省、市重大产业布局的项目除外）。</w:t>
                  </w:r>
                </w:p>
                <w:p>
                  <w:pPr>
                    <w:widowControl/>
                    <w:shd w:val="clear" w:color="auto" w:fill="FFFFFF"/>
                    <w:ind w:firstLine="420" w:firstLineChars="200"/>
                    <w:contextualSpacing/>
                    <w:rPr>
                      <w:rFonts w:eastAsiaTheme="minorEastAsia"/>
                      <w:szCs w:val="21"/>
                    </w:rPr>
                  </w:pPr>
                  <w:r>
                    <w:rPr>
                      <w:rFonts w:hint="eastAsia" w:hAnsiTheme="minorEastAsia" w:eastAsiaTheme="minorEastAsia"/>
                      <w:kern w:val="0"/>
                      <w:szCs w:val="21"/>
                    </w:rPr>
                    <w:t>3、</w:t>
                  </w:r>
                  <w:r>
                    <w:rPr>
                      <w:rFonts w:hAnsiTheme="minorEastAsia" w:eastAsiaTheme="minorEastAsia"/>
                      <w:kern w:val="0"/>
                      <w:szCs w:val="21"/>
                    </w:rPr>
                    <w:t>严控部分区域重污染项目。在《水污染防治重点单元》区域内不予审批屠宰、酿造、含发酵工艺的粮食加工等废水排放量大且废水无法进入集中式污水处理厂处理的项目。</w:t>
                  </w:r>
                </w:p>
              </w:tc>
              <w:tc>
                <w:tcPr>
                  <w:tcW w:w="1389" w:type="pct"/>
                  <w:tcBorders>
                    <w:top w:val="single" w:color="auto" w:sz="8" w:space="0"/>
                    <w:tl2br w:val="nil"/>
                    <w:tr2bl w:val="nil"/>
                  </w:tcBorders>
                  <w:vAlign w:val="center"/>
                </w:tcPr>
                <w:p>
                  <w:pPr>
                    <w:adjustRightInd w:val="0"/>
                    <w:snapToGrid w:val="0"/>
                    <w:ind w:firstLine="420" w:firstLineChars="200"/>
                    <w:jc w:val="left"/>
                    <w:rPr>
                      <w:rFonts w:eastAsiaTheme="minorEastAsia"/>
                      <w:szCs w:val="21"/>
                    </w:rPr>
                  </w:pPr>
                  <w:r>
                    <w:rPr>
                      <w:rFonts w:eastAsiaTheme="minorEastAsia"/>
                      <w:szCs w:val="21"/>
                    </w:rPr>
                    <w:t>1</w:t>
                  </w:r>
                  <w:r>
                    <w:rPr>
                      <w:rFonts w:hAnsiTheme="minorEastAsia" w:eastAsiaTheme="minorEastAsia"/>
                      <w:szCs w:val="21"/>
                    </w:rPr>
                    <w:t>、本项目应编制环境影响报告表。</w:t>
                  </w:r>
                </w:p>
                <w:p>
                  <w:pPr>
                    <w:pStyle w:val="124"/>
                    <w:adjustRightInd w:val="0"/>
                    <w:snapToGrid w:val="0"/>
                    <w:ind w:firstLine="420" w:firstLineChars="200"/>
                    <w:jc w:val="left"/>
                    <w:rPr>
                      <w:rFonts w:eastAsiaTheme="minorEastAsia"/>
                      <w:sz w:val="21"/>
                      <w:szCs w:val="21"/>
                    </w:rPr>
                  </w:pPr>
                  <w:r>
                    <w:rPr>
                      <w:rFonts w:eastAsiaTheme="minorEastAsia"/>
                      <w:sz w:val="21"/>
                      <w:szCs w:val="21"/>
                    </w:rPr>
                    <w:t>2</w:t>
                  </w:r>
                  <w:r>
                    <w:rPr>
                      <w:rFonts w:hAnsiTheme="minorEastAsia" w:eastAsiaTheme="minorEastAsia"/>
                      <w:sz w:val="21"/>
                      <w:szCs w:val="21"/>
                    </w:rPr>
                    <w:t>、本项目属于</w:t>
                  </w:r>
                  <w:r>
                    <w:rPr>
                      <w:rFonts w:hint="eastAsia" w:hAnsiTheme="minorEastAsia" w:eastAsiaTheme="minorEastAsia"/>
                      <w:sz w:val="21"/>
                      <w:szCs w:val="21"/>
                    </w:rPr>
                    <w:t>紧固件制造</w:t>
                  </w:r>
                  <w:r>
                    <w:rPr>
                      <w:rFonts w:hAnsiTheme="minorEastAsia" w:eastAsiaTheme="minorEastAsia"/>
                      <w:sz w:val="21"/>
                      <w:szCs w:val="21"/>
                    </w:rPr>
                    <w:t>；属于一类工业新建项目。</w:t>
                  </w:r>
                </w:p>
                <w:p>
                  <w:pPr>
                    <w:adjustRightInd w:val="0"/>
                    <w:snapToGrid w:val="0"/>
                    <w:ind w:firstLine="420" w:firstLineChars="200"/>
                    <w:jc w:val="left"/>
                    <w:rPr>
                      <w:rFonts w:eastAsiaTheme="minorEastAsia"/>
                      <w:szCs w:val="21"/>
                    </w:rPr>
                  </w:pPr>
                  <w:r>
                    <w:rPr>
                      <w:rFonts w:eastAsiaTheme="minorEastAsia"/>
                      <w:szCs w:val="21"/>
                    </w:rPr>
                    <w:t>3</w:t>
                  </w:r>
                  <w:r>
                    <w:rPr>
                      <w:rFonts w:hAnsiTheme="minorEastAsia" w:eastAsiaTheme="minorEastAsia"/>
                      <w:szCs w:val="21"/>
                    </w:rPr>
                    <w:t>、本项目不属于</w:t>
                  </w:r>
                  <w:r>
                    <w:rPr>
                      <w:rFonts w:hAnsiTheme="minorEastAsia" w:eastAsiaTheme="minorEastAsia"/>
                      <w:kern w:val="0"/>
                      <w:szCs w:val="21"/>
                    </w:rPr>
                    <w:t>《水污染防治重点单元》区域内的：煤化工、化学合成药以及生物发酵制药、制浆造纸、制革及毛皮鞣制、印染等行业单纯新建和单纯扩大产能的项目；</w:t>
                  </w:r>
                  <w:r>
                    <w:rPr>
                      <w:rFonts w:hAnsiTheme="minorEastAsia" w:eastAsiaTheme="minorEastAsia"/>
                      <w:szCs w:val="21"/>
                    </w:rPr>
                    <w:t>不属于</w:t>
                  </w:r>
                  <w:r>
                    <w:rPr>
                      <w:rFonts w:hAnsiTheme="minorEastAsia" w:eastAsiaTheme="minorEastAsia"/>
                      <w:kern w:val="0"/>
                      <w:szCs w:val="21"/>
                    </w:rPr>
                    <w:t>《大气污染防治重点单元》区域内：燃煤火电项目，煤化工、冶金、钢铁、铁合金等行业单纯新建和单纯扩大产能的项目；</w:t>
                  </w:r>
                  <w:r>
                    <w:rPr>
                      <w:rFonts w:hAnsiTheme="minorEastAsia" w:eastAsiaTheme="minorEastAsia"/>
                      <w:szCs w:val="21"/>
                    </w:rPr>
                    <w:t>属于</w:t>
                  </w:r>
                  <w:r>
                    <w:rPr>
                      <w:rFonts w:hAnsiTheme="minorEastAsia" w:eastAsiaTheme="minorEastAsia"/>
                      <w:kern w:val="0"/>
                      <w:szCs w:val="21"/>
                    </w:rPr>
                    <w:t>《重金属污染防控单元》防控区域内：涉及铅、铬、镉、汞、砷等重金属污染物排放的相关项目。</w:t>
                  </w:r>
                </w:p>
              </w:tc>
              <w:tc>
                <w:tcPr>
                  <w:tcW w:w="734" w:type="pct"/>
                  <w:tcBorders>
                    <w:top w:val="single" w:color="auto" w:sz="8" w:space="0"/>
                    <w:tl2br w:val="nil"/>
                    <w:tr2bl w:val="nil"/>
                  </w:tcBorders>
                  <w:vAlign w:val="center"/>
                </w:tcPr>
                <w:p>
                  <w:pPr>
                    <w:adjustRightInd w:val="0"/>
                    <w:snapToGrid w:val="0"/>
                    <w:ind w:firstLine="420" w:firstLineChars="200"/>
                    <w:jc w:val="left"/>
                    <w:rPr>
                      <w:rFonts w:eastAsiaTheme="minorEastAsia"/>
                      <w:color w:val="000000"/>
                      <w:szCs w:val="21"/>
                    </w:rPr>
                  </w:pPr>
                  <w:r>
                    <w:rPr>
                      <w:rFonts w:hAnsiTheme="minorEastAsia" w:eastAsiaTheme="minorEastAsia"/>
                      <w:color w:val="000000"/>
                      <w:szCs w:val="21"/>
                    </w:rPr>
                    <w:t>符合环境准入条件</w:t>
                  </w:r>
                </w:p>
              </w:tc>
            </w:tr>
          </w:tbl>
          <w:p>
            <w:pPr>
              <w:pStyle w:val="124"/>
              <w:adjustRightInd w:val="0"/>
              <w:snapToGrid w:val="0"/>
              <w:spacing w:line="440" w:lineRule="exact"/>
              <w:ind w:firstLine="480" w:firstLineChars="200"/>
              <w:rPr>
                <w:rFonts w:eastAsiaTheme="minorEastAsia"/>
                <w:sz w:val="24"/>
              </w:rPr>
            </w:pPr>
            <w:r>
              <w:rPr>
                <w:rFonts w:hAnsiTheme="minorEastAsia" w:eastAsiaTheme="minorEastAsia"/>
                <w:sz w:val="24"/>
              </w:rPr>
              <w:t>由</w:t>
            </w:r>
            <w:r>
              <w:rPr>
                <w:rFonts w:hint="eastAsia" w:hAnsiTheme="minorEastAsia" w:eastAsiaTheme="minorEastAsia"/>
                <w:sz w:val="24"/>
              </w:rPr>
              <w:t>上表</w:t>
            </w:r>
            <w:r>
              <w:rPr>
                <w:rFonts w:hAnsiTheme="minorEastAsia" w:eastAsiaTheme="minorEastAsia"/>
                <w:sz w:val="24"/>
              </w:rPr>
              <w:t>可知，本项目不属于所列不予审批的项目</w:t>
            </w:r>
            <w:r>
              <w:rPr>
                <w:rFonts w:hAnsiTheme="minorEastAsia" w:eastAsiaTheme="minorEastAsia"/>
                <w:color w:val="000000"/>
                <w:sz w:val="24"/>
              </w:rPr>
              <w:t>，符合审批条件。</w:t>
            </w:r>
          </w:p>
          <w:p>
            <w:pPr>
              <w:spacing w:line="440" w:lineRule="exact"/>
              <w:ind w:firstLine="482" w:firstLineChars="200"/>
              <w:jc w:val="left"/>
              <w:rPr>
                <w:b/>
                <w:sz w:val="24"/>
              </w:rPr>
            </w:pPr>
          </w:p>
          <w:p>
            <w:pPr>
              <w:spacing w:line="440" w:lineRule="exact"/>
              <w:ind w:firstLine="482" w:firstLineChars="200"/>
              <w:jc w:val="left"/>
              <w:rPr>
                <w:rFonts w:hint="eastAsia"/>
                <w:b/>
                <w:sz w:val="24"/>
              </w:rPr>
            </w:pPr>
          </w:p>
          <w:p>
            <w:pPr>
              <w:spacing w:line="440" w:lineRule="exact"/>
              <w:ind w:firstLine="482" w:firstLineChars="200"/>
              <w:jc w:val="left"/>
              <w:rPr>
                <w:b/>
                <w:sz w:val="24"/>
              </w:rPr>
            </w:pPr>
            <w:r>
              <w:rPr>
                <w:rFonts w:hint="eastAsia"/>
                <w:b/>
                <w:sz w:val="24"/>
              </w:rPr>
              <w:t>（3）</w:t>
            </w:r>
            <w:r>
              <w:rPr>
                <w:b/>
                <w:sz w:val="24"/>
              </w:rPr>
              <w:t>与《新乡市环境污染防治攻坚战三年行动实施方案（2018-2020年）》的对照分析</w:t>
            </w:r>
            <w:r>
              <w:rPr>
                <w:rFonts w:hint="eastAsia"/>
                <w:b/>
                <w:sz w:val="24"/>
              </w:rPr>
              <w:t>：</w:t>
            </w:r>
          </w:p>
          <w:p>
            <w:pPr>
              <w:adjustRightInd w:val="0"/>
              <w:snapToGrid w:val="0"/>
              <w:spacing w:line="440" w:lineRule="exact"/>
              <w:ind w:firstLine="720" w:firstLineChars="300"/>
              <w:rPr>
                <w:bCs/>
                <w:sz w:val="24"/>
              </w:rPr>
            </w:pPr>
            <w:r>
              <w:rPr>
                <w:rFonts w:eastAsia="黑体"/>
                <w:sz w:val="24"/>
              </w:rPr>
              <w:t>表</w:t>
            </w:r>
            <w:r>
              <w:rPr>
                <w:rFonts w:hint="eastAsia" w:eastAsia="黑体"/>
                <w:sz w:val="24"/>
              </w:rPr>
              <w:t>9</w:t>
            </w:r>
            <w:r>
              <w:rPr>
                <w:rFonts w:eastAsia="黑体"/>
                <w:sz w:val="24"/>
              </w:rPr>
              <w:t xml:space="preserve">           本项目情况与实施方案要求对照一览表</w:t>
            </w:r>
          </w:p>
          <w:tbl>
            <w:tblPr>
              <w:tblStyle w:val="24"/>
              <w:tblW w:w="907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2"/>
              <w:gridCol w:w="5110"/>
              <w:gridCol w:w="1516"/>
              <w:gridCol w:w="113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dxa"/>
                  <w:tcBorders>
                    <w:top w:val="single" w:color="auto" w:sz="8" w:space="0"/>
                    <w:bottom w:val="single" w:color="auto" w:sz="8" w:space="0"/>
                  </w:tcBorders>
                  <w:vAlign w:val="center"/>
                </w:tcPr>
                <w:p>
                  <w:pPr>
                    <w:adjustRightInd w:val="0"/>
                    <w:snapToGrid w:val="0"/>
                    <w:jc w:val="center"/>
                    <w:textAlignment w:val="baseline"/>
                    <w:rPr>
                      <w:b/>
                      <w:color w:val="000000"/>
                      <w:szCs w:val="21"/>
                    </w:rPr>
                  </w:pPr>
                  <w:r>
                    <w:rPr>
                      <w:b/>
                      <w:color w:val="000000"/>
                      <w:szCs w:val="21"/>
                    </w:rPr>
                    <w:t>类别</w:t>
                  </w:r>
                </w:p>
              </w:tc>
              <w:tc>
                <w:tcPr>
                  <w:tcW w:w="5110" w:type="dxa"/>
                  <w:tcBorders>
                    <w:top w:val="single" w:color="auto" w:sz="8" w:space="0"/>
                    <w:bottom w:val="single" w:color="auto" w:sz="8" w:space="0"/>
                  </w:tcBorders>
                  <w:vAlign w:val="center"/>
                </w:tcPr>
                <w:p>
                  <w:pPr>
                    <w:adjustRightInd w:val="0"/>
                    <w:snapToGrid w:val="0"/>
                    <w:jc w:val="center"/>
                    <w:textAlignment w:val="baseline"/>
                    <w:rPr>
                      <w:b/>
                      <w:color w:val="000000"/>
                      <w:szCs w:val="21"/>
                    </w:rPr>
                  </w:pPr>
                  <w:r>
                    <w:rPr>
                      <w:b/>
                      <w:color w:val="000000"/>
                      <w:szCs w:val="21"/>
                    </w:rPr>
                    <w:t>内容</w:t>
                  </w:r>
                </w:p>
              </w:tc>
              <w:tc>
                <w:tcPr>
                  <w:tcW w:w="1516" w:type="dxa"/>
                  <w:tcBorders>
                    <w:top w:val="single" w:color="auto" w:sz="8" w:space="0"/>
                    <w:bottom w:val="single" w:color="auto" w:sz="8" w:space="0"/>
                  </w:tcBorders>
                  <w:vAlign w:val="center"/>
                </w:tcPr>
                <w:p>
                  <w:pPr>
                    <w:adjustRightInd w:val="0"/>
                    <w:snapToGrid w:val="0"/>
                    <w:jc w:val="center"/>
                    <w:textAlignment w:val="baseline"/>
                    <w:rPr>
                      <w:b/>
                      <w:color w:val="000000"/>
                      <w:szCs w:val="21"/>
                    </w:rPr>
                  </w:pPr>
                  <w:r>
                    <w:rPr>
                      <w:b/>
                      <w:color w:val="000000"/>
                      <w:szCs w:val="21"/>
                    </w:rPr>
                    <w:t>本项目情况</w:t>
                  </w:r>
                </w:p>
              </w:tc>
              <w:tc>
                <w:tcPr>
                  <w:tcW w:w="1134" w:type="dxa"/>
                  <w:tcBorders>
                    <w:top w:val="single" w:color="auto" w:sz="8" w:space="0"/>
                    <w:bottom w:val="single" w:color="auto" w:sz="8" w:space="0"/>
                  </w:tcBorders>
                  <w:vAlign w:val="center"/>
                </w:tcPr>
                <w:p>
                  <w:pPr>
                    <w:adjustRightInd w:val="0"/>
                    <w:snapToGrid w:val="0"/>
                    <w:jc w:val="center"/>
                    <w:textAlignment w:val="baseline"/>
                    <w:rPr>
                      <w:b/>
                      <w:color w:val="000000"/>
                      <w:szCs w:val="21"/>
                    </w:rPr>
                  </w:pPr>
                  <w:r>
                    <w:rPr>
                      <w:b/>
                      <w:color w:val="000000"/>
                      <w:szCs w:val="21"/>
                    </w:rPr>
                    <w:t>对比结果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dxa"/>
                  <w:vMerge w:val="restart"/>
                  <w:tcBorders>
                    <w:top w:val="single" w:color="auto" w:sz="8" w:space="0"/>
                  </w:tcBorders>
                  <w:vAlign w:val="center"/>
                </w:tcPr>
                <w:p>
                  <w:pPr>
                    <w:adjustRightInd w:val="0"/>
                    <w:snapToGrid w:val="0"/>
                    <w:jc w:val="center"/>
                    <w:textAlignment w:val="baseline"/>
                    <w:rPr>
                      <w:b/>
                      <w:color w:val="000000"/>
                      <w:szCs w:val="21"/>
                    </w:rPr>
                  </w:pPr>
                  <w:r>
                    <w:rPr>
                      <w:color w:val="000000"/>
                      <w:szCs w:val="21"/>
                    </w:rPr>
                    <w:t>二、坚决打赢蓝天保卫战（二）产业结构优化工程</w:t>
                  </w:r>
                </w:p>
              </w:tc>
              <w:tc>
                <w:tcPr>
                  <w:tcW w:w="5110" w:type="dxa"/>
                  <w:tcBorders>
                    <w:top w:val="single" w:color="auto" w:sz="8" w:space="0"/>
                    <w:bottom w:val="single" w:color="auto" w:sz="4" w:space="0"/>
                  </w:tcBorders>
                  <w:vAlign w:val="center"/>
                </w:tcPr>
                <w:p>
                  <w:pPr>
                    <w:adjustRightInd w:val="0"/>
                    <w:snapToGrid w:val="0"/>
                    <w:ind w:firstLine="420" w:firstLineChars="200"/>
                    <w:jc w:val="left"/>
                    <w:textAlignment w:val="baseline"/>
                    <w:rPr>
                      <w:b/>
                      <w:color w:val="000000"/>
                      <w:szCs w:val="21"/>
                    </w:rPr>
                  </w:pPr>
                  <w:r>
                    <w:rPr>
                      <w:rFonts w:hint="eastAsia"/>
                      <w:szCs w:val="21"/>
                    </w:rPr>
                    <w:t>9、</w:t>
                  </w:r>
                  <w:r>
                    <w:rPr>
                      <w:szCs w:val="21"/>
                    </w:rPr>
                    <w:t>严格环境准入门槛：禁止火电、焦化、铸造、传统煤化工 （甲醇、合成氨）、电解铝、水泥和平板玻璃等行业新建、扩建单纯新增产能（搬迁升级改造项目除外）以及耐火材料、陶瓷等行业新建、扩建以煤炭为燃料的项目和企业，积极推行区域、规划环境影响评价，对搬迁升级改造石化、化工、建材、有色等项目的环境影响评价，应满足区域、规划环评要求。对水泥行业不再实施省内产能置换。对本地过剩产能</w:t>
                  </w:r>
                  <w:r>
                    <w:rPr>
                      <w:rFonts w:hint="eastAsia"/>
                      <w:szCs w:val="21"/>
                    </w:rPr>
                    <w:t xml:space="preserve"> </w:t>
                  </w:r>
                  <w:r>
                    <w:rPr>
                      <w:szCs w:val="21"/>
                    </w:rPr>
                    <w:t>重点行业搬迁、改建项目，实行污染物排放倍量削减替代，其他行业搬迁项目污染物排放量削减比例不低于 1.5:1，并将替代方案落实到企业排污许可证中，纳入环境执法管理。</w:t>
                  </w:r>
                </w:p>
              </w:tc>
              <w:tc>
                <w:tcPr>
                  <w:tcW w:w="1516" w:type="dxa"/>
                  <w:tcBorders>
                    <w:top w:val="single" w:color="auto" w:sz="8" w:space="0"/>
                    <w:bottom w:val="single" w:color="auto" w:sz="4" w:space="0"/>
                  </w:tcBorders>
                  <w:vAlign w:val="center"/>
                </w:tcPr>
                <w:p>
                  <w:pPr>
                    <w:adjustRightInd w:val="0"/>
                    <w:snapToGrid w:val="0"/>
                    <w:ind w:firstLine="420" w:firstLineChars="200"/>
                    <w:jc w:val="left"/>
                    <w:rPr>
                      <w:b/>
                      <w:color w:val="000000"/>
                      <w:szCs w:val="21"/>
                    </w:rPr>
                  </w:pPr>
                  <w:r>
                    <w:rPr>
                      <w:kern w:val="21"/>
                      <w:szCs w:val="21"/>
                    </w:rPr>
                    <w:t>本项目属于</w:t>
                  </w:r>
                  <w:r>
                    <w:rPr>
                      <w:rFonts w:hint="eastAsia"/>
                      <w:kern w:val="21"/>
                      <w:szCs w:val="21"/>
                    </w:rPr>
                    <w:t>通用设备制造</w:t>
                  </w:r>
                  <w:r>
                    <w:rPr>
                      <w:kern w:val="21"/>
                      <w:szCs w:val="21"/>
                    </w:rPr>
                    <w:t>，不属于过剩产能行业</w:t>
                  </w:r>
                  <w:r>
                    <w:rPr>
                      <w:rFonts w:hint="eastAsia"/>
                      <w:kern w:val="21"/>
                      <w:szCs w:val="21"/>
                    </w:rPr>
                    <w:t>。</w:t>
                  </w:r>
                </w:p>
              </w:tc>
              <w:tc>
                <w:tcPr>
                  <w:tcW w:w="1134" w:type="dxa"/>
                  <w:tcBorders>
                    <w:top w:val="single" w:color="auto" w:sz="8" w:space="0"/>
                    <w:bottom w:val="single" w:color="auto" w:sz="4" w:space="0"/>
                  </w:tcBorders>
                  <w:vAlign w:val="center"/>
                </w:tcPr>
                <w:p>
                  <w:pPr>
                    <w:adjustRightInd w:val="0"/>
                    <w:snapToGrid w:val="0"/>
                    <w:jc w:val="center"/>
                    <w:textAlignment w:val="baseline"/>
                    <w:rPr>
                      <w:color w:val="000000"/>
                      <w:szCs w:val="21"/>
                    </w:rPr>
                  </w:pPr>
                  <w:r>
                    <w:rPr>
                      <w:rFonts w:hint="eastAsia"/>
                      <w:color w:val="000000"/>
                      <w:szCs w:val="21"/>
                    </w:rPr>
                    <w:t>不涉及</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dxa"/>
                  <w:vMerge w:val="continue"/>
                  <w:tcBorders>
                    <w:bottom w:val="single" w:color="auto" w:sz="4" w:space="0"/>
                  </w:tcBorders>
                  <w:vAlign w:val="center"/>
                </w:tcPr>
                <w:p>
                  <w:pPr>
                    <w:adjustRightInd w:val="0"/>
                    <w:snapToGrid w:val="0"/>
                    <w:jc w:val="center"/>
                    <w:textAlignment w:val="baseline"/>
                    <w:rPr>
                      <w:color w:val="000000"/>
                      <w:szCs w:val="21"/>
                    </w:rPr>
                  </w:pPr>
                </w:p>
              </w:tc>
              <w:tc>
                <w:tcPr>
                  <w:tcW w:w="5110" w:type="dxa"/>
                  <w:tcBorders>
                    <w:top w:val="single" w:color="auto" w:sz="4" w:space="0"/>
                    <w:bottom w:val="single" w:color="auto" w:sz="4" w:space="0"/>
                  </w:tcBorders>
                  <w:vAlign w:val="center"/>
                </w:tcPr>
                <w:p>
                  <w:pPr>
                    <w:adjustRightInd w:val="0"/>
                    <w:snapToGrid w:val="0"/>
                    <w:jc w:val="left"/>
                    <w:textAlignment w:val="baseline"/>
                    <w:rPr>
                      <w:color w:val="000000"/>
                      <w:szCs w:val="21"/>
                    </w:rPr>
                  </w:pPr>
                  <w:r>
                    <w:rPr>
                      <w:rFonts w:hint="eastAsia"/>
                      <w:color w:val="000000"/>
                      <w:szCs w:val="21"/>
                    </w:rPr>
                    <w:t xml:space="preserve">    10、</w:t>
                  </w:r>
                  <w:r>
                    <w:rPr>
                      <w:color w:val="000000"/>
                      <w:szCs w:val="21"/>
                    </w:rPr>
                    <w:t>加快化解过剩产能：加大落后产能淘汰和过剩产能压减力度。全面贯彻落实国家、省更新的《产业结构调整指导目录》和过剩产能淘汰标准，严格执行质量、环保、能耗、安全等法规标准，全面淘汰不达标的落后、过剩产能和企业，以水泥、砖瓦、耐火材料、化工、炭素等行业为重点加大落后产能淘汰和过剩产能压减力度。严防“地条钢”等已完成淘汰的行业企业死灰复燃。</w:t>
                  </w:r>
                </w:p>
              </w:tc>
              <w:tc>
                <w:tcPr>
                  <w:tcW w:w="1516" w:type="dxa"/>
                  <w:tcBorders>
                    <w:top w:val="single" w:color="auto" w:sz="4" w:space="0"/>
                    <w:bottom w:val="single" w:color="auto" w:sz="4" w:space="0"/>
                  </w:tcBorders>
                  <w:vAlign w:val="center"/>
                </w:tcPr>
                <w:p>
                  <w:pPr>
                    <w:adjustRightInd w:val="0"/>
                    <w:snapToGrid w:val="0"/>
                    <w:ind w:firstLine="420" w:firstLineChars="200"/>
                    <w:jc w:val="left"/>
                    <w:textAlignment w:val="baseline"/>
                    <w:rPr>
                      <w:color w:val="000000"/>
                      <w:szCs w:val="21"/>
                    </w:rPr>
                  </w:pPr>
                  <w:r>
                    <w:rPr>
                      <w:color w:val="000000"/>
                      <w:szCs w:val="21"/>
                    </w:rPr>
                    <w:t>本项目属于《产业结构调整指导目录》中的允许类项目。</w:t>
                  </w:r>
                </w:p>
              </w:tc>
              <w:tc>
                <w:tcPr>
                  <w:tcW w:w="1134" w:type="dxa"/>
                  <w:tcBorders>
                    <w:top w:val="single" w:color="auto" w:sz="4" w:space="0"/>
                    <w:bottom w:val="single" w:color="auto" w:sz="4" w:space="0"/>
                  </w:tcBorders>
                  <w:vAlign w:val="center"/>
                </w:tcPr>
                <w:p>
                  <w:pPr>
                    <w:adjustRightInd w:val="0"/>
                    <w:snapToGrid w:val="0"/>
                    <w:jc w:val="center"/>
                    <w:textAlignment w:val="baseline"/>
                    <w:rPr>
                      <w:color w:val="000000"/>
                      <w:szCs w:val="21"/>
                    </w:rPr>
                  </w:pPr>
                  <w:r>
                    <w:rPr>
                      <w:color w:val="000000"/>
                      <w:szCs w:val="21"/>
                    </w:rPr>
                    <w:t>不涉及</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dxa"/>
                  <w:tcBorders>
                    <w:bottom w:val="single" w:color="auto" w:sz="4" w:space="0"/>
                  </w:tcBorders>
                  <w:vAlign w:val="center"/>
                </w:tcPr>
                <w:p>
                  <w:pPr>
                    <w:adjustRightInd w:val="0"/>
                    <w:snapToGrid w:val="0"/>
                    <w:jc w:val="center"/>
                    <w:textAlignment w:val="baseline"/>
                    <w:rPr>
                      <w:color w:val="000000"/>
                      <w:szCs w:val="21"/>
                    </w:rPr>
                  </w:pPr>
                  <w:r>
                    <w:rPr>
                      <w:color w:val="000000"/>
                      <w:szCs w:val="21"/>
                    </w:rPr>
                    <w:t>三、全面打好碧水保卫战（二）打好工业企业水污染防治攻坚战役。</w:t>
                  </w:r>
                </w:p>
              </w:tc>
              <w:tc>
                <w:tcPr>
                  <w:tcW w:w="5110" w:type="dxa"/>
                  <w:tcBorders>
                    <w:top w:val="single" w:color="auto" w:sz="4" w:space="0"/>
                    <w:bottom w:val="single" w:color="auto" w:sz="4" w:space="0"/>
                  </w:tcBorders>
                  <w:vAlign w:val="center"/>
                </w:tcPr>
                <w:p>
                  <w:pPr>
                    <w:adjustRightInd w:val="0"/>
                    <w:snapToGrid w:val="0"/>
                    <w:ind w:firstLine="420" w:firstLineChars="200"/>
                    <w:jc w:val="left"/>
                    <w:textAlignment w:val="baseline"/>
                    <w:rPr>
                      <w:color w:val="000000"/>
                      <w:szCs w:val="21"/>
                    </w:rPr>
                  </w:pPr>
                  <w:r>
                    <w:rPr>
                      <w:rFonts w:hint="eastAsia"/>
                      <w:color w:val="000000"/>
                      <w:szCs w:val="21"/>
                    </w:rPr>
                    <w:t>2、</w:t>
                  </w:r>
                  <w:r>
                    <w:rPr>
                      <w:color w:val="000000"/>
                      <w:szCs w:val="21"/>
                    </w:rPr>
                    <w:t>严格依法达标排污。从2018年起，所有工业企业要在排放废水达标的基础上，全面落实排污许可证管理制度，切实做到主要污染物排放总量达标，凡已经达到排污许可证规定的年度排污总量指标的，本年度不得再行生产和排污。</w:t>
                  </w:r>
                </w:p>
              </w:tc>
              <w:tc>
                <w:tcPr>
                  <w:tcW w:w="1516" w:type="dxa"/>
                  <w:tcBorders>
                    <w:top w:val="single" w:color="auto" w:sz="4" w:space="0"/>
                    <w:bottom w:val="single" w:color="auto" w:sz="4" w:space="0"/>
                  </w:tcBorders>
                  <w:vAlign w:val="center"/>
                </w:tcPr>
                <w:p>
                  <w:pPr>
                    <w:adjustRightInd w:val="0"/>
                    <w:snapToGrid w:val="0"/>
                    <w:ind w:firstLine="420" w:firstLineChars="200"/>
                    <w:jc w:val="left"/>
                    <w:textAlignment w:val="baseline"/>
                    <w:rPr>
                      <w:szCs w:val="21"/>
                    </w:rPr>
                  </w:pPr>
                  <w:r>
                    <w:rPr>
                      <w:color w:val="000000"/>
                      <w:szCs w:val="21"/>
                    </w:rPr>
                    <w:t>按照管理部门要求办理排污许可证。</w:t>
                  </w:r>
                </w:p>
              </w:tc>
              <w:tc>
                <w:tcPr>
                  <w:tcW w:w="1134" w:type="dxa"/>
                  <w:tcBorders>
                    <w:top w:val="single" w:color="auto" w:sz="4" w:space="0"/>
                    <w:bottom w:val="single" w:color="auto" w:sz="4" w:space="0"/>
                  </w:tcBorders>
                  <w:vAlign w:val="center"/>
                </w:tcPr>
                <w:p>
                  <w:pPr>
                    <w:adjustRightInd w:val="0"/>
                    <w:snapToGrid w:val="0"/>
                    <w:jc w:val="center"/>
                    <w:textAlignment w:val="baseline"/>
                    <w:rPr>
                      <w:color w:val="000000"/>
                      <w:szCs w:val="21"/>
                    </w:rPr>
                  </w:pPr>
                  <w:r>
                    <w:rPr>
                      <w:color w:val="000000"/>
                      <w:szCs w:val="21"/>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dxa"/>
                  <w:tcBorders>
                    <w:bottom w:val="single" w:color="auto" w:sz="8" w:space="0"/>
                  </w:tcBorders>
                  <w:vAlign w:val="center"/>
                </w:tcPr>
                <w:p>
                  <w:pPr>
                    <w:adjustRightInd w:val="0"/>
                    <w:snapToGrid w:val="0"/>
                    <w:jc w:val="center"/>
                    <w:textAlignment w:val="baseline"/>
                    <w:rPr>
                      <w:color w:val="000000"/>
                      <w:szCs w:val="21"/>
                    </w:rPr>
                  </w:pPr>
                  <w:r>
                    <w:rPr>
                      <w:color w:val="000000"/>
                      <w:szCs w:val="21"/>
                    </w:rPr>
                    <w:t>四、扎实推荐净土保卫战（三）加强土壤污染源头管控，预防土壤环境污染11.</w:t>
                  </w:r>
                  <w:r>
                    <w:rPr>
                      <w:szCs w:val="21"/>
                    </w:rPr>
                    <w:t xml:space="preserve"> </w:t>
                  </w:r>
                  <w:r>
                    <w:rPr>
                      <w:color w:val="000000"/>
                      <w:szCs w:val="21"/>
                    </w:rPr>
                    <w:t>深化重金属污染防治监管和重点区域综合整治</w:t>
                  </w:r>
                </w:p>
              </w:tc>
              <w:tc>
                <w:tcPr>
                  <w:tcW w:w="5110" w:type="dxa"/>
                  <w:tcBorders>
                    <w:bottom w:val="single" w:color="auto" w:sz="8" w:space="0"/>
                  </w:tcBorders>
                  <w:vAlign w:val="center"/>
                </w:tcPr>
                <w:p>
                  <w:pPr>
                    <w:adjustRightInd w:val="0"/>
                    <w:snapToGrid w:val="0"/>
                    <w:ind w:firstLine="420" w:firstLineChars="200"/>
                    <w:jc w:val="left"/>
                    <w:textAlignment w:val="baseline"/>
                    <w:rPr>
                      <w:color w:val="000000"/>
                      <w:szCs w:val="21"/>
                    </w:rPr>
                  </w:pPr>
                  <w:r>
                    <w:rPr>
                      <w:rFonts w:hint="eastAsia"/>
                      <w:color w:val="000000"/>
                      <w:szCs w:val="21"/>
                    </w:rPr>
                    <w:t>3、</w:t>
                  </w:r>
                  <w:r>
                    <w:rPr>
                      <w:color w:val="000000"/>
                      <w:szCs w:val="21"/>
                    </w:rPr>
                    <w:t>加强涉镉等重金属企业排查整治和环境监管，对废水废气处理设施逐步进行升级改造，切断镉等重金属污染物进入农田的途径，限制含重金属工业废水进入城市生活污水处理厂，对不能稳定达标排放的，依法进行停产治理或关闭；全面提升涉重金属排放行业企业清洁生产水平，减少重金属污染物产生，降低重金属排放量；开展含重金属废渣等大宗固体废物资源化利用和关闭、破产企业遗留危险废物无害化处理处置；加强污水处理厂污泥重金属监测处置；严格控制新建涉镉等重点重金属排放的建设项目，坚决落实重点行业重点重金属排放等量置换或减量置换，不满足重金属排放总量控制要求的建设项目不予审批。</w:t>
                  </w:r>
                </w:p>
              </w:tc>
              <w:tc>
                <w:tcPr>
                  <w:tcW w:w="1516" w:type="dxa"/>
                  <w:tcBorders>
                    <w:bottom w:val="single" w:color="auto" w:sz="8" w:space="0"/>
                  </w:tcBorders>
                  <w:vAlign w:val="center"/>
                </w:tcPr>
                <w:p>
                  <w:pPr>
                    <w:adjustRightInd w:val="0"/>
                    <w:snapToGrid w:val="0"/>
                    <w:ind w:firstLine="420" w:firstLineChars="200"/>
                    <w:jc w:val="left"/>
                    <w:textAlignment w:val="baseline"/>
                    <w:rPr>
                      <w:color w:val="000000"/>
                      <w:szCs w:val="21"/>
                    </w:rPr>
                  </w:pPr>
                  <w:r>
                    <w:rPr>
                      <w:color w:val="000000"/>
                      <w:szCs w:val="21"/>
                    </w:rPr>
                    <w:t>本项目不涉及镉等重金属，不会对环境造成重金属污染。</w:t>
                  </w:r>
                </w:p>
              </w:tc>
              <w:tc>
                <w:tcPr>
                  <w:tcW w:w="1134" w:type="dxa"/>
                  <w:tcBorders>
                    <w:bottom w:val="single" w:color="auto" w:sz="8" w:space="0"/>
                  </w:tcBorders>
                  <w:vAlign w:val="center"/>
                </w:tcPr>
                <w:p>
                  <w:pPr>
                    <w:adjustRightInd w:val="0"/>
                    <w:snapToGrid w:val="0"/>
                    <w:jc w:val="center"/>
                    <w:textAlignment w:val="baseline"/>
                    <w:rPr>
                      <w:color w:val="000000"/>
                      <w:szCs w:val="21"/>
                    </w:rPr>
                  </w:pPr>
                  <w:r>
                    <w:rPr>
                      <w:color w:val="000000"/>
                      <w:szCs w:val="21"/>
                    </w:rPr>
                    <w:t>不涉及</w:t>
                  </w:r>
                </w:p>
              </w:tc>
            </w:tr>
          </w:tbl>
          <w:p>
            <w:pPr>
              <w:spacing w:line="440" w:lineRule="exact"/>
              <w:ind w:firstLine="480" w:firstLineChars="200"/>
              <w:rPr>
                <w:sz w:val="24"/>
                <w:highlight w:val="yellow"/>
              </w:rPr>
            </w:pPr>
            <w:r>
              <w:rPr>
                <w:bCs/>
                <w:sz w:val="24"/>
              </w:rPr>
              <w:t>由</w:t>
            </w:r>
            <w:r>
              <w:rPr>
                <w:rFonts w:hint="eastAsia"/>
                <w:bCs/>
                <w:sz w:val="24"/>
              </w:rPr>
              <w:t>上</w:t>
            </w:r>
            <w:r>
              <w:rPr>
                <w:bCs/>
                <w:sz w:val="24"/>
              </w:rPr>
              <w:t>表可知，本项目符合</w:t>
            </w:r>
            <w:r>
              <w:rPr>
                <w:sz w:val="24"/>
              </w:rPr>
              <w:t>《新乡市环境污染防治攻坚战三年行动实施方案（2018—2020 年）》的相关</w:t>
            </w:r>
            <w:r>
              <w:rPr>
                <w:bCs/>
                <w:sz w:val="24"/>
              </w:rPr>
              <w:t>要求。</w:t>
            </w:r>
          </w:p>
          <w:p>
            <w:pPr>
              <w:spacing w:line="440" w:lineRule="exact"/>
              <w:ind w:firstLine="482" w:firstLineChars="200"/>
              <w:jc w:val="left"/>
              <w:rPr>
                <w:color w:val="000000"/>
                <w:sz w:val="24"/>
              </w:rPr>
            </w:pPr>
            <w:r>
              <w:rPr>
                <w:rFonts w:hint="eastAsia"/>
                <w:b/>
                <w:bCs/>
                <w:sz w:val="24"/>
                <w:szCs w:val="20"/>
              </w:rPr>
              <w:t>（4）</w:t>
            </w:r>
            <w:r>
              <w:rPr>
                <w:b/>
                <w:bCs/>
                <w:sz w:val="24"/>
                <w:lang w:val="pt-BR"/>
              </w:rPr>
              <w:t>本项目与《</w:t>
            </w:r>
            <w:r>
              <w:rPr>
                <w:b/>
                <w:bCs/>
                <w:color w:val="000000"/>
                <w:sz w:val="24"/>
              </w:rPr>
              <w:t>新乡市2020年大气污染防治攻坚战实施方案</w:t>
            </w:r>
            <w:r>
              <w:rPr>
                <w:b/>
                <w:bCs/>
                <w:sz w:val="24"/>
                <w:lang w:val="pt-BR"/>
              </w:rPr>
              <w:t>》</w:t>
            </w:r>
            <w:r>
              <w:rPr>
                <w:b/>
                <w:bCs/>
                <w:color w:val="000000"/>
                <w:sz w:val="24"/>
                <w:szCs w:val="20"/>
              </w:rPr>
              <w:t>（新环攻坚办〔2020〕10号）</w:t>
            </w:r>
            <w:r>
              <w:rPr>
                <w:b/>
                <w:bCs/>
                <w:sz w:val="24"/>
                <w:lang w:val="pt-BR"/>
              </w:rPr>
              <w:t>的</w:t>
            </w:r>
            <w:r>
              <w:rPr>
                <w:b/>
                <w:bCs/>
                <w:color w:val="000000"/>
                <w:sz w:val="24"/>
              </w:rPr>
              <w:t>相关内容对比情况见</w:t>
            </w:r>
            <w:r>
              <w:rPr>
                <w:rFonts w:hint="eastAsia"/>
                <w:b/>
                <w:bCs/>
                <w:color w:val="000000"/>
                <w:sz w:val="24"/>
              </w:rPr>
              <w:t>下</w:t>
            </w:r>
            <w:r>
              <w:rPr>
                <w:b/>
                <w:bCs/>
                <w:color w:val="000000"/>
                <w:sz w:val="24"/>
              </w:rPr>
              <w:t>表</w:t>
            </w:r>
            <w:r>
              <w:rPr>
                <w:rFonts w:hint="eastAsia"/>
                <w:b/>
                <w:bCs/>
                <w:color w:val="000000"/>
                <w:sz w:val="24"/>
              </w:rPr>
              <w:t>：</w:t>
            </w:r>
          </w:p>
          <w:p>
            <w:pPr>
              <w:spacing w:line="440" w:lineRule="exact"/>
              <w:ind w:firstLine="480" w:firstLineChars="200"/>
              <w:rPr>
                <w:rFonts w:eastAsia="黑体"/>
                <w:bCs/>
                <w:sz w:val="24"/>
                <w:szCs w:val="22"/>
                <w:lang w:val="pt-BR"/>
              </w:rPr>
            </w:pPr>
          </w:p>
          <w:p>
            <w:pPr>
              <w:spacing w:line="440" w:lineRule="exact"/>
              <w:ind w:firstLine="480" w:firstLineChars="200"/>
              <w:rPr>
                <w:b/>
                <w:bCs/>
                <w:color w:val="000000"/>
                <w:sz w:val="24"/>
              </w:rPr>
            </w:pPr>
            <w:r>
              <w:rPr>
                <w:rFonts w:eastAsia="黑体"/>
                <w:bCs/>
                <w:sz w:val="24"/>
                <w:szCs w:val="22"/>
                <w:lang w:val="pt-BR"/>
              </w:rPr>
              <w:t>表</w:t>
            </w:r>
            <w:r>
              <w:rPr>
                <w:rFonts w:eastAsia="黑体"/>
                <w:bCs/>
                <w:sz w:val="24"/>
                <w:szCs w:val="22"/>
              </w:rPr>
              <w:t>1</w:t>
            </w:r>
            <w:r>
              <w:rPr>
                <w:rFonts w:hint="eastAsia" w:eastAsia="黑体"/>
                <w:bCs/>
                <w:sz w:val="24"/>
                <w:szCs w:val="22"/>
              </w:rPr>
              <w:t>0</w:t>
            </w:r>
            <w:r>
              <w:rPr>
                <w:rFonts w:eastAsia="黑体"/>
                <w:bCs/>
                <w:sz w:val="24"/>
                <w:szCs w:val="22"/>
                <w:lang w:val="pt-BR"/>
              </w:rPr>
              <w:t xml:space="preserve">              </w:t>
            </w:r>
            <w:r>
              <w:rPr>
                <w:b/>
                <w:bCs/>
                <w:color w:val="000000"/>
                <w:sz w:val="24"/>
              </w:rPr>
              <w:t>与新环攻坚办〔2020〕10号文的对照分析</w:t>
            </w:r>
          </w:p>
          <w:tbl>
            <w:tblPr>
              <w:tblStyle w:val="24"/>
              <w:tblW w:w="9071" w:type="dxa"/>
              <w:jc w:val="center"/>
              <w:tblBorders>
                <w:top w:val="single" w:color="auto" w:sz="8" w:space="0"/>
                <w:left w:val="none" w:color="auto" w:sz="0" w:space="0"/>
                <w:bottom w:val="single" w:color="auto" w:sz="8" w:space="0"/>
                <w:right w:val="none" w:color="auto" w:sz="0" w:space="0"/>
                <w:insideH w:val="none" w:color="auto" w:sz="0" w:space="0"/>
                <w:insideV w:val="single" w:color="auto" w:sz="4" w:space="0"/>
              </w:tblBorders>
              <w:tblLayout w:type="autofit"/>
              <w:tblCellMar>
                <w:top w:w="0" w:type="dxa"/>
                <w:left w:w="108" w:type="dxa"/>
                <w:bottom w:w="0" w:type="dxa"/>
                <w:right w:w="108" w:type="dxa"/>
              </w:tblCellMar>
            </w:tblPr>
            <w:tblGrid>
              <w:gridCol w:w="954"/>
              <w:gridCol w:w="4890"/>
              <w:gridCol w:w="2360"/>
              <w:gridCol w:w="867"/>
            </w:tblGrid>
            <w:tr>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tblHeader/>
                <w:jc w:val="center"/>
              </w:trPr>
              <w:tc>
                <w:tcPr>
                  <w:tcW w:w="5844" w:type="dxa"/>
                  <w:gridSpan w:val="2"/>
                  <w:tcBorders>
                    <w:bottom w:val="single" w:color="auto" w:sz="8" w:space="0"/>
                  </w:tcBorders>
                  <w:noWrap/>
                  <w:vAlign w:val="center"/>
                </w:tcPr>
                <w:p>
                  <w:pPr>
                    <w:adjustRightInd w:val="0"/>
                    <w:snapToGrid w:val="0"/>
                    <w:jc w:val="center"/>
                    <w:rPr>
                      <w:b/>
                      <w:bCs/>
                      <w:color w:val="000000"/>
                      <w:szCs w:val="21"/>
                    </w:rPr>
                  </w:pPr>
                  <w:r>
                    <w:rPr>
                      <w:b/>
                      <w:bCs/>
                      <w:color w:val="000000"/>
                      <w:szCs w:val="21"/>
                    </w:rPr>
                    <w:t>《通知》中与本项目有关的内容</w:t>
                  </w:r>
                </w:p>
              </w:tc>
              <w:tc>
                <w:tcPr>
                  <w:tcW w:w="2360" w:type="dxa"/>
                  <w:tcBorders>
                    <w:bottom w:val="single" w:color="auto" w:sz="8" w:space="0"/>
                  </w:tcBorders>
                  <w:noWrap/>
                  <w:vAlign w:val="center"/>
                </w:tcPr>
                <w:p>
                  <w:pPr>
                    <w:adjustRightInd w:val="0"/>
                    <w:snapToGrid w:val="0"/>
                    <w:jc w:val="center"/>
                    <w:rPr>
                      <w:b/>
                      <w:bCs/>
                      <w:color w:val="000000"/>
                      <w:szCs w:val="21"/>
                    </w:rPr>
                  </w:pPr>
                  <w:r>
                    <w:rPr>
                      <w:b/>
                      <w:bCs/>
                      <w:color w:val="000000"/>
                      <w:szCs w:val="21"/>
                    </w:rPr>
                    <w:t>本项目情况</w:t>
                  </w:r>
                </w:p>
              </w:tc>
              <w:tc>
                <w:tcPr>
                  <w:tcW w:w="867" w:type="dxa"/>
                  <w:tcBorders>
                    <w:bottom w:val="single" w:color="auto" w:sz="8" w:space="0"/>
                  </w:tcBorders>
                  <w:noWrap/>
                  <w:vAlign w:val="center"/>
                </w:tcPr>
                <w:p>
                  <w:pPr>
                    <w:adjustRightInd w:val="0"/>
                    <w:snapToGrid w:val="0"/>
                    <w:jc w:val="center"/>
                    <w:rPr>
                      <w:b/>
                      <w:bCs/>
                      <w:color w:val="000000"/>
                      <w:szCs w:val="21"/>
                    </w:rPr>
                  </w:pPr>
                  <w:r>
                    <w:rPr>
                      <w:b/>
                      <w:bCs/>
                      <w:color w:val="000000"/>
                      <w:szCs w:val="21"/>
                    </w:rPr>
                    <w:t>相符性</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954" w:type="dxa"/>
                  <w:vMerge w:val="restart"/>
                  <w:tcBorders>
                    <w:top w:val="single" w:color="auto" w:sz="8" w:space="0"/>
                    <w:bottom w:val="single" w:color="auto" w:sz="4" w:space="0"/>
                  </w:tcBorders>
                  <w:noWrap/>
                  <w:vAlign w:val="center"/>
                </w:tcPr>
                <w:p>
                  <w:pPr>
                    <w:adjustRightInd w:val="0"/>
                    <w:snapToGrid w:val="0"/>
                    <w:jc w:val="center"/>
                    <w:rPr>
                      <w:color w:val="000000"/>
                      <w:szCs w:val="21"/>
                    </w:rPr>
                  </w:pPr>
                  <w:r>
                    <w:rPr>
                      <w:color w:val="000000"/>
                      <w:szCs w:val="21"/>
                    </w:rPr>
                    <w:t>（一）持续调整优化产业结构</w:t>
                  </w:r>
                </w:p>
              </w:tc>
              <w:tc>
                <w:tcPr>
                  <w:tcW w:w="4890" w:type="dxa"/>
                  <w:tcBorders>
                    <w:top w:val="single" w:color="auto" w:sz="8" w:space="0"/>
                    <w:bottom w:val="single" w:color="auto" w:sz="4" w:space="0"/>
                  </w:tcBorders>
                  <w:noWrap/>
                  <w:vAlign w:val="center"/>
                </w:tcPr>
                <w:p>
                  <w:pPr>
                    <w:adjustRightInd w:val="0"/>
                    <w:snapToGrid w:val="0"/>
                    <w:ind w:firstLine="420" w:firstLineChars="200"/>
                    <w:jc w:val="left"/>
                    <w:rPr>
                      <w:color w:val="000000"/>
                      <w:szCs w:val="21"/>
                    </w:rPr>
                  </w:pPr>
                  <w:r>
                    <w:rPr>
                      <w:rFonts w:hint="eastAsia"/>
                      <w:color w:val="000000"/>
                      <w:szCs w:val="21"/>
                    </w:rPr>
                    <w:t>5、</w:t>
                  </w:r>
                  <w:r>
                    <w:rPr>
                      <w:color w:val="000000"/>
                      <w:szCs w:val="21"/>
                    </w:rPr>
                    <w:t>严格新建项目准入管理</w:t>
                  </w:r>
                </w:p>
                <w:p>
                  <w:pPr>
                    <w:adjustRightInd w:val="0"/>
                    <w:snapToGrid w:val="0"/>
                    <w:ind w:firstLine="420" w:firstLineChars="200"/>
                    <w:rPr>
                      <w:color w:val="000000"/>
                      <w:szCs w:val="21"/>
                    </w:rPr>
                  </w:pPr>
                  <w:r>
                    <w:rPr>
                      <w:color w:val="000000"/>
                      <w:szCs w:val="21"/>
                    </w:rPr>
                    <w:t>加强区域、流域规划环评管理，强化对项目环评的指导和约束，逐步构建起“三线一单”为空间管控基础、项目环评为环境准入把关、排污许可为企业运行守法依据的管理新框架，从源头预防环境污染和生态破坏。全省原则上禁止新增钢铁、电解铝、水泥、平板玻璃、传统煤化工（甲醇、合成氨）、焦化、铸造、铝用炭素、砖瓦窑、耐火材料等行业产能，原则上禁止新建燃料类煤气发生炉和35蒸吨/时及以下燃煤锅炉。对钢铁、水泥、电解铝、玻璃等行业严格落实国家、省有关产能置换规定，新建涉工业炉窑的建设项目，应进入园区，配套建设高效环保治理设施。</w:t>
                  </w:r>
                </w:p>
              </w:tc>
              <w:tc>
                <w:tcPr>
                  <w:tcW w:w="2360" w:type="dxa"/>
                  <w:tcBorders>
                    <w:top w:val="single" w:color="auto" w:sz="8" w:space="0"/>
                    <w:bottom w:val="single" w:color="auto" w:sz="4" w:space="0"/>
                  </w:tcBorders>
                  <w:noWrap/>
                  <w:vAlign w:val="center"/>
                </w:tcPr>
                <w:p>
                  <w:pPr>
                    <w:adjustRightInd w:val="0"/>
                    <w:snapToGrid w:val="0"/>
                    <w:ind w:firstLine="420" w:firstLineChars="200"/>
                    <w:jc w:val="left"/>
                    <w:rPr>
                      <w:kern w:val="0"/>
                      <w:szCs w:val="21"/>
                    </w:rPr>
                  </w:pPr>
                  <w:r>
                    <w:rPr>
                      <w:kern w:val="0"/>
                      <w:szCs w:val="21"/>
                    </w:rPr>
                    <w:t>本项目</w:t>
                  </w:r>
                  <w:r>
                    <w:rPr>
                      <w:rFonts w:hint="eastAsia"/>
                      <w:kern w:val="0"/>
                      <w:szCs w:val="21"/>
                      <w:lang w:eastAsia="zh-CN"/>
                    </w:rPr>
                    <w:t>属于</w:t>
                  </w:r>
                  <w:r>
                    <w:rPr>
                      <w:rFonts w:hint="eastAsia"/>
                      <w:color w:val="000000"/>
                      <w:szCs w:val="21"/>
                    </w:rPr>
                    <w:t>通用设备制造业</w:t>
                  </w:r>
                  <w:r>
                    <w:rPr>
                      <w:kern w:val="0"/>
                      <w:szCs w:val="21"/>
                    </w:rPr>
                    <w:t>，主要产品为</w:t>
                  </w:r>
                  <w:r>
                    <w:rPr>
                      <w:rFonts w:hint="eastAsia"/>
                      <w:kern w:val="0"/>
                      <w:szCs w:val="21"/>
                    </w:rPr>
                    <w:t>铁钉，</w:t>
                  </w:r>
                  <w:r>
                    <w:rPr>
                      <w:kern w:val="0"/>
                      <w:szCs w:val="21"/>
                    </w:rPr>
                    <w:t>不属于禁止新增企业，不设锅炉、炉窑，不属于</w:t>
                  </w:r>
                  <w:r>
                    <w:rPr>
                      <w:color w:val="000000"/>
                      <w:szCs w:val="21"/>
                    </w:rPr>
                    <w:t>钢铁、水泥、电解铝、玻璃等行业。</w:t>
                  </w:r>
                </w:p>
              </w:tc>
              <w:tc>
                <w:tcPr>
                  <w:tcW w:w="867" w:type="dxa"/>
                  <w:tcBorders>
                    <w:top w:val="single" w:color="auto" w:sz="8" w:space="0"/>
                    <w:bottom w:val="single" w:color="auto" w:sz="4" w:space="0"/>
                  </w:tcBorders>
                  <w:noWrap/>
                  <w:vAlign w:val="center"/>
                </w:tcPr>
                <w:p>
                  <w:pPr>
                    <w:adjustRightInd w:val="0"/>
                    <w:snapToGrid w:val="0"/>
                    <w:jc w:val="center"/>
                    <w:rPr>
                      <w:color w:val="000000"/>
                      <w:szCs w:val="21"/>
                    </w:rPr>
                  </w:pPr>
                </w:p>
                <w:p>
                  <w:pPr>
                    <w:pStyle w:val="5"/>
                    <w:tabs>
                      <w:tab w:val="left" w:pos="1080"/>
                    </w:tabs>
                    <w:adjustRightInd w:val="0"/>
                    <w:snapToGrid w:val="0"/>
                    <w:spacing w:line="240" w:lineRule="auto"/>
                    <w:rPr>
                      <w:color w:val="000000"/>
                      <w:sz w:val="21"/>
                      <w:szCs w:val="21"/>
                    </w:rPr>
                  </w:pPr>
                  <w:r>
                    <w:rPr>
                      <w:color w:val="000000"/>
                      <w:sz w:val="21"/>
                      <w:szCs w:val="21"/>
                    </w:rPr>
                    <w:t>符合</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954" w:type="dxa"/>
                  <w:vMerge w:val="continue"/>
                  <w:tcBorders>
                    <w:top w:val="single" w:color="auto" w:sz="4" w:space="0"/>
                  </w:tcBorders>
                  <w:noWrap/>
                  <w:vAlign w:val="center"/>
                </w:tcPr>
                <w:p>
                  <w:pPr>
                    <w:adjustRightInd w:val="0"/>
                    <w:snapToGrid w:val="0"/>
                    <w:jc w:val="center"/>
                    <w:rPr>
                      <w:color w:val="000000"/>
                      <w:szCs w:val="21"/>
                    </w:rPr>
                  </w:pPr>
                </w:p>
              </w:tc>
              <w:tc>
                <w:tcPr>
                  <w:tcW w:w="4890" w:type="dxa"/>
                  <w:tcBorders>
                    <w:top w:val="single" w:color="auto" w:sz="4" w:space="0"/>
                  </w:tcBorders>
                  <w:noWrap/>
                  <w:vAlign w:val="center"/>
                </w:tcPr>
                <w:p>
                  <w:pPr>
                    <w:adjustRightInd w:val="0"/>
                    <w:snapToGrid w:val="0"/>
                    <w:ind w:firstLine="420" w:firstLineChars="200"/>
                    <w:jc w:val="left"/>
                    <w:rPr>
                      <w:color w:val="000000"/>
                      <w:szCs w:val="21"/>
                    </w:rPr>
                  </w:pPr>
                  <w:r>
                    <w:rPr>
                      <w:rFonts w:hint="eastAsia"/>
                      <w:color w:val="000000"/>
                      <w:szCs w:val="21"/>
                    </w:rPr>
                    <w:t>6、</w:t>
                  </w:r>
                  <w:r>
                    <w:rPr>
                      <w:color w:val="000000"/>
                      <w:szCs w:val="21"/>
                    </w:rPr>
                    <w:t>加快排污许可管理</w:t>
                  </w:r>
                </w:p>
                <w:p>
                  <w:pPr>
                    <w:adjustRightInd w:val="0"/>
                    <w:snapToGrid w:val="0"/>
                    <w:ind w:firstLine="420" w:firstLineChars="200"/>
                    <w:rPr>
                      <w:color w:val="000000"/>
                      <w:szCs w:val="21"/>
                    </w:rPr>
                  </w:pPr>
                  <w:r>
                    <w:rPr>
                      <w:color w:val="000000"/>
                      <w:szCs w:val="21"/>
                    </w:rPr>
                    <w:t>深入实施固定污染源排污许可清理整顿工作，全面摸清2017-2019年排污许可证核发的重点行业排污单位情况，核准固定污染源底数，清理无证排污单位，实行登记管理，做到应发尽发。2020年底前，所有固定污染源全部纳入排污许可管理。严格依证监管，规范排污行为，加大执法处罚力度，对无证排污单位，依法严厉查处。（市生态环境局负责）</w:t>
                  </w:r>
                </w:p>
              </w:tc>
              <w:tc>
                <w:tcPr>
                  <w:tcW w:w="2360" w:type="dxa"/>
                  <w:tcBorders>
                    <w:top w:val="single" w:color="auto" w:sz="4" w:space="0"/>
                  </w:tcBorders>
                  <w:noWrap/>
                  <w:vAlign w:val="center"/>
                </w:tcPr>
                <w:p>
                  <w:pPr>
                    <w:adjustRightInd w:val="0"/>
                    <w:snapToGrid w:val="0"/>
                    <w:ind w:firstLine="420" w:firstLineChars="200"/>
                    <w:rPr>
                      <w:kern w:val="0"/>
                      <w:szCs w:val="21"/>
                    </w:rPr>
                  </w:pPr>
                  <w:r>
                    <w:rPr>
                      <w:kern w:val="0"/>
                      <w:szCs w:val="21"/>
                    </w:rPr>
                    <w:t>经查《固定污染源排污许可分类管理名录（2019年版）》（生态环境部令第11号），本项目属于</w:t>
                  </w:r>
                  <w:r>
                    <w:rPr>
                      <w:rFonts w:hint="eastAsia"/>
                      <w:bCs/>
                      <w:szCs w:val="21"/>
                    </w:rPr>
                    <w:t>二十九</w:t>
                  </w:r>
                  <w:r>
                    <w:rPr>
                      <w:color w:val="000000"/>
                      <w:szCs w:val="21"/>
                    </w:rPr>
                    <w:t>、</w:t>
                  </w:r>
                  <w:r>
                    <w:rPr>
                      <w:rFonts w:hint="eastAsia"/>
                      <w:color w:val="000000"/>
                      <w:szCs w:val="21"/>
                    </w:rPr>
                    <w:t>通用</w:t>
                  </w:r>
                  <w:r>
                    <w:rPr>
                      <w:color w:val="000000"/>
                      <w:szCs w:val="21"/>
                    </w:rPr>
                    <w:t>设备制造业</w:t>
                  </w:r>
                  <w:r>
                    <w:rPr>
                      <w:bCs/>
                      <w:szCs w:val="21"/>
                    </w:rPr>
                    <w:t>，8</w:t>
                  </w:r>
                  <w:r>
                    <w:rPr>
                      <w:rFonts w:hint="eastAsia"/>
                      <w:bCs/>
                      <w:szCs w:val="21"/>
                    </w:rPr>
                    <w:t>3</w:t>
                  </w:r>
                  <w:r>
                    <w:rPr>
                      <w:bCs/>
                      <w:szCs w:val="21"/>
                    </w:rPr>
                    <w:t>款中“</w:t>
                  </w:r>
                  <w:r>
                    <w:rPr>
                      <w:rFonts w:hint="eastAsia"/>
                      <w:bCs/>
                      <w:szCs w:val="21"/>
                    </w:rPr>
                    <w:t>通用零部件制造</w:t>
                  </w:r>
                  <w:r>
                    <w:rPr>
                      <w:bCs/>
                      <w:szCs w:val="21"/>
                    </w:rPr>
                    <w:t>”</w:t>
                  </w:r>
                  <w:r>
                    <w:rPr>
                      <w:rFonts w:hint="eastAsia"/>
                      <w:bCs/>
                      <w:szCs w:val="21"/>
                    </w:rPr>
                    <w:t>，</w:t>
                  </w:r>
                  <w:r>
                    <w:rPr>
                      <w:kern w:val="0"/>
                      <w:szCs w:val="21"/>
                    </w:rPr>
                    <w:t>本项目不涉及通用工序，属于其他，为登记管理项目，应在建成后、启动生产设施或者在实际排污之前申请取得排污许可</w:t>
                  </w:r>
                  <w:r>
                    <w:rPr>
                      <w:rFonts w:hint="eastAsia"/>
                      <w:kern w:val="0"/>
                      <w:szCs w:val="21"/>
                      <w:lang w:eastAsia="zh-CN"/>
                    </w:rPr>
                    <w:t>手续</w:t>
                  </w:r>
                  <w:r>
                    <w:rPr>
                      <w:kern w:val="0"/>
                      <w:szCs w:val="21"/>
                    </w:rPr>
                    <w:t>。</w:t>
                  </w:r>
                </w:p>
              </w:tc>
              <w:tc>
                <w:tcPr>
                  <w:tcW w:w="867" w:type="dxa"/>
                  <w:tcBorders>
                    <w:top w:val="single" w:color="auto" w:sz="4" w:space="0"/>
                  </w:tcBorders>
                  <w:noWrap/>
                  <w:vAlign w:val="center"/>
                </w:tcPr>
                <w:p>
                  <w:pPr>
                    <w:pStyle w:val="5"/>
                    <w:tabs>
                      <w:tab w:val="left" w:pos="1080"/>
                    </w:tabs>
                    <w:adjustRightInd w:val="0"/>
                    <w:snapToGrid w:val="0"/>
                    <w:spacing w:line="240" w:lineRule="auto"/>
                    <w:rPr>
                      <w:color w:val="000000"/>
                      <w:sz w:val="21"/>
                      <w:szCs w:val="21"/>
                    </w:rPr>
                  </w:pPr>
                  <w:r>
                    <w:rPr>
                      <w:color w:val="000000"/>
                      <w:sz w:val="21"/>
                      <w:szCs w:val="21"/>
                    </w:rPr>
                    <w:t>符合</w:t>
                  </w:r>
                </w:p>
              </w:tc>
            </w:tr>
          </w:tbl>
          <w:p>
            <w:pPr>
              <w:spacing w:line="440" w:lineRule="exact"/>
              <w:ind w:firstLine="480" w:firstLineChars="200"/>
              <w:rPr>
                <w:sz w:val="24"/>
              </w:rPr>
            </w:pPr>
            <w:r>
              <w:rPr>
                <w:sz w:val="24"/>
              </w:rPr>
              <w:t>由上表可知，本项目符合</w:t>
            </w:r>
            <w:r>
              <w:rPr>
                <w:color w:val="000000"/>
                <w:sz w:val="24"/>
                <w:lang w:val="pt-BR"/>
              </w:rPr>
              <w:t>《</w:t>
            </w:r>
            <w:r>
              <w:rPr>
                <w:color w:val="000000"/>
                <w:sz w:val="24"/>
              </w:rPr>
              <w:t>新乡市2020年大气污染防治攻坚战实施方案</w:t>
            </w:r>
            <w:r>
              <w:rPr>
                <w:color w:val="000000"/>
                <w:sz w:val="24"/>
                <w:lang w:val="pt-BR"/>
              </w:rPr>
              <w:t>》</w:t>
            </w:r>
            <w:r>
              <w:rPr>
                <w:color w:val="000000"/>
                <w:sz w:val="24"/>
              </w:rPr>
              <w:t>（新环攻坚办〔2020〕10号）</w:t>
            </w:r>
            <w:r>
              <w:rPr>
                <w:sz w:val="24"/>
              </w:rPr>
              <w:t>的相关规定。</w:t>
            </w:r>
          </w:p>
          <w:p>
            <w:pPr>
              <w:widowControl/>
              <w:spacing w:line="440" w:lineRule="exact"/>
              <w:ind w:firstLine="482" w:firstLineChars="200"/>
              <w:rPr>
                <w:b/>
                <w:sz w:val="24"/>
              </w:rPr>
            </w:pPr>
            <w:r>
              <w:rPr>
                <w:rFonts w:hint="eastAsia" w:hAnsi="宋体"/>
                <w:b/>
                <w:sz w:val="24"/>
              </w:rPr>
              <w:t>（5）</w:t>
            </w:r>
            <w:r>
              <w:rPr>
                <w:b/>
                <w:sz w:val="24"/>
              </w:rPr>
              <w:t>与新乡市生态环境局《关于印发新乡市2019年工业企业无组织排放治理方案的通知》（2019.3.12）的对照分析</w:t>
            </w:r>
            <w:r>
              <w:rPr>
                <w:rFonts w:hint="eastAsia"/>
                <w:b/>
                <w:sz w:val="24"/>
              </w:rPr>
              <w:t>：</w:t>
            </w:r>
          </w:p>
          <w:p>
            <w:pPr>
              <w:adjustRightInd w:val="0"/>
              <w:snapToGrid w:val="0"/>
              <w:spacing w:line="440" w:lineRule="exact"/>
              <w:ind w:firstLine="480" w:firstLineChars="200"/>
              <w:rPr>
                <w:rFonts w:eastAsia="黑体"/>
                <w:sz w:val="24"/>
              </w:rPr>
            </w:pPr>
            <w:r>
              <w:rPr>
                <w:rFonts w:eastAsia="黑体"/>
                <w:sz w:val="24"/>
              </w:rPr>
              <w:t>表1</w:t>
            </w:r>
            <w:r>
              <w:rPr>
                <w:rFonts w:hint="eastAsia" w:eastAsia="黑体"/>
                <w:sz w:val="24"/>
              </w:rPr>
              <w:t>1</w:t>
            </w:r>
            <w:r>
              <w:rPr>
                <w:rFonts w:eastAsia="黑体"/>
                <w:sz w:val="24"/>
              </w:rPr>
              <w:t xml:space="preserve">    本项目情况与新乡市2019年工业企业无组织排放治理方案对照一览表</w:t>
            </w:r>
          </w:p>
          <w:tbl>
            <w:tblPr>
              <w:tblStyle w:val="24"/>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4389"/>
              <w:gridCol w:w="2023"/>
              <w:gridCol w:w="108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9" w:type="dxa"/>
                  <w:tcBorders>
                    <w:bottom w:val="single" w:color="auto" w:sz="8" w:space="0"/>
                  </w:tcBorders>
                  <w:vAlign w:val="center"/>
                </w:tcPr>
                <w:p>
                  <w:pPr>
                    <w:adjustRightInd w:val="0"/>
                    <w:snapToGrid w:val="0"/>
                    <w:jc w:val="center"/>
                    <w:rPr>
                      <w:b/>
                      <w:bCs/>
                      <w:szCs w:val="21"/>
                    </w:rPr>
                  </w:pPr>
                  <w:r>
                    <w:rPr>
                      <w:b/>
                      <w:bCs/>
                      <w:szCs w:val="21"/>
                    </w:rPr>
                    <w:t>文件名称</w:t>
                  </w:r>
                </w:p>
              </w:tc>
              <w:tc>
                <w:tcPr>
                  <w:tcW w:w="4389" w:type="dxa"/>
                  <w:tcBorders>
                    <w:bottom w:val="single" w:color="auto" w:sz="8" w:space="0"/>
                  </w:tcBorders>
                  <w:vAlign w:val="center"/>
                </w:tcPr>
                <w:p>
                  <w:pPr>
                    <w:adjustRightInd w:val="0"/>
                    <w:snapToGrid w:val="0"/>
                    <w:jc w:val="center"/>
                    <w:rPr>
                      <w:b/>
                      <w:bCs/>
                      <w:szCs w:val="21"/>
                    </w:rPr>
                  </w:pPr>
                  <w:r>
                    <w:rPr>
                      <w:b/>
                      <w:bCs/>
                      <w:szCs w:val="21"/>
                    </w:rPr>
                    <w:t>与本项目相关条文</w:t>
                  </w:r>
                </w:p>
              </w:tc>
              <w:tc>
                <w:tcPr>
                  <w:tcW w:w="2023" w:type="dxa"/>
                  <w:tcBorders>
                    <w:bottom w:val="single" w:color="auto" w:sz="8" w:space="0"/>
                  </w:tcBorders>
                  <w:vAlign w:val="center"/>
                </w:tcPr>
                <w:p>
                  <w:pPr>
                    <w:adjustRightInd w:val="0"/>
                    <w:snapToGrid w:val="0"/>
                    <w:jc w:val="center"/>
                    <w:rPr>
                      <w:b/>
                      <w:bCs/>
                      <w:szCs w:val="21"/>
                    </w:rPr>
                  </w:pPr>
                  <w:r>
                    <w:rPr>
                      <w:b/>
                      <w:bCs/>
                      <w:szCs w:val="21"/>
                    </w:rPr>
                    <w:t>本项目情况</w:t>
                  </w:r>
                </w:p>
              </w:tc>
              <w:tc>
                <w:tcPr>
                  <w:tcW w:w="1080" w:type="dxa"/>
                  <w:tcBorders>
                    <w:bottom w:val="single" w:color="auto" w:sz="8" w:space="0"/>
                  </w:tcBorders>
                  <w:vAlign w:val="center"/>
                </w:tcPr>
                <w:p>
                  <w:pPr>
                    <w:adjustRightInd w:val="0"/>
                    <w:snapToGrid w:val="0"/>
                    <w:jc w:val="center"/>
                    <w:rPr>
                      <w:b/>
                      <w:bCs/>
                      <w:szCs w:val="21"/>
                    </w:rPr>
                  </w:pPr>
                  <w:r>
                    <w:rPr>
                      <w:b/>
                      <w:bCs/>
                      <w:szCs w:val="21"/>
                    </w:rPr>
                    <w:t>相符性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9" w:type="dxa"/>
                  <w:tcBorders>
                    <w:top w:val="single" w:color="auto" w:sz="8" w:space="0"/>
                    <w:bottom w:val="single" w:color="auto" w:sz="4" w:space="0"/>
                  </w:tcBorders>
                  <w:vAlign w:val="center"/>
                </w:tcPr>
                <w:p>
                  <w:pPr>
                    <w:adjustRightInd w:val="0"/>
                    <w:snapToGrid w:val="0"/>
                    <w:jc w:val="center"/>
                    <w:rPr>
                      <w:szCs w:val="21"/>
                    </w:rPr>
                  </w:pPr>
                  <w:r>
                    <w:rPr>
                      <w:szCs w:val="21"/>
                    </w:rPr>
                    <w:t>五、整治标准</w:t>
                  </w:r>
                </w:p>
                <w:p>
                  <w:pPr>
                    <w:adjustRightInd w:val="0"/>
                    <w:snapToGrid w:val="0"/>
                    <w:jc w:val="center"/>
                    <w:rPr>
                      <w:szCs w:val="21"/>
                    </w:rPr>
                  </w:pPr>
                </w:p>
              </w:tc>
              <w:tc>
                <w:tcPr>
                  <w:tcW w:w="4389" w:type="dxa"/>
                  <w:tcBorders>
                    <w:top w:val="single" w:color="auto" w:sz="8" w:space="0"/>
                    <w:bottom w:val="single" w:color="auto" w:sz="4" w:space="0"/>
                  </w:tcBorders>
                  <w:vAlign w:val="center"/>
                </w:tcPr>
                <w:p>
                  <w:pPr>
                    <w:adjustRightInd w:val="0"/>
                    <w:snapToGrid w:val="0"/>
                    <w:ind w:firstLine="420" w:firstLineChars="200"/>
                  </w:pPr>
                  <w:r>
                    <w:t>5.1无组织排放污染物控制措施要求</w:t>
                  </w:r>
                </w:p>
                <w:p>
                  <w:pPr>
                    <w:adjustRightInd w:val="0"/>
                    <w:snapToGrid w:val="0"/>
                    <w:jc w:val="left"/>
                  </w:pPr>
                  <w:r>
                    <w:rPr>
                      <w:rFonts w:hint="eastAsia"/>
                    </w:rPr>
                    <w:t xml:space="preserve">    </w:t>
                  </w:r>
                  <w:r>
                    <w:t>煤炭、煤矸石、煤渣、煤灰、水泥、石灰、石膏、砂土等易产生扬尘的粉状、粒状物料及燃料应当密闭储存，运输采用密闭皮带、封闭通廊、管状带式输送机或密闭车厢、真空罐车、气力输送等密闭输送方式；块状物料采用入棚入仓或建设防风抑尘网等方式进行存储，并设有洒水、喷淋、苫盖等综合措施进行抑尘。生产工艺产尘点（装置）应加盖封闭，设置集气罩并配备除尘设施。生产工艺产尘点（装置）应加盖封闭，设置集气罩并配备除尘设施，车间不能有可见烟尘外逸；汽车、火车、皮带输送机等卸料点设置集气罩或密闭罩，并配备除尘设施；料场路面应实施硬化，出口处配备车轮和车身清洗装置</w:t>
                  </w:r>
                  <w:r>
                    <w:rPr>
                      <w:rFonts w:hint="eastAsia"/>
                    </w:rPr>
                    <w:t>。</w:t>
                  </w:r>
                </w:p>
              </w:tc>
              <w:tc>
                <w:tcPr>
                  <w:tcW w:w="2023" w:type="dxa"/>
                  <w:tcBorders>
                    <w:top w:val="single" w:color="auto" w:sz="8" w:space="0"/>
                    <w:bottom w:val="single" w:color="auto" w:sz="4" w:space="0"/>
                  </w:tcBorders>
                  <w:vAlign w:val="center"/>
                </w:tcPr>
                <w:p>
                  <w:pPr>
                    <w:adjustRightInd w:val="0"/>
                    <w:snapToGrid w:val="0"/>
                    <w:ind w:firstLine="420" w:firstLineChars="200"/>
                    <w:jc w:val="left"/>
                    <w:rPr>
                      <w:kern w:val="0"/>
                      <w:szCs w:val="21"/>
                    </w:rPr>
                  </w:pPr>
                  <w:r>
                    <w:rPr>
                      <w:rFonts w:hint="eastAsia"/>
                      <w:bCs/>
                      <w:kern w:val="21"/>
                      <w:szCs w:val="21"/>
                    </w:rPr>
                    <w:t>本项目抛光过程中产生的粉尘经集气罩收集后引入袋式除尘器治理；抛光车间、生产车间均进行密闭。</w:t>
                  </w:r>
                </w:p>
              </w:tc>
              <w:tc>
                <w:tcPr>
                  <w:tcW w:w="1080" w:type="dxa"/>
                  <w:tcBorders>
                    <w:top w:val="single" w:color="auto" w:sz="8" w:space="0"/>
                    <w:bottom w:val="single" w:color="auto" w:sz="4" w:space="0"/>
                  </w:tcBorders>
                  <w:vAlign w:val="center"/>
                </w:tcPr>
                <w:p>
                  <w:pPr>
                    <w:adjustRightInd w:val="0"/>
                    <w:snapToGrid w:val="0"/>
                    <w:jc w:val="center"/>
                  </w:pPr>
                  <w:r>
                    <w:t>相符</w:t>
                  </w:r>
                </w:p>
                <w:p>
                  <w:pPr>
                    <w:spacing w:after="120" w:line="480" w:lineRule="exact"/>
                    <w:ind w:left="420" w:leftChars="200" w:firstLine="403" w:firstLineChars="192"/>
                    <w:rPr>
                      <w:rFonts w:ascii="Calibri" w:hAnsi="Calibri"/>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9" w:type="dxa"/>
                  <w:tcBorders>
                    <w:top w:val="single" w:color="auto" w:sz="4" w:space="0"/>
                  </w:tcBorders>
                  <w:vAlign w:val="center"/>
                </w:tcPr>
                <w:p>
                  <w:pPr>
                    <w:adjustRightInd w:val="0"/>
                    <w:snapToGrid w:val="0"/>
                    <w:ind w:firstLine="420" w:firstLineChars="200"/>
                    <w:jc w:val="left"/>
                    <w:rPr>
                      <w:szCs w:val="21"/>
                    </w:rPr>
                  </w:pPr>
                  <w:r>
                    <w:rPr>
                      <w:szCs w:val="21"/>
                    </w:rPr>
                    <w:t>六、各类无组织排放污染物控制措施</w:t>
                  </w:r>
                </w:p>
              </w:tc>
              <w:tc>
                <w:tcPr>
                  <w:tcW w:w="4389" w:type="dxa"/>
                  <w:tcBorders>
                    <w:top w:val="single" w:color="auto" w:sz="4" w:space="0"/>
                  </w:tcBorders>
                  <w:vAlign w:val="center"/>
                </w:tcPr>
                <w:p>
                  <w:pPr>
                    <w:adjustRightInd w:val="0"/>
                    <w:snapToGrid w:val="0"/>
                    <w:ind w:firstLine="420" w:firstLineChars="200"/>
                  </w:pPr>
                  <w:r>
                    <w:t>6.1.6材料表面打磨粉尘防治</w:t>
                  </w:r>
                </w:p>
                <w:p>
                  <w:pPr>
                    <w:adjustRightInd w:val="0"/>
                    <w:snapToGrid w:val="0"/>
                    <w:jc w:val="left"/>
                  </w:pPr>
                  <w:r>
                    <w:rPr>
                      <w:rFonts w:hint="eastAsia"/>
                    </w:rPr>
                    <w:t xml:space="preserve">    </w:t>
                  </w:r>
                  <w:r>
                    <w:t>金属、石材和其它各类材质制品的构件，表面打磨必须固定工位，不得在车间或露天随意选取位置进行表面打磨。固定工位要安装顶吸法或侧吸法集气罩，位于密封房间内必须保持车间负压，含粉尘气体经过袋式除尘器进行净化处理。</w:t>
                  </w:r>
                </w:p>
              </w:tc>
              <w:tc>
                <w:tcPr>
                  <w:tcW w:w="2023" w:type="dxa"/>
                  <w:tcBorders>
                    <w:top w:val="single" w:color="auto" w:sz="4" w:space="0"/>
                  </w:tcBorders>
                  <w:vAlign w:val="center"/>
                </w:tcPr>
                <w:p>
                  <w:pPr>
                    <w:adjustRightInd w:val="0"/>
                    <w:snapToGrid w:val="0"/>
                    <w:ind w:firstLine="420" w:firstLineChars="200"/>
                    <w:jc w:val="left"/>
                    <w:rPr>
                      <w:bCs/>
                      <w:kern w:val="21"/>
                      <w:szCs w:val="21"/>
                    </w:rPr>
                  </w:pPr>
                  <w:r>
                    <w:rPr>
                      <w:rFonts w:hint="eastAsia"/>
                      <w:bCs/>
                      <w:kern w:val="21"/>
                      <w:szCs w:val="21"/>
                    </w:rPr>
                    <w:t>本项目抛光过程中产生的粉尘经集气罩收集后引入袋式除尘器治理；抛光车间、生产车间均进行密闭。</w:t>
                  </w:r>
                </w:p>
              </w:tc>
              <w:tc>
                <w:tcPr>
                  <w:tcW w:w="1080" w:type="dxa"/>
                  <w:tcBorders>
                    <w:top w:val="single" w:color="auto" w:sz="4" w:space="0"/>
                  </w:tcBorders>
                  <w:vAlign w:val="center"/>
                </w:tcPr>
                <w:p>
                  <w:pPr>
                    <w:spacing w:after="120" w:line="480" w:lineRule="exact"/>
                    <w:jc w:val="center"/>
                    <w:rPr>
                      <w:rFonts w:ascii="Calibri" w:hAnsi="Calibri"/>
                    </w:rPr>
                  </w:pPr>
                  <w:r>
                    <w:rPr>
                      <w:szCs w:val="21"/>
                    </w:rPr>
                    <w:t>相符</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9" w:type="dxa"/>
                  <w:vAlign w:val="center"/>
                </w:tcPr>
                <w:p>
                  <w:pPr>
                    <w:adjustRightInd w:val="0"/>
                    <w:snapToGrid w:val="0"/>
                    <w:ind w:firstLine="420" w:firstLineChars="200"/>
                    <w:jc w:val="left"/>
                    <w:rPr>
                      <w:szCs w:val="21"/>
                    </w:rPr>
                  </w:pPr>
                  <w:r>
                    <w:rPr>
                      <w:szCs w:val="21"/>
                    </w:rPr>
                    <w:t>七、无组织废气收集排气筒高度要求</w:t>
                  </w:r>
                </w:p>
              </w:tc>
              <w:tc>
                <w:tcPr>
                  <w:tcW w:w="4389" w:type="dxa"/>
                  <w:vAlign w:val="center"/>
                </w:tcPr>
                <w:p>
                  <w:pPr>
                    <w:adjustRightInd w:val="0"/>
                    <w:snapToGrid w:val="0"/>
                    <w:ind w:firstLine="420" w:firstLineChars="200"/>
                    <w:jc w:val="left"/>
                    <w:rPr>
                      <w:szCs w:val="21"/>
                    </w:rPr>
                  </w:pPr>
                  <w:r>
                    <w:rPr>
                      <w:szCs w:val="21"/>
                    </w:rPr>
                    <w:t>除天燃气锅炉烟囱为8米高度的要求</w:t>
                  </w:r>
                  <w:r>
                    <w:rPr>
                      <w:rFonts w:hint="eastAsia"/>
                      <w:szCs w:val="21"/>
                      <w:lang w:eastAsia="zh-CN"/>
                    </w:rPr>
                    <w:t>外，</w:t>
                  </w:r>
                  <w:r>
                    <w:rPr>
                      <w:szCs w:val="21"/>
                    </w:rPr>
                    <w:t>其它所有排气筒在无特殊情况下不得低15米，环评中有规定的，按照环评要求建设。</w:t>
                  </w:r>
                </w:p>
              </w:tc>
              <w:tc>
                <w:tcPr>
                  <w:tcW w:w="2023" w:type="dxa"/>
                  <w:vAlign w:val="center"/>
                </w:tcPr>
                <w:p>
                  <w:pPr>
                    <w:adjustRightInd w:val="0"/>
                    <w:snapToGrid w:val="0"/>
                    <w:ind w:firstLine="420" w:firstLineChars="200"/>
                    <w:jc w:val="left"/>
                    <w:rPr>
                      <w:szCs w:val="21"/>
                    </w:rPr>
                  </w:pPr>
                  <w:r>
                    <w:rPr>
                      <w:bCs/>
                      <w:szCs w:val="21"/>
                    </w:rPr>
                    <w:t>本项目有</w:t>
                  </w:r>
                  <w:r>
                    <w:rPr>
                      <w:bCs/>
                      <w:kern w:val="21"/>
                      <w:szCs w:val="21"/>
                    </w:rPr>
                    <w:t>组织废气均经15米排气筒</w:t>
                  </w:r>
                  <w:r>
                    <w:rPr>
                      <w:bCs/>
                      <w:szCs w:val="21"/>
                    </w:rPr>
                    <w:t>排放</w:t>
                  </w:r>
                  <w:r>
                    <w:rPr>
                      <w:rFonts w:hint="eastAsia"/>
                      <w:bCs/>
                      <w:szCs w:val="21"/>
                    </w:rPr>
                    <w:t>。</w:t>
                  </w:r>
                </w:p>
              </w:tc>
              <w:tc>
                <w:tcPr>
                  <w:tcW w:w="1080" w:type="dxa"/>
                  <w:vAlign w:val="center"/>
                </w:tcPr>
                <w:p>
                  <w:pPr>
                    <w:adjustRightInd w:val="0"/>
                    <w:snapToGrid w:val="0"/>
                    <w:jc w:val="center"/>
                    <w:rPr>
                      <w:szCs w:val="21"/>
                    </w:rPr>
                  </w:pPr>
                  <w:r>
                    <w:rPr>
                      <w:szCs w:val="21"/>
                    </w:rPr>
                    <w:t>相符</w:t>
                  </w:r>
                </w:p>
              </w:tc>
            </w:tr>
          </w:tbl>
          <w:p>
            <w:pPr>
              <w:spacing w:line="440" w:lineRule="exact"/>
              <w:ind w:firstLine="480" w:firstLineChars="200"/>
              <w:rPr>
                <w:bCs/>
                <w:sz w:val="24"/>
              </w:rPr>
            </w:pPr>
            <w:r>
              <w:rPr>
                <w:bCs/>
                <w:sz w:val="24"/>
              </w:rPr>
              <w:t>由</w:t>
            </w:r>
            <w:r>
              <w:rPr>
                <w:rFonts w:hint="eastAsia"/>
                <w:bCs/>
                <w:sz w:val="24"/>
              </w:rPr>
              <w:t>上</w:t>
            </w:r>
            <w:r>
              <w:rPr>
                <w:bCs/>
                <w:sz w:val="24"/>
              </w:rPr>
              <w:t>表可知，本项目符合</w:t>
            </w:r>
            <w:r>
              <w:rPr>
                <w:sz w:val="24"/>
              </w:rPr>
              <w:t>新乡市生态环境局《关于印发新乡市2019年工业企业无组织排放治理方案的通知》（2019.3.12）的相关</w:t>
            </w:r>
            <w:r>
              <w:rPr>
                <w:bCs/>
                <w:sz w:val="24"/>
              </w:rPr>
              <w:t>要求。</w:t>
            </w:r>
          </w:p>
          <w:p>
            <w:pPr>
              <w:widowControl/>
              <w:spacing w:line="440" w:lineRule="exact"/>
              <w:ind w:firstLine="482" w:firstLineChars="200"/>
              <w:rPr>
                <w:b/>
                <w:bCs/>
                <w:color w:val="000000"/>
                <w:kern w:val="0"/>
                <w:sz w:val="24"/>
              </w:rPr>
            </w:pPr>
            <w:r>
              <w:rPr>
                <w:rFonts w:hint="eastAsia"/>
                <w:b/>
                <w:bCs/>
                <w:color w:val="000000"/>
                <w:sz w:val="24"/>
              </w:rPr>
              <w:t>（6）</w:t>
            </w:r>
            <w:r>
              <w:rPr>
                <w:b/>
                <w:bCs/>
                <w:color w:val="000000"/>
                <w:sz w:val="24"/>
              </w:rPr>
              <w:t>本项目建设与《河南省2020年大气污染防治攻坚战实施方案》（豫环攻坚办【2020】7号文）的相关内容对比情况见下表：</w:t>
            </w:r>
          </w:p>
          <w:p>
            <w:pPr>
              <w:spacing w:line="440" w:lineRule="exact"/>
              <w:ind w:firstLine="480" w:firstLineChars="200"/>
              <w:textAlignment w:val="baseline"/>
              <w:rPr>
                <w:rFonts w:eastAsia="黑体"/>
                <w:color w:val="000000"/>
                <w:sz w:val="24"/>
              </w:rPr>
            </w:pPr>
            <w:r>
              <w:rPr>
                <w:rFonts w:eastAsia="黑体"/>
                <w:color w:val="000000"/>
                <w:sz w:val="24"/>
              </w:rPr>
              <w:t>表1</w:t>
            </w:r>
            <w:r>
              <w:rPr>
                <w:rFonts w:hint="eastAsia" w:eastAsia="黑体"/>
                <w:color w:val="000000"/>
                <w:sz w:val="24"/>
              </w:rPr>
              <w:t>2</w:t>
            </w:r>
            <w:r>
              <w:rPr>
                <w:rFonts w:eastAsia="黑体"/>
                <w:color w:val="000000"/>
                <w:sz w:val="24"/>
              </w:rPr>
              <w:t xml:space="preserve">                与豫环攻坚办【2020】7号文的对照分析</w:t>
            </w:r>
          </w:p>
          <w:tbl>
            <w:tblPr>
              <w:tblStyle w:val="24"/>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45" w:type="dxa"/>
                <w:bottom w:w="0" w:type="dxa"/>
                <w:right w:w="45" w:type="dxa"/>
              </w:tblCellMar>
            </w:tblPr>
            <w:tblGrid>
              <w:gridCol w:w="1302"/>
              <w:gridCol w:w="5074"/>
              <w:gridCol w:w="1888"/>
              <w:gridCol w:w="80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45" w:type="dxa"/>
                  <w:bottom w:w="0" w:type="dxa"/>
                  <w:right w:w="45" w:type="dxa"/>
                </w:tblCellMar>
              </w:tblPrEx>
              <w:trPr>
                <w:trHeight w:val="340" w:hRule="atLeast"/>
                <w:tblHeader/>
                <w:jc w:val="center"/>
              </w:trPr>
              <w:tc>
                <w:tcPr>
                  <w:tcW w:w="6376" w:type="dxa"/>
                  <w:gridSpan w:val="2"/>
                  <w:tcBorders>
                    <w:bottom w:val="single" w:color="auto" w:sz="8" w:space="0"/>
                  </w:tcBorders>
                  <w:noWrap/>
                  <w:vAlign w:val="center"/>
                </w:tcPr>
                <w:p>
                  <w:pPr>
                    <w:jc w:val="center"/>
                    <w:rPr>
                      <w:b/>
                      <w:bCs/>
                      <w:color w:val="000000"/>
                      <w:szCs w:val="21"/>
                    </w:rPr>
                  </w:pPr>
                  <w:r>
                    <w:rPr>
                      <w:b/>
                      <w:bCs/>
                      <w:color w:val="000000"/>
                      <w:szCs w:val="21"/>
                    </w:rPr>
                    <w:t>《通知》中与本项目有关的内容</w:t>
                  </w:r>
                </w:p>
              </w:tc>
              <w:tc>
                <w:tcPr>
                  <w:tcW w:w="1888" w:type="dxa"/>
                  <w:tcBorders>
                    <w:bottom w:val="single" w:color="auto" w:sz="8" w:space="0"/>
                  </w:tcBorders>
                  <w:noWrap/>
                  <w:vAlign w:val="center"/>
                </w:tcPr>
                <w:p>
                  <w:pPr>
                    <w:jc w:val="center"/>
                    <w:rPr>
                      <w:b/>
                      <w:bCs/>
                      <w:color w:val="000000"/>
                      <w:szCs w:val="21"/>
                    </w:rPr>
                  </w:pPr>
                  <w:r>
                    <w:rPr>
                      <w:b/>
                      <w:bCs/>
                      <w:color w:val="000000"/>
                      <w:szCs w:val="21"/>
                    </w:rPr>
                    <w:t>本项目情况</w:t>
                  </w:r>
                </w:p>
              </w:tc>
              <w:tc>
                <w:tcPr>
                  <w:tcW w:w="807" w:type="dxa"/>
                  <w:tcBorders>
                    <w:bottom w:val="single" w:color="auto" w:sz="8" w:space="0"/>
                  </w:tcBorders>
                  <w:noWrap/>
                  <w:vAlign w:val="center"/>
                </w:tcPr>
                <w:p>
                  <w:pPr>
                    <w:jc w:val="center"/>
                    <w:rPr>
                      <w:b/>
                      <w:bCs/>
                      <w:color w:val="000000"/>
                      <w:szCs w:val="21"/>
                    </w:rPr>
                  </w:pPr>
                  <w:r>
                    <w:rPr>
                      <w:b/>
                      <w:bCs/>
                      <w:color w:val="000000"/>
                      <w:szCs w:val="21"/>
                    </w:rPr>
                    <w:t>相符性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45" w:type="dxa"/>
                  <w:bottom w:w="0" w:type="dxa"/>
                  <w:right w:w="45" w:type="dxa"/>
                </w:tblCellMar>
              </w:tblPrEx>
              <w:trPr>
                <w:trHeight w:val="2805" w:hRule="atLeast"/>
                <w:jc w:val="center"/>
              </w:trPr>
              <w:tc>
                <w:tcPr>
                  <w:tcW w:w="1302" w:type="dxa"/>
                  <w:tcBorders>
                    <w:top w:val="single" w:color="auto" w:sz="8" w:space="0"/>
                    <w:bottom w:val="single" w:color="auto" w:sz="4" w:space="0"/>
                    <w:tl2br w:val="nil"/>
                    <w:tr2bl w:val="nil"/>
                  </w:tcBorders>
                  <w:noWrap/>
                  <w:vAlign w:val="center"/>
                </w:tcPr>
                <w:p>
                  <w:pPr>
                    <w:adjustRightInd w:val="0"/>
                    <w:snapToGrid w:val="0"/>
                    <w:ind w:firstLine="420" w:firstLineChars="200"/>
                    <w:jc w:val="left"/>
                    <w:rPr>
                      <w:color w:val="000000"/>
                      <w:szCs w:val="21"/>
                    </w:rPr>
                  </w:pPr>
                  <w:r>
                    <w:rPr>
                      <w:color w:val="000000"/>
                      <w:szCs w:val="21"/>
                    </w:rPr>
                    <w:t>（一）持续调整优化产业结构5．严格新建项目准入管理</w:t>
                  </w:r>
                </w:p>
              </w:tc>
              <w:tc>
                <w:tcPr>
                  <w:tcW w:w="5074" w:type="dxa"/>
                  <w:tcBorders>
                    <w:top w:val="single" w:color="auto" w:sz="8" w:space="0"/>
                    <w:bottom w:val="single" w:color="auto" w:sz="4" w:space="0"/>
                    <w:tl2br w:val="nil"/>
                    <w:tr2bl w:val="nil"/>
                  </w:tcBorders>
                  <w:noWrap/>
                  <w:vAlign w:val="center"/>
                </w:tcPr>
                <w:p>
                  <w:pPr>
                    <w:adjustRightInd w:val="0"/>
                    <w:snapToGrid w:val="0"/>
                    <w:spacing w:line="280" w:lineRule="exact"/>
                    <w:ind w:firstLine="420" w:firstLineChars="200"/>
                    <w:rPr>
                      <w:color w:val="000000"/>
                      <w:szCs w:val="21"/>
                    </w:rPr>
                  </w:pPr>
                  <w:r>
                    <w:rPr>
                      <w:color w:val="000000"/>
                      <w:szCs w:val="21"/>
                    </w:rPr>
                    <w:t>加强区域、流域规划环评管理，强化对项目环评的指导和约束，逐步构建起“三线一单”为空间管控基础、项目环评为环境准入把关、排污许可为企业运行守法依据的管理新框架，从源头预防环境污染和生态破坏。全省原则上禁止新增钢铁、电解铝、水泥、平板玻璃、传统煤化工（甲醇、合成氨）、焦化、铸造、铝用炭素、砖瓦窑、耐火材料等行业产能，原则上禁止新建燃料类煤气发生炉和35蒸吨/时及以下燃煤锅炉。对钢铁、水泥、电解铝、玻璃等行业严格落实国家、省有关产能置换规定，新建涉工业炉窑的建设项目，应进入园区，配套建设高效环保治理设施。</w:t>
                  </w:r>
                </w:p>
              </w:tc>
              <w:tc>
                <w:tcPr>
                  <w:tcW w:w="1888" w:type="dxa"/>
                  <w:tcBorders>
                    <w:top w:val="single" w:color="auto" w:sz="8" w:space="0"/>
                    <w:bottom w:val="single" w:color="auto" w:sz="4" w:space="0"/>
                    <w:tl2br w:val="nil"/>
                    <w:tr2bl w:val="nil"/>
                  </w:tcBorders>
                  <w:noWrap/>
                  <w:vAlign w:val="center"/>
                </w:tcPr>
                <w:p>
                  <w:pPr>
                    <w:adjustRightInd w:val="0"/>
                    <w:snapToGrid w:val="0"/>
                    <w:spacing w:line="280" w:lineRule="exact"/>
                    <w:ind w:firstLine="420" w:firstLineChars="200"/>
                    <w:rPr>
                      <w:kern w:val="0"/>
                      <w:szCs w:val="21"/>
                    </w:rPr>
                  </w:pPr>
                  <w:r>
                    <w:rPr>
                      <w:kern w:val="0"/>
                      <w:szCs w:val="21"/>
                    </w:rPr>
                    <w:t>本项目为</w:t>
                  </w:r>
                  <w:r>
                    <w:rPr>
                      <w:rFonts w:hint="eastAsia"/>
                      <w:kern w:val="0"/>
                      <w:szCs w:val="21"/>
                    </w:rPr>
                    <w:t>铁钉</w:t>
                  </w:r>
                  <w:r>
                    <w:rPr>
                      <w:kern w:val="0"/>
                      <w:szCs w:val="21"/>
                    </w:rPr>
                    <w:t>的生产，</w:t>
                  </w:r>
                  <w:r>
                    <w:rPr>
                      <w:rFonts w:hint="eastAsia"/>
                      <w:kern w:val="0"/>
                      <w:szCs w:val="21"/>
                    </w:rPr>
                    <w:t>属于新建项目，</w:t>
                  </w:r>
                  <w:r>
                    <w:rPr>
                      <w:kern w:val="0"/>
                      <w:szCs w:val="21"/>
                    </w:rPr>
                    <w:t>不属于禁止新增企业，不设锅炉、炉窑，不属于</w:t>
                  </w:r>
                  <w:r>
                    <w:rPr>
                      <w:color w:val="000000"/>
                      <w:szCs w:val="21"/>
                    </w:rPr>
                    <w:t>钢铁、水泥、电解铝、玻璃等行业。</w:t>
                  </w:r>
                </w:p>
              </w:tc>
              <w:tc>
                <w:tcPr>
                  <w:tcW w:w="807" w:type="dxa"/>
                  <w:tcBorders>
                    <w:top w:val="single" w:color="auto" w:sz="8" w:space="0"/>
                    <w:bottom w:val="single" w:color="auto" w:sz="4" w:space="0"/>
                    <w:tl2br w:val="nil"/>
                    <w:tr2bl w:val="nil"/>
                  </w:tcBorders>
                  <w:noWrap/>
                  <w:vAlign w:val="center"/>
                </w:tcPr>
                <w:p>
                  <w:pPr>
                    <w:jc w:val="center"/>
                    <w:rPr>
                      <w:color w:val="000000"/>
                      <w:szCs w:val="21"/>
                    </w:rPr>
                  </w:pPr>
                </w:p>
                <w:p>
                  <w:pPr>
                    <w:pStyle w:val="5"/>
                    <w:tabs>
                      <w:tab w:val="left" w:pos="1080"/>
                    </w:tabs>
                    <w:rPr>
                      <w:color w:val="000000"/>
                      <w:sz w:val="21"/>
                      <w:szCs w:val="21"/>
                    </w:rPr>
                  </w:pPr>
                  <w:r>
                    <w:rPr>
                      <w:rFonts w:hint="eastAsia"/>
                      <w:color w:val="000000"/>
                      <w:sz w:val="21"/>
                      <w:szCs w:val="21"/>
                    </w:rPr>
                    <w:t>不涉及</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45" w:type="dxa"/>
                  <w:bottom w:w="0" w:type="dxa"/>
                  <w:right w:w="45" w:type="dxa"/>
                </w:tblCellMar>
              </w:tblPrEx>
              <w:trPr>
                <w:trHeight w:val="1859" w:hRule="atLeast"/>
                <w:jc w:val="center"/>
              </w:trPr>
              <w:tc>
                <w:tcPr>
                  <w:tcW w:w="1302" w:type="dxa"/>
                  <w:tcBorders>
                    <w:top w:val="single" w:color="auto" w:sz="4" w:space="0"/>
                    <w:bottom w:val="single" w:color="auto" w:sz="8" w:space="0"/>
                  </w:tcBorders>
                  <w:noWrap/>
                  <w:vAlign w:val="center"/>
                </w:tcPr>
                <w:p>
                  <w:pPr>
                    <w:adjustRightInd w:val="0"/>
                    <w:snapToGrid w:val="0"/>
                    <w:ind w:firstLine="420" w:firstLineChars="200"/>
                    <w:jc w:val="left"/>
                    <w:rPr>
                      <w:color w:val="000000"/>
                      <w:szCs w:val="21"/>
                    </w:rPr>
                  </w:pPr>
                  <w:r>
                    <w:rPr>
                      <w:color w:val="000000"/>
                      <w:szCs w:val="21"/>
                    </w:rPr>
                    <w:t>（十）提升监测监控能力57. 开展涉气排污单位污染治理设施用电监管</w:t>
                  </w:r>
                </w:p>
              </w:tc>
              <w:tc>
                <w:tcPr>
                  <w:tcW w:w="5074" w:type="dxa"/>
                  <w:tcBorders>
                    <w:top w:val="single" w:color="auto" w:sz="4" w:space="0"/>
                    <w:bottom w:val="single" w:color="auto" w:sz="8" w:space="0"/>
                  </w:tcBorders>
                  <w:noWrap/>
                  <w:vAlign w:val="center"/>
                </w:tcPr>
                <w:p>
                  <w:pPr>
                    <w:adjustRightInd w:val="0"/>
                    <w:snapToGrid w:val="0"/>
                    <w:ind w:firstLine="420" w:firstLineChars="200"/>
                    <w:jc w:val="left"/>
                    <w:rPr>
                      <w:color w:val="000000"/>
                      <w:szCs w:val="21"/>
                    </w:rPr>
                  </w:pPr>
                  <w:r>
                    <w:rPr>
                      <w:color w:val="000000"/>
                      <w:szCs w:val="21"/>
                    </w:rPr>
                    <w:t>继续推进应急管控清单中排污单位用电监管设备安装和联网，管控清单内不能安装自动监控的排污单位要实现用电监管全覆盖、全联网，排污许可证、环评报告、应急管控清单中涉气的生产设施和污染治理设施均应独立安装用电监管设备。</w:t>
                  </w:r>
                </w:p>
              </w:tc>
              <w:tc>
                <w:tcPr>
                  <w:tcW w:w="1888" w:type="dxa"/>
                  <w:tcBorders>
                    <w:top w:val="single" w:color="auto" w:sz="4" w:space="0"/>
                    <w:bottom w:val="single" w:color="auto" w:sz="8" w:space="0"/>
                  </w:tcBorders>
                  <w:noWrap/>
                  <w:vAlign w:val="center"/>
                </w:tcPr>
                <w:p>
                  <w:pPr>
                    <w:adjustRightInd w:val="0"/>
                    <w:snapToGrid w:val="0"/>
                    <w:ind w:firstLine="420" w:firstLineChars="200"/>
                    <w:jc w:val="left"/>
                    <w:rPr>
                      <w:color w:val="000000"/>
                      <w:szCs w:val="21"/>
                    </w:rPr>
                  </w:pPr>
                  <w:r>
                    <w:rPr>
                      <w:color w:val="000000"/>
                      <w:szCs w:val="21"/>
                    </w:rPr>
                    <w:t>企业按要求设置用电量监控、在线视频监控器，并与环保局联网。</w:t>
                  </w:r>
                </w:p>
              </w:tc>
              <w:tc>
                <w:tcPr>
                  <w:tcW w:w="807" w:type="dxa"/>
                  <w:tcBorders>
                    <w:top w:val="single" w:color="auto" w:sz="4" w:space="0"/>
                    <w:bottom w:val="single" w:color="auto" w:sz="8" w:space="0"/>
                  </w:tcBorders>
                  <w:noWrap/>
                  <w:vAlign w:val="center"/>
                </w:tcPr>
                <w:p>
                  <w:pPr>
                    <w:jc w:val="center"/>
                    <w:rPr>
                      <w:color w:val="000000"/>
                      <w:szCs w:val="21"/>
                    </w:rPr>
                  </w:pPr>
                  <w:r>
                    <w:rPr>
                      <w:color w:val="000000"/>
                      <w:szCs w:val="21"/>
                    </w:rPr>
                    <w:t>符合</w:t>
                  </w:r>
                </w:p>
              </w:tc>
            </w:tr>
          </w:tbl>
          <w:p>
            <w:pPr>
              <w:spacing w:line="440" w:lineRule="exact"/>
              <w:ind w:firstLine="480" w:firstLineChars="200"/>
            </w:pPr>
            <w:r>
              <w:rPr>
                <w:sz w:val="24"/>
              </w:rPr>
              <w:t>由上表可知，本项目符合</w:t>
            </w:r>
            <w:r>
              <w:rPr>
                <w:color w:val="000000"/>
                <w:sz w:val="24"/>
              </w:rPr>
              <w:t>《河南省2020年大气污染防治攻坚战实施方案》（豫环攻坚办【2020】7号文）</w:t>
            </w:r>
            <w:r>
              <w:rPr>
                <w:sz w:val="24"/>
              </w:rPr>
              <w:t>的相关规定。</w:t>
            </w:r>
          </w:p>
          <w:p>
            <w:pPr>
              <w:spacing w:line="440" w:lineRule="exact"/>
              <w:ind w:firstLine="482" w:firstLineChars="200"/>
              <w:rPr>
                <w:b/>
                <w:bCs/>
                <w:kern w:val="0"/>
                <w:sz w:val="24"/>
                <w:lang w:val="pt-BR"/>
              </w:rPr>
            </w:pPr>
            <w:r>
              <w:rPr>
                <w:rFonts w:hint="eastAsia"/>
                <w:b/>
                <w:bCs/>
                <w:sz w:val="24"/>
              </w:rPr>
              <w:t>（7）</w:t>
            </w:r>
            <w:r>
              <w:rPr>
                <w:b/>
                <w:bCs/>
                <w:sz w:val="24"/>
                <w:lang w:val="pt-BR"/>
              </w:rPr>
              <w:t>与《新乡市生态环境局关于部署安装工业企业用电量监控系统的通知》新环 [2019]154号文</w:t>
            </w:r>
            <w:r>
              <w:rPr>
                <w:rFonts w:hint="eastAsia"/>
                <w:b/>
                <w:bCs/>
                <w:sz w:val="24"/>
                <w:lang w:val="pt-BR"/>
              </w:rPr>
              <w:t>的</w:t>
            </w:r>
            <w:r>
              <w:rPr>
                <w:b/>
                <w:bCs/>
                <w:kern w:val="0"/>
                <w:sz w:val="24"/>
                <w:lang w:val="pt-BR"/>
              </w:rPr>
              <w:t>相关内容对比分析见下表：</w:t>
            </w:r>
          </w:p>
          <w:p>
            <w:pPr>
              <w:spacing w:line="440" w:lineRule="exact"/>
              <w:ind w:firstLine="480" w:firstLineChars="200"/>
              <w:textAlignment w:val="baseline"/>
              <w:rPr>
                <w:rFonts w:eastAsia="黑体"/>
                <w:color w:val="000000"/>
                <w:sz w:val="24"/>
              </w:rPr>
            </w:pPr>
            <w:r>
              <w:rPr>
                <w:rFonts w:eastAsia="黑体"/>
                <w:color w:val="000000"/>
                <w:sz w:val="24"/>
              </w:rPr>
              <w:t>表1</w:t>
            </w:r>
            <w:r>
              <w:rPr>
                <w:rFonts w:hint="eastAsia" w:eastAsia="黑体"/>
                <w:color w:val="000000"/>
                <w:sz w:val="24"/>
              </w:rPr>
              <w:t>3</w:t>
            </w:r>
            <w:r>
              <w:rPr>
                <w:rFonts w:eastAsia="黑体"/>
                <w:color w:val="000000"/>
                <w:sz w:val="24"/>
              </w:rPr>
              <w:t xml:space="preserve">            与新环 [2019]154号文的对照分析</w:t>
            </w:r>
          </w:p>
          <w:tbl>
            <w:tblPr>
              <w:tblStyle w:val="24"/>
              <w:tblW w:w="4999" w:type="pct"/>
              <w:jc w:val="center"/>
              <w:tblBorders>
                <w:top w:val="single" w:color="auto" w:sz="8"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4573"/>
              <w:gridCol w:w="2386"/>
              <w:gridCol w:w="893"/>
            </w:tblGrid>
            <w:tr>
              <w:tblPrEx>
                <w:tblBorders>
                  <w:top w:val="single" w:color="auto" w:sz="8"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op w:val="single" w:color="auto" w:sz="8" w:space="0"/>
                    <w:left w:val="nil"/>
                    <w:bottom w:val="single" w:color="auto" w:sz="8" w:space="0"/>
                    <w:right w:val="single" w:color="auto" w:sz="4" w:space="0"/>
                  </w:tcBorders>
                  <w:vAlign w:val="center"/>
                </w:tcPr>
                <w:p>
                  <w:pPr>
                    <w:adjustRightInd w:val="0"/>
                    <w:snapToGrid w:val="0"/>
                    <w:jc w:val="center"/>
                    <w:textAlignment w:val="baseline"/>
                    <w:rPr>
                      <w:b/>
                      <w:szCs w:val="21"/>
                    </w:rPr>
                  </w:pPr>
                  <w:r>
                    <w:rPr>
                      <w:b/>
                      <w:szCs w:val="21"/>
                    </w:rPr>
                    <w:t>主要任务</w:t>
                  </w:r>
                </w:p>
              </w:tc>
              <w:tc>
                <w:tcPr>
                  <w:tcW w:w="2520" w:type="pct"/>
                  <w:tcBorders>
                    <w:top w:val="single" w:color="auto" w:sz="8" w:space="0"/>
                    <w:left w:val="single" w:color="auto" w:sz="4" w:space="0"/>
                    <w:bottom w:val="single" w:color="auto" w:sz="8" w:space="0"/>
                    <w:right w:val="single" w:color="auto" w:sz="4" w:space="0"/>
                  </w:tcBorders>
                  <w:vAlign w:val="center"/>
                </w:tcPr>
                <w:p>
                  <w:pPr>
                    <w:adjustRightInd w:val="0"/>
                    <w:snapToGrid w:val="0"/>
                    <w:jc w:val="center"/>
                    <w:textAlignment w:val="baseline"/>
                    <w:rPr>
                      <w:b/>
                      <w:szCs w:val="21"/>
                    </w:rPr>
                  </w:pPr>
                  <w:r>
                    <w:rPr>
                      <w:b/>
                      <w:szCs w:val="21"/>
                    </w:rPr>
                    <w:t>与本项目相关条文</w:t>
                  </w:r>
                </w:p>
              </w:tc>
              <w:tc>
                <w:tcPr>
                  <w:tcW w:w="1315" w:type="pct"/>
                  <w:tcBorders>
                    <w:top w:val="single" w:color="auto" w:sz="8" w:space="0"/>
                    <w:left w:val="single" w:color="auto" w:sz="4" w:space="0"/>
                    <w:bottom w:val="single" w:color="auto" w:sz="8" w:space="0"/>
                    <w:right w:val="single" w:color="auto" w:sz="4" w:space="0"/>
                  </w:tcBorders>
                  <w:vAlign w:val="center"/>
                </w:tcPr>
                <w:p>
                  <w:pPr>
                    <w:adjustRightInd w:val="0"/>
                    <w:snapToGrid w:val="0"/>
                    <w:jc w:val="center"/>
                    <w:textAlignment w:val="baseline"/>
                    <w:rPr>
                      <w:b/>
                      <w:szCs w:val="21"/>
                    </w:rPr>
                  </w:pPr>
                  <w:r>
                    <w:rPr>
                      <w:b/>
                      <w:szCs w:val="21"/>
                    </w:rPr>
                    <w:t>本项目情况</w:t>
                  </w:r>
                </w:p>
              </w:tc>
              <w:tc>
                <w:tcPr>
                  <w:tcW w:w="492" w:type="pct"/>
                  <w:tcBorders>
                    <w:top w:val="single" w:color="auto" w:sz="8" w:space="0"/>
                    <w:left w:val="single" w:color="auto" w:sz="4" w:space="0"/>
                    <w:bottom w:val="single" w:color="auto" w:sz="8" w:space="0"/>
                    <w:right w:val="nil"/>
                  </w:tcBorders>
                  <w:vAlign w:val="center"/>
                </w:tcPr>
                <w:p>
                  <w:pPr>
                    <w:adjustRightInd w:val="0"/>
                    <w:snapToGrid w:val="0"/>
                    <w:ind w:left="-109" w:leftChars="-52"/>
                    <w:jc w:val="center"/>
                    <w:textAlignment w:val="baseline"/>
                    <w:rPr>
                      <w:b/>
                      <w:szCs w:val="21"/>
                    </w:rPr>
                  </w:pPr>
                  <w:r>
                    <w:rPr>
                      <w:b/>
                      <w:szCs w:val="21"/>
                    </w:rPr>
                    <w:t>相符性</w:t>
                  </w:r>
                </w:p>
              </w:tc>
            </w:tr>
            <w:tr>
              <w:tblPrEx>
                <w:tblBorders>
                  <w:top w:val="single" w:color="auto" w:sz="8"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pct"/>
                  <w:tcBorders>
                    <w:top w:val="single" w:color="auto" w:sz="4" w:space="0"/>
                    <w:left w:val="nil"/>
                    <w:bottom w:val="single" w:color="auto" w:sz="8" w:space="0"/>
                    <w:right w:val="single" w:color="auto" w:sz="4" w:space="0"/>
                  </w:tcBorders>
                  <w:vAlign w:val="center"/>
                </w:tcPr>
                <w:p>
                  <w:pPr>
                    <w:adjustRightInd w:val="0"/>
                    <w:snapToGrid w:val="0"/>
                    <w:jc w:val="left"/>
                    <w:textAlignment w:val="baseline"/>
                    <w:rPr>
                      <w:szCs w:val="21"/>
                    </w:rPr>
                  </w:pPr>
                  <w:r>
                    <w:rPr>
                      <w:szCs w:val="21"/>
                    </w:rPr>
                    <w:t>安装范围</w:t>
                  </w:r>
                </w:p>
              </w:tc>
              <w:tc>
                <w:tcPr>
                  <w:tcW w:w="2520" w:type="pct"/>
                  <w:tcBorders>
                    <w:top w:val="single" w:color="auto" w:sz="4" w:space="0"/>
                    <w:left w:val="single" w:color="auto" w:sz="4" w:space="0"/>
                    <w:bottom w:val="single" w:color="auto" w:sz="8" w:space="0"/>
                    <w:right w:val="single" w:color="auto" w:sz="4" w:space="0"/>
                  </w:tcBorders>
                  <w:vAlign w:val="center"/>
                </w:tcPr>
                <w:p>
                  <w:pPr>
                    <w:adjustRightInd w:val="0"/>
                    <w:snapToGrid w:val="0"/>
                    <w:ind w:firstLine="420" w:firstLineChars="200"/>
                    <w:textAlignment w:val="baseline"/>
                    <w:rPr>
                      <w:szCs w:val="21"/>
                    </w:rPr>
                  </w:pPr>
                  <w:r>
                    <w:rPr>
                      <w:szCs w:val="21"/>
                    </w:rPr>
                    <w:t>所有排污企业的总用电控制位置、主要生产设施和污染治理设施必须安装用电量监控系统终端。</w:t>
                  </w:r>
                </w:p>
              </w:tc>
              <w:tc>
                <w:tcPr>
                  <w:tcW w:w="1315" w:type="pct"/>
                  <w:tcBorders>
                    <w:top w:val="single" w:color="auto" w:sz="4" w:space="0"/>
                    <w:left w:val="single" w:color="auto" w:sz="4" w:space="0"/>
                    <w:bottom w:val="single" w:color="auto" w:sz="8" w:space="0"/>
                    <w:right w:val="single" w:color="auto" w:sz="4" w:space="0"/>
                  </w:tcBorders>
                  <w:vAlign w:val="center"/>
                </w:tcPr>
                <w:p>
                  <w:pPr>
                    <w:snapToGrid w:val="0"/>
                    <w:ind w:firstLine="420" w:firstLineChars="200"/>
                    <w:rPr>
                      <w:szCs w:val="21"/>
                    </w:rPr>
                  </w:pPr>
                  <w:r>
                    <w:rPr>
                      <w:kern w:val="0"/>
                      <w:szCs w:val="21"/>
                    </w:rPr>
                    <w:t>本项目严格按照要求安装用电量监控系统终端。</w:t>
                  </w:r>
                </w:p>
              </w:tc>
              <w:tc>
                <w:tcPr>
                  <w:tcW w:w="492" w:type="pct"/>
                  <w:tcBorders>
                    <w:top w:val="single" w:color="auto" w:sz="4" w:space="0"/>
                    <w:left w:val="single" w:color="auto" w:sz="4" w:space="0"/>
                    <w:bottom w:val="single" w:color="auto" w:sz="8" w:space="0"/>
                    <w:right w:val="nil"/>
                  </w:tcBorders>
                  <w:vAlign w:val="center"/>
                </w:tcPr>
                <w:p>
                  <w:pPr>
                    <w:adjustRightInd w:val="0"/>
                    <w:snapToGrid w:val="0"/>
                    <w:jc w:val="center"/>
                    <w:textAlignment w:val="baseline"/>
                    <w:rPr>
                      <w:szCs w:val="21"/>
                    </w:rPr>
                  </w:pPr>
                  <w:r>
                    <w:rPr>
                      <w:szCs w:val="21"/>
                    </w:rPr>
                    <w:t>满足</w:t>
                  </w:r>
                </w:p>
              </w:tc>
            </w:tr>
          </w:tbl>
          <w:p>
            <w:pPr>
              <w:spacing w:line="440" w:lineRule="exact"/>
              <w:ind w:firstLine="480" w:firstLineChars="200"/>
              <w:rPr>
                <w:sz w:val="24"/>
              </w:rPr>
            </w:pPr>
            <w:r>
              <w:rPr>
                <w:color w:val="000000"/>
                <w:sz w:val="24"/>
              </w:rPr>
              <w:t>由上表可知，本项目满足</w:t>
            </w:r>
            <w:r>
              <w:rPr>
                <w:kern w:val="0"/>
                <w:sz w:val="24"/>
              </w:rPr>
              <w:t>《新乡市生态环境局关于部署安装工业企业用电量监控系统的通知》新环 [2019]154号文</w:t>
            </w:r>
            <w:r>
              <w:rPr>
                <w:bCs/>
                <w:color w:val="000000"/>
                <w:kern w:val="0"/>
                <w:sz w:val="24"/>
              </w:rPr>
              <w:t>的相关要求。</w:t>
            </w:r>
          </w:p>
          <w:p>
            <w:pPr>
              <w:adjustRightInd w:val="0"/>
              <w:snapToGrid w:val="0"/>
              <w:spacing w:line="440" w:lineRule="exact"/>
              <w:ind w:firstLine="482" w:firstLineChars="200"/>
              <w:rPr>
                <w:color w:val="000000"/>
                <w:sz w:val="24"/>
              </w:rPr>
            </w:pPr>
            <w:r>
              <w:rPr>
                <w:b/>
                <w:color w:val="000000"/>
                <w:sz w:val="24"/>
              </w:rPr>
              <w:t>8、公用设施</w:t>
            </w:r>
          </w:p>
          <w:p>
            <w:pPr>
              <w:adjustRightInd w:val="0"/>
              <w:snapToGrid w:val="0"/>
              <w:spacing w:line="440" w:lineRule="exact"/>
              <w:ind w:firstLine="480" w:firstLineChars="200"/>
              <w:textAlignment w:val="baseline"/>
              <w:rPr>
                <w:color w:val="000000"/>
                <w:sz w:val="24"/>
              </w:rPr>
            </w:pPr>
            <w:r>
              <w:rPr>
                <w:color w:val="000000"/>
                <w:sz w:val="24"/>
              </w:rPr>
              <w:t>供水：本项目用水主要为</w:t>
            </w:r>
            <w:r>
              <w:rPr>
                <w:bCs/>
                <w:color w:val="000000"/>
                <w:sz w:val="24"/>
              </w:rPr>
              <w:t>职工生活用水</w:t>
            </w:r>
            <w:r>
              <w:rPr>
                <w:color w:val="000000"/>
                <w:sz w:val="24"/>
              </w:rPr>
              <w:t>，由合河乡统一供应，能够满足本项目用水需求。</w:t>
            </w:r>
          </w:p>
          <w:p>
            <w:pPr>
              <w:adjustRightInd w:val="0"/>
              <w:snapToGrid w:val="0"/>
              <w:spacing w:line="440" w:lineRule="exact"/>
              <w:ind w:firstLine="480" w:firstLineChars="200"/>
              <w:textAlignment w:val="baseline"/>
              <w:rPr>
                <w:bCs/>
                <w:color w:val="000000"/>
                <w:sz w:val="24"/>
              </w:rPr>
            </w:pPr>
            <w:r>
              <w:rPr>
                <w:color w:val="000000"/>
                <w:sz w:val="24"/>
              </w:rPr>
              <w:t>排水：本项目职工生活污水经防渗漏化粪池</w:t>
            </w:r>
            <w:r>
              <w:rPr>
                <w:bCs/>
                <w:color w:val="000000"/>
                <w:sz w:val="24"/>
              </w:rPr>
              <w:t>处理后定期清运，不外排。</w:t>
            </w:r>
          </w:p>
          <w:p>
            <w:pPr>
              <w:adjustRightInd w:val="0"/>
              <w:snapToGrid w:val="0"/>
              <w:spacing w:line="440" w:lineRule="exact"/>
              <w:ind w:firstLine="480" w:firstLineChars="200"/>
              <w:textAlignment w:val="baseline"/>
              <w:rPr>
                <w:color w:val="000000"/>
                <w:sz w:val="24"/>
              </w:rPr>
            </w:pPr>
            <w:r>
              <w:rPr>
                <w:color w:val="000000"/>
                <w:sz w:val="24"/>
              </w:rPr>
              <w:t>供电：本项目用电量约为1</w:t>
            </w:r>
            <w:r>
              <w:rPr>
                <w:rFonts w:hint="eastAsia"/>
                <w:color w:val="000000"/>
                <w:sz w:val="24"/>
              </w:rPr>
              <w:t>0</w:t>
            </w:r>
            <w:r>
              <w:rPr>
                <w:color w:val="000000"/>
                <w:sz w:val="24"/>
              </w:rPr>
              <w:t>万</w:t>
            </w:r>
            <w:r>
              <w:rPr>
                <w:bCs/>
                <w:color w:val="000000"/>
                <w:sz w:val="24"/>
              </w:rPr>
              <w:t>kW·h/a</w:t>
            </w:r>
            <w:r>
              <w:rPr>
                <w:color w:val="000000"/>
                <w:sz w:val="24"/>
              </w:rPr>
              <w:t>，由当地市政电网供电，主要用于项目设备运转、日常办公等，可满足项目需求。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127" w:hRule="atLeast"/>
          <w:jc w:val="center"/>
        </w:trPr>
        <w:tc>
          <w:tcPr>
            <w:tcW w:w="9264" w:type="dxa"/>
            <w:gridSpan w:val="6"/>
          </w:tcPr>
          <w:p>
            <w:pPr>
              <w:spacing w:line="440" w:lineRule="exact"/>
              <w:rPr>
                <w:b/>
                <w:bCs/>
                <w:color w:val="000000"/>
                <w:sz w:val="24"/>
              </w:rPr>
            </w:pPr>
            <w:r>
              <w:rPr>
                <w:rFonts w:hAnsi="宋体"/>
                <w:b/>
                <w:bCs/>
                <w:color w:val="000000"/>
                <w:sz w:val="24"/>
              </w:rPr>
              <w:t>与本项目有关的原有污染情况及主要环境问题：</w:t>
            </w:r>
          </w:p>
          <w:p>
            <w:pPr>
              <w:pStyle w:val="4"/>
              <w:adjustRightInd w:val="0"/>
              <w:snapToGrid w:val="0"/>
              <w:spacing w:line="440" w:lineRule="exact"/>
              <w:ind w:firstLine="480" w:firstLineChars="200"/>
              <w:rPr>
                <w:sz w:val="24"/>
              </w:rPr>
            </w:pPr>
            <w:r>
              <w:rPr>
                <w:rFonts w:hAnsi="宋体"/>
                <w:sz w:val="24"/>
              </w:rPr>
              <w:t>本项目为新建项目，无原有污染情况及主要问题。</w:t>
            </w:r>
          </w:p>
          <w:p>
            <w:pPr>
              <w:pStyle w:val="4"/>
              <w:spacing w:line="440" w:lineRule="exact"/>
              <w:rPr>
                <w:sz w:val="24"/>
              </w:rPr>
            </w:pPr>
          </w:p>
          <w:p>
            <w:pPr>
              <w:pStyle w:val="4"/>
              <w:spacing w:line="440" w:lineRule="exact"/>
              <w:rPr>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p>
            <w:pPr>
              <w:pStyle w:val="4"/>
              <w:spacing w:line="440" w:lineRule="exact"/>
              <w:rPr>
                <w:color w:val="000000"/>
                <w:sz w:val="24"/>
              </w:rPr>
            </w:pPr>
          </w:p>
        </w:tc>
      </w:tr>
    </w:tbl>
    <w:p>
      <w:pPr>
        <w:pStyle w:val="2"/>
        <w:ind w:firstLine="538"/>
        <w:sectPr>
          <w:pgSz w:w="11906" w:h="16838"/>
          <w:pgMar w:top="1134" w:right="1417" w:bottom="1134" w:left="1417" w:header="851" w:footer="992" w:gutter="0"/>
          <w:cols w:space="0" w:num="1"/>
          <w:rtlGutter w:val="0"/>
          <w:docGrid w:type="lines" w:linePitch="312" w:charSpace="0"/>
        </w:sectPr>
      </w:pPr>
    </w:p>
    <w:p>
      <w:pPr>
        <w:spacing w:line="500" w:lineRule="exact"/>
        <w:outlineLvl w:val="0"/>
        <w:rPr>
          <w:b/>
          <w:sz w:val="32"/>
          <w:szCs w:val="32"/>
        </w:rPr>
      </w:pPr>
      <w:r>
        <w:rPr>
          <w:rFonts w:hint="eastAsia" w:hAnsi="宋体"/>
          <w:b/>
          <w:sz w:val="32"/>
          <w:szCs w:val="32"/>
        </w:rPr>
        <w:t>建设项目所在地自然环境简况</w:t>
      </w:r>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908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9082" w:type="dxa"/>
          </w:tcPr>
          <w:p>
            <w:pPr>
              <w:spacing w:line="440" w:lineRule="exact"/>
              <w:ind w:firstLine="482" w:firstLineChars="200"/>
              <w:rPr>
                <w:rFonts w:eastAsiaTheme="minorEastAsia"/>
                <w:sz w:val="24"/>
              </w:rPr>
            </w:pPr>
            <w:r>
              <w:rPr>
                <w:rFonts w:eastAsiaTheme="minorEastAsia"/>
                <w:b/>
                <w:sz w:val="24"/>
              </w:rPr>
              <w:t>1</w:t>
            </w:r>
            <w:r>
              <w:rPr>
                <w:rFonts w:hAnsiTheme="minorEastAsia" w:eastAsiaTheme="minorEastAsia"/>
                <w:b/>
                <w:sz w:val="24"/>
              </w:rPr>
              <w:t>、地理位置</w:t>
            </w:r>
          </w:p>
          <w:p>
            <w:pPr>
              <w:adjustRightInd w:val="0"/>
              <w:snapToGrid w:val="0"/>
              <w:spacing w:line="440" w:lineRule="exact"/>
              <w:ind w:firstLine="480" w:firstLineChars="200"/>
              <w:rPr>
                <w:rFonts w:eastAsiaTheme="minorEastAsia"/>
                <w:sz w:val="24"/>
              </w:rPr>
            </w:pPr>
            <w:r>
              <w:rPr>
                <w:rFonts w:hAnsiTheme="minorEastAsia" w:eastAsiaTheme="minorEastAsia"/>
                <w:sz w:val="24"/>
              </w:rPr>
              <w:t>新乡县位于河南省中北部，属新乡市管辖。地处东经</w:t>
            </w:r>
            <w:r>
              <w:rPr>
                <w:rFonts w:eastAsiaTheme="minorEastAsia"/>
                <w:sz w:val="24"/>
              </w:rPr>
              <w:t>113°42′~114°04′</w:t>
            </w:r>
            <w:r>
              <w:rPr>
                <w:rFonts w:hAnsiTheme="minorEastAsia" w:eastAsiaTheme="minorEastAsia"/>
                <w:sz w:val="24"/>
              </w:rPr>
              <w:t>，北纬</w:t>
            </w:r>
            <w:r>
              <w:rPr>
                <w:rFonts w:eastAsiaTheme="minorEastAsia"/>
                <w:sz w:val="24"/>
              </w:rPr>
              <w:t>35°05′~35°24′</w:t>
            </w:r>
            <w:r>
              <w:rPr>
                <w:rFonts w:hAnsiTheme="minorEastAsia" w:eastAsiaTheme="minorEastAsia"/>
                <w:sz w:val="24"/>
              </w:rPr>
              <w:t>。全境环绕新乡市市区东、西、南三面，县境东西最大距离为</w:t>
            </w:r>
            <w:r>
              <w:rPr>
                <w:rFonts w:eastAsiaTheme="minorEastAsia"/>
                <w:sz w:val="24"/>
              </w:rPr>
              <w:t>32.7 km</w:t>
            </w:r>
            <w:r>
              <w:rPr>
                <w:rFonts w:hAnsiTheme="minorEastAsia" w:eastAsiaTheme="minorEastAsia"/>
                <w:sz w:val="24"/>
              </w:rPr>
              <w:t>，南北最大距离</w:t>
            </w:r>
            <w:r>
              <w:rPr>
                <w:rFonts w:eastAsiaTheme="minorEastAsia"/>
                <w:sz w:val="24"/>
              </w:rPr>
              <w:t>34.5 km</w:t>
            </w:r>
            <w:r>
              <w:rPr>
                <w:rFonts w:hAnsiTheme="minorEastAsia" w:eastAsiaTheme="minorEastAsia"/>
                <w:sz w:val="24"/>
              </w:rPr>
              <w:t>，总面积</w:t>
            </w:r>
            <w:r>
              <w:rPr>
                <w:rFonts w:eastAsiaTheme="minorEastAsia"/>
                <w:sz w:val="24"/>
              </w:rPr>
              <w:t>523.6 km</w:t>
            </w:r>
            <w:r>
              <w:rPr>
                <w:rFonts w:eastAsiaTheme="minorEastAsia"/>
                <w:sz w:val="24"/>
                <w:vertAlign w:val="superscript"/>
              </w:rPr>
              <w:t>2</w:t>
            </w:r>
            <w:r>
              <w:rPr>
                <w:rFonts w:hAnsiTheme="minorEastAsia" w:eastAsiaTheme="minorEastAsia"/>
                <w:sz w:val="24"/>
              </w:rPr>
              <w:t>。</w:t>
            </w:r>
          </w:p>
          <w:p>
            <w:pPr>
              <w:spacing w:line="440" w:lineRule="exact"/>
              <w:ind w:firstLine="480" w:firstLineChars="200"/>
              <w:rPr>
                <w:rFonts w:eastAsiaTheme="minorEastAsia"/>
                <w:sz w:val="24"/>
              </w:rPr>
            </w:pPr>
            <w:r>
              <w:rPr>
                <w:rFonts w:hAnsiTheme="minorEastAsia" w:eastAsiaTheme="minorEastAsia"/>
                <w:color w:val="000000"/>
                <w:kern w:val="0"/>
                <w:sz w:val="24"/>
              </w:rPr>
              <w:t>本项目位于</w:t>
            </w:r>
            <w:r>
              <w:rPr>
                <w:rFonts w:hAnsiTheme="minorEastAsia" w:eastAsiaTheme="minorEastAsia"/>
                <w:bCs/>
                <w:color w:val="000000"/>
                <w:sz w:val="24"/>
              </w:rPr>
              <w:t>新乡市新乡县合河乡贾桥村工业区西头路北</w:t>
            </w:r>
            <w:r>
              <w:rPr>
                <w:rFonts w:eastAsiaTheme="minorEastAsia"/>
                <w:bCs/>
                <w:color w:val="000000"/>
                <w:sz w:val="24"/>
              </w:rPr>
              <w:t>4</w:t>
            </w:r>
            <w:r>
              <w:rPr>
                <w:rFonts w:hAnsiTheme="minorEastAsia" w:eastAsiaTheme="minorEastAsia"/>
                <w:bCs/>
                <w:color w:val="000000"/>
                <w:sz w:val="24"/>
              </w:rPr>
              <w:t>号</w:t>
            </w:r>
            <w:r>
              <w:rPr>
                <w:rFonts w:hAnsiTheme="minorEastAsia" w:eastAsiaTheme="minorEastAsia"/>
                <w:sz w:val="24"/>
              </w:rPr>
              <w:t>，具体位置详见附图</w:t>
            </w:r>
            <w:r>
              <w:rPr>
                <w:rFonts w:eastAsiaTheme="minorEastAsia"/>
                <w:sz w:val="24"/>
              </w:rPr>
              <w:t>1</w:t>
            </w:r>
            <w:r>
              <w:rPr>
                <w:rFonts w:hAnsiTheme="minorEastAsia" w:eastAsiaTheme="minorEastAsia"/>
                <w:sz w:val="24"/>
              </w:rPr>
              <w:t>。</w:t>
            </w:r>
          </w:p>
          <w:p>
            <w:pPr>
              <w:spacing w:line="440" w:lineRule="exact"/>
              <w:ind w:firstLine="482" w:firstLineChars="200"/>
              <w:textAlignment w:val="baseline"/>
              <w:rPr>
                <w:rFonts w:eastAsiaTheme="minorEastAsia"/>
                <w:sz w:val="24"/>
              </w:rPr>
            </w:pPr>
            <w:r>
              <w:rPr>
                <w:rFonts w:eastAsiaTheme="minorEastAsia"/>
                <w:b/>
                <w:sz w:val="24"/>
              </w:rPr>
              <w:t>2</w:t>
            </w:r>
            <w:r>
              <w:rPr>
                <w:rFonts w:hAnsiTheme="minorEastAsia" w:eastAsiaTheme="minorEastAsia"/>
                <w:b/>
                <w:sz w:val="24"/>
              </w:rPr>
              <w:t>、地形地貌</w:t>
            </w:r>
          </w:p>
          <w:p>
            <w:pPr>
              <w:spacing w:line="440" w:lineRule="exact"/>
              <w:ind w:firstLine="480" w:firstLineChars="200"/>
              <w:rPr>
                <w:rFonts w:eastAsiaTheme="minorEastAsia"/>
                <w:sz w:val="24"/>
              </w:rPr>
            </w:pPr>
            <w:r>
              <w:rPr>
                <w:rFonts w:hAnsiTheme="minorEastAsia" w:eastAsiaTheme="minorEastAsia"/>
                <w:sz w:val="24"/>
              </w:rPr>
              <w:t>新乡县属黄河冲积平原，南部多沙，中部低洼，地形低平，便于引黄灌溉和机械化操作。总的地势是西北高、东南低。自然坡降为</w:t>
            </w:r>
            <w:r>
              <w:rPr>
                <w:rFonts w:eastAsiaTheme="minorEastAsia"/>
                <w:sz w:val="24"/>
              </w:rPr>
              <w:t>1/4000</w:t>
            </w:r>
            <w:r>
              <w:rPr>
                <w:rFonts w:hAnsiTheme="minorEastAsia" w:eastAsiaTheme="minorEastAsia"/>
                <w:sz w:val="24"/>
              </w:rPr>
              <w:t>，海拔高度</w:t>
            </w:r>
            <w:r>
              <w:rPr>
                <w:rFonts w:eastAsiaTheme="minorEastAsia"/>
                <w:sz w:val="24"/>
              </w:rPr>
              <w:t>70~80m</w:t>
            </w:r>
            <w:r>
              <w:rPr>
                <w:rFonts w:hAnsiTheme="minorEastAsia" w:eastAsiaTheme="minorEastAsia"/>
                <w:sz w:val="24"/>
              </w:rPr>
              <w:t>。</w:t>
            </w:r>
          </w:p>
          <w:p>
            <w:pPr>
              <w:pStyle w:val="85"/>
              <w:spacing w:line="440" w:lineRule="exact"/>
              <w:ind w:firstLine="480" w:firstLineChars="200"/>
              <w:rPr>
                <w:rFonts w:ascii="Times New Roman" w:hAnsi="Times New Roman" w:eastAsiaTheme="minorEastAsia"/>
                <w:sz w:val="24"/>
              </w:rPr>
            </w:pPr>
            <w:r>
              <w:rPr>
                <w:rFonts w:ascii="Times New Roman" w:hAnsiTheme="minorEastAsia" w:eastAsiaTheme="minorEastAsia"/>
                <w:sz w:val="24"/>
              </w:rPr>
              <w:t>本项目所在地属于平原地带，地势平坦。</w:t>
            </w:r>
          </w:p>
          <w:p>
            <w:pPr>
              <w:spacing w:line="440" w:lineRule="exact"/>
              <w:ind w:firstLine="482" w:firstLineChars="200"/>
              <w:textAlignment w:val="baseline"/>
              <w:rPr>
                <w:rFonts w:eastAsiaTheme="minorEastAsia"/>
                <w:b/>
                <w:sz w:val="24"/>
              </w:rPr>
            </w:pPr>
            <w:r>
              <w:rPr>
                <w:rFonts w:eastAsiaTheme="minorEastAsia"/>
                <w:b/>
                <w:sz w:val="24"/>
              </w:rPr>
              <w:t>3</w:t>
            </w:r>
            <w:r>
              <w:rPr>
                <w:rFonts w:hAnsiTheme="minorEastAsia" w:eastAsiaTheme="minorEastAsia"/>
                <w:b/>
                <w:sz w:val="24"/>
              </w:rPr>
              <w:t>、气候气象</w:t>
            </w:r>
          </w:p>
          <w:p>
            <w:pPr>
              <w:adjustRightInd w:val="0"/>
              <w:snapToGrid w:val="0"/>
              <w:spacing w:line="440" w:lineRule="exact"/>
              <w:ind w:firstLine="480" w:firstLineChars="200"/>
              <w:rPr>
                <w:rFonts w:eastAsiaTheme="minorEastAsia"/>
                <w:sz w:val="24"/>
              </w:rPr>
            </w:pPr>
            <w:r>
              <w:rPr>
                <w:rFonts w:hAnsiTheme="minorEastAsia" w:eastAsiaTheme="minorEastAsia"/>
                <w:sz w:val="24"/>
              </w:rPr>
              <w:t>该地区属暖温带大陆性季风气候，季节变化明显，春季干燥少雨；夏季炎热高温，降雨集中；秋季天高气爽，气候宜人；冬季寒冷寡照少雨雪。年平均气温</w:t>
            </w:r>
            <w:r>
              <w:rPr>
                <w:rFonts w:eastAsiaTheme="minorEastAsia"/>
                <w:sz w:val="24"/>
              </w:rPr>
              <w:t>14℃</w:t>
            </w:r>
            <w:r>
              <w:rPr>
                <w:rFonts w:hAnsiTheme="minorEastAsia" w:eastAsiaTheme="minorEastAsia"/>
                <w:sz w:val="24"/>
              </w:rPr>
              <w:t>，历年极端最低气温</w:t>
            </w:r>
            <w:r>
              <w:rPr>
                <w:rFonts w:eastAsiaTheme="minorEastAsia"/>
                <w:sz w:val="24"/>
              </w:rPr>
              <w:t>-10℃</w:t>
            </w:r>
            <w:r>
              <w:rPr>
                <w:rFonts w:hAnsiTheme="minorEastAsia" w:eastAsiaTheme="minorEastAsia"/>
                <w:sz w:val="24"/>
              </w:rPr>
              <w:t>，历年极端最高气温</w:t>
            </w:r>
            <w:r>
              <w:rPr>
                <w:rFonts w:eastAsiaTheme="minorEastAsia"/>
                <w:sz w:val="24"/>
              </w:rPr>
              <w:t>42.2℃</w:t>
            </w:r>
            <w:r>
              <w:rPr>
                <w:rFonts w:hAnsiTheme="minorEastAsia" w:eastAsiaTheme="minorEastAsia"/>
                <w:sz w:val="24"/>
              </w:rPr>
              <w:t>，年均降雨量为</w:t>
            </w:r>
            <w:r>
              <w:rPr>
                <w:rFonts w:eastAsiaTheme="minorEastAsia"/>
                <w:sz w:val="24"/>
              </w:rPr>
              <w:t>617.8mm</w:t>
            </w:r>
            <w:r>
              <w:rPr>
                <w:rFonts w:hAnsiTheme="minorEastAsia" w:eastAsiaTheme="minorEastAsia"/>
                <w:sz w:val="24"/>
              </w:rPr>
              <w:t>。常年主导风向为东北风，次主导风向为西南风，历年平均风速为</w:t>
            </w:r>
            <w:r>
              <w:rPr>
                <w:rFonts w:eastAsiaTheme="minorEastAsia"/>
                <w:sz w:val="24"/>
              </w:rPr>
              <w:t>2.4m/s</w:t>
            </w:r>
            <w:r>
              <w:rPr>
                <w:rFonts w:hAnsiTheme="minorEastAsia" w:eastAsiaTheme="minorEastAsia"/>
                <w:sz w:val="24"/>
              </w:rPr>
              <w:t>。</w:t>
            </w:r>
          </w:p>
          <w:p>
            <w:pPr>
              <w:adjustRightInd w:val="0"/>
              <w:snapToGrid w:val="0"/>
              <w:spacing w:line="440" w:lineRule="exact"/>
              <w:ind w:firstLine="482" w:firstLineChars="200"/>
              <w:rPr>
                <w:rFonts w:eastAsiaTheme="minorEastAsia"/>
                <w:b/>
                <w:kern w:val="0"/>
                <w:sz w:val="24"/>
              </w:rPr>
            </w:pPr>
            <w:r>
              <w:rPr>
                <w:rFonts w:eastAsiaTheme="minorEastAsia"/>
                <w:b/>
                <w:kern w:val="0"/>
                <w:sz w:val="24"/>
              </w:rPr>
              <w:t>4</w:t>
            </w:r>
            <w:r>
              <w:rPr>
                <w:rFonts w:hAnsiTheme="minorEastAsia" w:eastAsiaTheme="minorEastAsia"/>
                <w:b/>
                <w:kern w:val="0"/>
                <w:sz w:val="24"/>
              </w:rPr>
              <w:t>、水文</w:t>
            </w:r>
          </w:p>
          <w:p>
            <w:pPr>
              <w:pStyle w:val="116"/>
              <w:ind w:firstLine="480" w:firstLineChars="200"/>
              <w:jc w:val="both"/>
              <w:rPr>
                <w:rFonts w:ascii="Times New Roman" w:hAnsi="Times New Roman" w:cs="Times New Roman" w:eastAsiaTheme="minorEastAsia"/>
              </w:rPr>
            </w:pPr>
            <w:r>
              <w:rPr>
                <w:rFonts w:ascii="Times New Roman" w:cs="Times New Roman" w:hAnsiTheme="minorEastAsia" w:eastAsiaTheme="minorEastAsia"/>
              </w:rPr>
              <w:t>（</w:t>
            </w:r>
            <w:r>
              <w:rPr>
                <w:rFonts w:ascii="Times New Roman" w:hAnsi="Times New Roman" w:cs="Times New Roman" w:eastAsiaTheme="minorEastAsia"/>
              </w:rPr>
              <w:t>1</w:t>
            </w:r>
            <w:r>
              <w:rPr>
                <w:rFonts w:ascii="Times New Roman" w:cs="Times New Roman" w:hAnsiTheme="minorEastAsia" w:eastAsiaTheme="minorEastAsia"/>
              </w:rPr>
              <w:t>）地表水体</w:t>
            </w:r>
          </w:p>
          <w:p>
            <w:pPr>
              <w:adjustRightInd w:val="0"/>
              <w:snapToGrid w:val="0"/>
              <w:spacing w:line="440" w:lineRule="exact"/>
              <w:ind w:firstLine="480" w:firstLineChars="200"/>
              <w:rPr>
                <w:rFonts w:eastAsiaTheme="minorEastAsia"/>
                <w:sz w:val="24"/>
              </w:rPr>
            </w:pPr>
            <w:r>
              <w:rPr>
                <w:rFonts w:hAnsiTheme="minorEastAsia" w:eastAsiaTheme="minorEastAsia"/>
                <w:sz w:val="24"/>
              </w:rPr>
              <w:t>新乡县境内地表水有东孟姜女河、西孟姜女河等。东孟姜女河是卫河的支流，全长</w:t>
            </w:r>
            <w:r>
              <w:rPr>
                <w:rFonts w:eastAsiaTheme="minorEastAsia"/>
                <w:sz w:val="24"/>
              </w:rPr>
              <w:t>50.5km</w:t>
            </w:r>
            <w:r>
              <w:rPr>
                <w:rFonts w:hAnsiTheme="minorEastAsia" w:eastAsiaTheme="minorEastAsia"/>
                <w:sz w:val="24"/>
              </w:rPr>
              <w:t>，流经新乡县、延津县、卫辉市，由于在上游接纳了大量的生产、生活废水，水质已超过地面水</w:t>
            </w:r>
            <w:r>
              <w:rPr>
                <w:rFonts w:eastAsiaTheme="minorEastAsia"/>
                <w:sz w:val="24"/>
              </w:rPr>
              <w:t>Ⅴ</w:t>
            </w:r>
            <w:r>
              <w:rPr>
                <w:rFonts w:hAnsiTheme="minorEastAsia" w:eastAsiaTheme="minorEastAsia"/>
                <w:sz w:val="24"/>
              </w:rPr>
              <w:t>类水质标准。东孟姜女河有三个支流：一支排、二支排和大泉排，三个支流均为纳污河道，无天然径流，目前水质均已超过地面水</w:t>
            </w:r>
            <w:r>
              <w:rPr>
                <w:rFonts w:eastAsiaTheme="minorEastAsia"/>
                <w:sz w:val="24"/>
              </w:rPr>
              <w:t>Ⅴ</w:t>
            </w:r>
            <w:r>
              <w:rPr>
                <w:rFonts w:hAnsiTheme="minorEastAsia" w:eastAsiaTheme="minorEastAsia"/>
                <w:sz w:val="24"/>
              </w:rPr>
              <w:t>类水质标准。根据新乡市地面水功能区划分，对东孟姜女河的水质要求是达到地面水</w:t>
            </w:r>
            <w:r>
              <w:rPr>
                <w:rFonts w:eastAsiaTheme="minorEastAsia"/>
                <w:sz w:val="24"/>
              </w:rPr>
              <w:t>Ⅴ</w:t>
            </w:r>
            <w:r>
              <w:rPr>
                <w:rFonts w:hAnsiTheme="minorEastAsia" w:eastAsiaTheme="minorEastAsia"/>
                <w:sz w:val="24"/>
              </w:rPr>
              <w:t>类水质标准，规划功能为自然水域及输水沟渠。</w:t>
            </w:r>
          </w:p>
          <w:p>
            <w:pPr>
              <w:adjustRightInd w:val="0"/>
              <w:snapToGrid w:val="0"/>
              <w:spacing w:line="440" w:lineRule="exact"/>
              <w:ind w:firstLine="480" w:firstLineChars="200"/>
              <w:rPr>
                <w:rFonts w:eastAsiaTheme="minorEastAsia"/>
                <w:sz w:val="24"/>
              </w:rPr>
            </w:pPr>
            <w:r>
              <w:rPr>
                <w:rFonts w:hAnsiTheme="minorEastAsia" w:eastAsiaTheme="minorEastAsia"/>
                <w:sz w:val="24"/>
              </w:rPr>
              <w:t>西孟姜女河为卫河的支流，全长</w:t>
            </w:r>
            <w:r>
              <w:rPr>
                <w:rFonts w:eastAsiaTheme="minorEastAsia"/>
                <w:sz w:val="24"/>
              </w:rPr>
              <w:t>36.5</w:t>
            </w:r>
            <w:r>
              <w:rPr>
                <w:rFonts w:hAnsiTheme="minorEastAsia" w:eastAsiaTheme="minorEastAsia"/>
                <w:sz w:val="24"/>
              </w:rPr>
              <w:t>公里，新乡市境内长</w:t>
            </w:r>
            <w:r>
              <w:rPr>
                <w:rFonts w:eastAsiaTheme="minorEastAsia"/>
                <w:sz w:val="24"/>
              </w:rPr>
              <w:t>4</w:t>
            </w:r>
            <w:r>
              <w:rPr>
                <w:rFonts w:hAnsiTheme="minorEastAsia" w:eastAsiaTheme="minorEastAsia"/>
                <w:sz w:val="24"/>
              </w:rPr>
              <w:t>公里，流经小宋佛、东营、任小营至络丝谭村东南入新乡市，河口宽</w:t>
            </w:r>
            <w:r>
              <w:rPr>
                <w:rFonts w:eastAsiaTheme="minorEastAsia"/>
                <w:sz w:val="24"/>
              </w:rPr>
              <w:t>22</w:t>
            </w:r>
            <w:r>
              <w:rPr>
                <w:rFonts w:hAnsiTheme="minorEastAsia" w:eastAsiaTheme="minorEastAsia"/>
                <w:sz w:val="24"/>
              </w:rPr>
              <w:t>米，底宽</w:t>
            </w:r>
            <w:r>
              <w:rPr>
                <w:rFonts w:eastAsiaTheme="minorEastAsia"/>
                <w:sz w:val="24"/>
              </w:rPr>
              <w:t>2</w:t>
            </w:r>
            <w:r>
              <w:rPr>
                <w:rFonts w:hAnsiTheme="minorEastAsia" w:eastAsiaTheme="minorEastAsia"/>
                <w:sz w:val="24"/>
              </w:rPr>
              <w:t>至</w:t>
            </w:r>
            <w:r>
              <w:rPr>
                <w:rFonts w:eastAsiaTheme="minorEastAsia"/>
                <w:sz w:val="24"/>
              </w:rPr>
              <w:t>5</w:t>
            </w:r>
            <w:r>
              <w:rPr>
                <w:rFonts w:hAnsiTheme="minorEastAsia" w:eastAsiaTheme="minorEastAsia"/>
                <w:sz w:val="24"/>
              </w:rPr>
              <w:t>米，深</w:t>
            </w:r>
            <w:r>
              <w:rPr>
                <w:rFonts w:eastAsiaTheme="minorEastAsia"/>
                <w:sz w:val="24"/>
              </w:rPr>
              <w:t>3</w:t>
            </w:r>
            <w:r>
              <w:rPr>
                <w:rFonts w:hAnsiTheme="minorEastAsia" w:eastAsiaTheme="minorEastAsia"/>
                <w:sz w:val="24"/>
              </w:rPr>
              <w:t>至</w:t>
            </w:r>
            <w:r>
              <w:rPr>
                <w:rFonts w:eastAsiaTheme="minorEastAsia"/>
                <w:sz w:val="24"/>
              </w:rPr>
              <w:t>5</w:t>
            </w:r>
            <w:r>
              <w:rPr>
                <w:rFonts w:hAnsiTheme="minorEastAsia" w:eastAsiaTheme="minorEastAsia"/>
                <w:sz w:val="24"/>
              </w:rPr>
              <w:t>米，比降为</w:t>
            </w:r>
            <w:r>
              <w:rPr>
                <w:rFonts w:eastAsiaTheme="minorEastAsia"/>
                <w:sz w:val="24"/>
              </w:rPr>
              <w:t>1/4000</w:t>
            </w:r>
            <w:r>
              <w:rPr>
                <w:rFonts w:hAnsiTheme="minorEastAsia" w:eastAsiaTheme="minorEastAsia"/>
                <w:sz w:val="24"/>
              </w:rPr>
              <w:t>。根据新乡市地面水功能区划分，对西孟姜女河的水质要求达到地面水</w:t>
            </w:r>
            <w:r>
              <w:rPr>
                <w:rFonts w:eastAsiaTheme="minorEastAsia"/>
                <w:sz w:val="24"/>
              </w:rPr>
              <w:t>Ⅴ</w:t>
            </w:r>
            <w:r>
              <w:rPr>
                <w:rFonts w:hAnsiTheme="minorEastAsia" w:eastAsiaTheme="minorEastAsia"/>
                <w:sz w:val="24"/>
              </w:rPr>
              <w:t>类水质标准，规划功能为自然水域及输水沟渠。</w:t>
            </w:r>
          </w:p>
          <w:p>
            <w:pPr>
              <w:spacing w:line="440" w:lineRule="exact"/>
              <w:ind w:firstLine="480" w:firstLineChars="200"/>
              <w:rPr>
                <w:rFonts w:eastAsiaTheme="minorEastAsia"/>
                <w:sz w:val="24"/>
              </w:rPr>
            </w:pPr>
            <w:r>
              <w:rPr>
                <w:rFonts w:hAnsiTheme="minorEastAsia" w:eastAsiaTheme="minorEastAsia"/>
                <w:sz w:val="24"/>
              </w:rPr>
              <w:t>（</w:t>
            </w:r>
            <w:r>
              <w:rPr>
                <w:rFonts w:eastAsiaTheme="minorEastAsia"/>
                <w:sz w:val="24"/>
              </w:rPr>
              <w:t>2</w:t>
            </w:r>
            <w:r>
              <w:rPr>
                <w:rFonts w:hAnsiTheme="minorEastAsia" w:eastAsiaTheme="minorEastAsia"/>
                <w:sz w:val="24"/>
              </w:rPr>
              <w:t>）地下水</w:t>
            </w:r>
          </w:p>
          <w:p>
            <w:pPr>
              <w:pStyle w:val="85"/>
              <w:spacing w:line="440" w:lineRule="exact"/>
              <w:ind w:firstLine="480" w:firstLineChars="200"/>
              <w:rPr>
                <w:rFonts w:ascii="Times New Roman" w:hAnsi="Times New Roman" w:eastAsiaTheme="minorEastAsia"/>
                <w:sz w:val="24"/>
              </w:rPr>
            </w:pPr>
            <w:r>
              <w:rPr>
                <w:rFonts w:ascii="Times New Roman" w:hAnsiTheme="minorEastAsia" w:eastAsiaTheme="minorEastAsia"/>
                <w:sz w:val="24"/>
              </w:rPr>
              <w:t>新乡县地下水流向总体上为从西南至东北。浅层水顶板埋深</w:t>
            </w:r>
            <w:r>
              <w:rPr>
                <w:rFonts w:ascii="Times New Roman" w:hAnsi="Times New Roman" w:eastAsiaTheme="minorEastAsia"/>
                <w:sz w:val="24"/>
              </w:rPr>
              <w:t>4~8m</w:t>
            </w:r>
            <w:r>
              <w:rPr>
                <w:rFonts w:ascii="Times New Roman" w:hAnsiTheme="minorEastAsia" w:eastAsiaTheme="minorEastAsia"/>
                <w:sz w:val="24"/>
              </w:rPr>
              <w:t>，底板埋深</w:t>
            </w:r>
            <w:r>
              <w:rPr>
                <w:rFonts w:ascii="Times New Roman" w:hAnsi="Times New Roman" w:eastAsiaTheme="minorEastAsia"/>
                <w:sz w:val="24"/>
              </w:rPr>
              <w:t>71~87m</w:t>
            </w:r>
            <w:r>
              <w:rPr>
                <w:rFonts w:ascii="Times New Roman" w:hAnsiTheme="minorEastAsia" w:eastAsiaTheme="minorEastAsia"/>
                <w:sz w:val="24"/>
              </w:rPr>
              <w:t>，以中砂为主；中层水顶板埋深</w:t>
            </w:r>
            <w:r>
              <w:rPr>
                <w:rFonts w:ascii="Times New Roman" w:hAnsi="Times New Roman" w:eastAsiaTheme="minorEastAsia"/>
                <w:sz w:val="24"/>
              </w:rPr>
              <w:t>73~97m</w:t>
            </w:r>
            <w:r>
              <w:rPr>
                <w:rFonts w:ascii="Times New Roman" w:hAnsiTheme="minorEastAsia" w:eastAsiaTheme="minorEastAsia"/>
                <w:sz w:val="24"/>
              </w:rPr>
              <w:t>，底板埋深</w:t>
            </w:r>
            <w:r>
              <w:rPr>
                <w:rFonts w:ascii="Times New Roman" w:hAnsi="Times New Roman" w:eastAsiaTheme="minorEastAsia"/>
                <w:sz w:val="24"/>
              </w:rPr>
              <w:t>124~137m</w:t>
            </w:r>
            <w:r>
              <w:rPr>
                <w:rFonts w:ascii="Times New Roman" w:hAnsiTheme="minorEastAsia" w:eastAsiaTheme="minorEastAsia"/>
                <w:sz w:val="24"/>
              </w:rPr>
              <w:t>，以中细砂为主。地下水矿化度小于</w:t>
            </w:r>
            <w:r>
              <w:rPr>
                <w:rFonts w:ascii="Times New Roman" w:hAnsi="Times New Roman" w:eastAsiaTheme="minorEastAsia"/>
                <w:sz w:val="24"/>
              </w:rPr>
              <w:t>0.7g/L</w:t>
            </w:r>
            <w:r>
              <w:rPr>
                <w:rFonts w:ascii="Times New Roman" w:hAnsiTheme="minorEastAsia" w:eastAsiaTheme="minorEastAsia"/>
                <w:sz w:val="24"/>
              </w:rPr>
              <w:t>。</w:t>
            </w:r>
          </w:p>
          <w:p>
            <w:pPr>
              <w:autoSpaceDE w:val="0"/>
              <w:autoSpaceDN w:val="0"/>
              <w:spacing w:line="440" w:lineRule="exact"/>
              <w:ind w:firstLine="482" w:firstLineChars="200"/>
              <w:rPr>
                <w:rFonts w:eastAsiaTheme="minorEastAsia"/>
                <w:b/>
                <w:kern w:val="0"/>
                <w:sz w:val="24"/>
              </w:rPr>
            </w:pPr>
            <w:r>
              <w:rPr>
                <w:rFonts w:eastAsiaTheme="minorEastAsia"/>
                <w:b/>
                <w:kern w:val="0"/>
                <w:sz w:val="24"/>
              </w:rPr>
              <w:t>5</w:t>
            </w:r>
            <w:r>
              <w:rPr>
                <w:rFonts w:hAnsiTheme="minorEastAsia" w:eastAsiaTheme="minorEastAsia"/>
                <w:b/>
                <w:kern w:val="0"/>
                <w:sz w:val="24"/>
              </w:rPr>
              <w:t>、生物资源</w:t>
            </w:r>
          </w:p>
          <w:p>
            <w:pPr>
              <w:spacing w:line="440" w:lineRule="exact"/>
              <w:ind w:firstLine="480" w:firstLineChars="200"/>
              <w:jc w:val="left"/>
              <w:rPr>
                <w:sz w:val="24"/>
              </w:rPr>
            </w:pPr>
            <w:r>
              <w:rPr>
                <w:rFonts w:hAnsi="宋体"/>
                <w:sz w:val="24"/>
              </w:rPr>
              <w:t>新乡县多为农作物栽培植被，成片林植被分布在故道沙区。其余植被系统为人工植被，人工栽培的杨柳、旱柳与农作物组成的大面积的人工农田林网。经济作物以油菜、花生、芝麻、大豆等为主，养殖业以鸡、猪、羊、牛等为主。现有林木面积</w:t>
            </w:r>
            <w:r>
              <w:rPr>
                <w:sz w:val="24"/>
              </w:rPr>
              <w:t>5000</w:t>
            </w:r>
            <w:r>
              <w:rPr>
                <w:rFonts w:hAnsi="宋体"/>
                <w:sz w:val="24"/>
              </w:rPr>
              <w:t>亩，林果品种有银杏、葡萄、核桃、蜜桃、石榴等，自生用材林有刺槐、毛白杨等树种。</w:t>
            </w:r>
          </w:p>
          <w:p>
            <w:pPr>
              <w:spacing w:line="440" w:lineRule="exact"/>
              <w:ind w:firstLine="480" w:firstLineChars="200"/>
              <w:rPr>
                <w:kern w:val="0"/>
                <w:sz w:val="24"/>
              </w:rPr>
            </w:pPr>
            <w:r>
              <w:rPr>
                <w:rFonts w:hAnsi="宋体"/>
                <w:sz w:val="24"/>
              </w:rPr>
              <w:t>项目周边</w:t>
            </w:r>
            <w:r>
              <w:rPr>
                <w:sz w:val="24"/>
              </w:rPr>
              <w:t>500m</w:t>
            </w:r>
            <w:r>
              <w:rPr>
                <w:rFonts w:hAnsi="宋体"/>
                <w:sz w:val="24"/>
              </w:rPr>
              <w:t>范围内无列入《国家重点保护野生植物名录》和《国家重点保护野生动物名录》的动植物。</w:t>
            </w:r>
          </w:p>
          <w:p>
            <w:pPr>
              <w:spacing w:line="440" w:lineRule="exact"/>
              <w:ind w:firstLine="482" w:firstLineChars="200"/>
              <w:rPr>
                <w:b/>
                <w:sz w:val="24"/>
              </w:rPr>
            </w:pPr>
            <w:r>
              <w:rPr>
                <w:b/>
                <w:sz w:val="24"/>
              </w:rPr>
              <w:t>6</w:t>
            </w:r>
            <w:r>
              <w:rPr>
                <w:rFonts w:hAnsi="宋体"/>
                <w:b/>
                <w:sz w:val="24"/>
              </w:rPr>
              <w:t>、土壤状况</w:t>
            </w:r>
          </w:p>
          <w:p>
            <w:pPr>
              <w:spacing w:line="440" w:lineRule="exact"/>
              <w:ind w:firstLine="480" w:firstLineChars="200"/>
              <w:rPr>
                <w:color w:val="000000"/>
                <w:sz w:val="24"/>
              </w:rPr>
            </w:pPr>
            <w:r>
              <w:rPr>
                <w:rFonts w:hAnsi="宋体"/>
                <w:color w:val="000000"/>
                <w:sz w:val="24"/>
              </w:rPr>
              <w:t>新乡县境内砂质、壤质、粘质三级土壤，组成</w:t>
            </w:r>
            <w:r>
              <w:rPr>
                <w:color w:val="000000"/>
                <w:sz w:val="24"/>
              </w:rPr>
              <w:t>6</w:t>
            </w:r>
            <w:r>
              <w:rPr>
                <w:rFonts w:hAnsi="宋体"/>
                <w:color w:val="000000"/>
                <w:sz w:val="24"/>
              </w:rPr>
              <w:t>个母质机械类型。境内黄河故道为沉砂组成，系砂土和砂壤土。黄河故道以北系黄河滩地，土质为褐土化小两合、褐土化两合土，并间有不同的其他类型。古阳堤以北地势低洼，地下水渗入形成潮化，土壤为小两合、两合土，间有不同的其他类型。共产主义渠以南、卫河两岸，多为潮化土壤。依据全国土壤分类暂行规定，新乡县</w:t>
            </w:r>
            <w:r>
              <w:rPr>
                <w:color w:val="000000"/>
                <w:sz w:val="24"/>
              </w:rPr>
              <w:t>372.8</w:t>
            </w:r>
            <w:r>
              <w:rPr>
                <w:rFonts w:hAnsi="宋体"/>
                <w:color w:val="000000"/>
                <w:sz w:val="24"/>
              </w:rPr>
              <w:t>平方公里土地，可分为</w:t>
            </w:r>
            <w:r>
              <w:rPr>
                <w:color w:val="000000"/>
                <w:sz w:val="24"/>
              </w:rPr>
              <w:t>4</w:t>
            </w:r>
            <w:r>
              <w:rPr>
                <w:rFonts w:hAnsi="宋体"/>
                <w:color w:val="000000"/>
                <w:sz w:val="24"/>
              </w:rPr>
              <w:t>个土类、</w:t>
            </w:r>
            <w:r>
              <w:rPr>
                <w:color w:val="000000"/>
                <w:sz w:val="24"/>
              </w:rPr>
              <w:t>7</w:t>
            </w:r>
            <w:r>
              <w:rPr>
                <w:rFonts w:hAnsi="宋体"/>
                <w:color w:val="000000"/>
                <w:sz w:val="24"/>
              </w:rPr>
              <w:t>个亚类、</w:t>
            </w:r>
            <w:r>
              <w:rPr>
                <w:color w:val="000000"/>
                <w:sz w:val="24"/>
              </w:rPr>
              <w:t>13</w:t>
            </w:r>
            <w:r>
              <w:rPr>
                <w:rFonts w:hAnsi="宋体"/>
                <w:color w:val="000000"/>
                <w:sz w:val="24"/>
              </w:rPr>
              <w:t>个土属、</w:t>
            </w:r>
            <w:r>
              <w:rPr>
                <w:color w:val="000000"/>
                <w:sz w:val="24"/>
              </w:rPr>
              <w:t>35</w:t>
            </w:r>
            <w:r>
              <w:rPr>
                <w:rFonts w:hAnsi="宋体"/>
                <w:color w:val="000000"/>
                <w:sz w:val="24"/>
              </w:rPr>
              <w:t>个土种。</w:t>
            </w:r>
          </w:p>
          <w:p>
            <w:pPr>
              <w:pStyle w:val="13"/>
              <w:adjustRightInd w:val="0"/>
              <w:snapToGrid w:val="0"/>
              <w:spacing w:line="440" w:lineRule="exact"/>
              <w:ind w:firstLine="480" w:firstLineChars="200"/>
              <w:rPr>
                <w:rFonts w:ascii="Times New Roman" w:hAnsi="Times New Roman"/>
                <w:sz w:val="24"/>
                <w:szCs w:val="24"/>
              </w:rPr>
            </w:pPr>
            <w:r>
              <w:rPr>
                <w:rFonts w:ascii="Times New Roman" w:hAnsi="宋体"/>
                <w:sz w:val="24"/>
                <w:szCs w:val="24"/>
              </w:rPr>
              <w:t>该区工程地质条件较好，地壳总体稳定性好，土地允许承载力为</w:t>
            </w:r>
            <w:r>
              <w:rPr>
                <w:rFonts w:ascii="Times New Roman" w:hAnsi="Times New Roman"/>
                <w:sz w:val="24"/>
                <w:szCs w:val="24"/>
              </w:rPr>
              <w:t>15~20t/m</w:t>
            </w:r>
            <w:r>
              <w:rPr>
                <w:rFonts w:ascii="Times New Roman" w:hAnsi="Times New Roman"/>
                <w:sz w:val="24"/>
                <w:szCs w:val="24"/>
                <w:vertAlign w:val="superscript"/>
              </w:rPr>
              <w:t>2</w:t>
            </w:r>
            <w:r>
              <w:rPr>
                <w:rFonts w:ascii="Times New Roman" w:hAnsi="宋体"/>
                <w:sz w:val="24"/>
                <w:szCs w:val="24"/>
              </w:rPr>
              <w:t>，项目所在地未有重大断层。</w:t>
            </w:r>
          </w:p>
          <w:p>
            <w:pPr>
              <w:spacing w:line="440" w:lineRule="exact"/>
              <w:ind w:firstLine="482" w:firstLineChars="200"/>
              <w:jc w:val="left"/>
              <w:rPr>
                <w:b/>
                <w:sz w:val="24"/>
              </w:rPr>
            </w:pPr>
            <w:r>
              <w:rPr>
                <w:b/>
                <w:sz w:val="24"/>
              </w:rPr>
              <w:t>7</w:t>
            </w:r>
            <w:r>
              <w:rPr>
                <w:rFonts w:hAnsi="宋体"/>
                <w:b/>
                <w:sz w:val="24"/>
              </w:rPr>
              <w:t>、矿产资源</w:t>
            </w:r>
          </w:p>
          <w:p>
            <w:pPr>
              <w:spacing w:line="440" w:lineRule="exact"/>
              <w:ind w:firstLine="480" w:firstLineChars="200"/>
              <w:rPr>
                <w:b/>
                <w:sz w:val="24"/>
              </w:rPr>
            </w:pPr>
            <w:r>
              <w:rPr>
                <w:rFonts w:hAnsi="宋体"/>
                <w:sz w:val="24"/>
              </w:rPr>
              <w:t>新乡市自然资源丰富。已发现和开采矿藏</w:t>
            </w:r>
            <w:r>
              <w:rPr>
                <w:sz w:val="24"/>
              </w:rPr>
              <w:t>20</w:t>
            </w:r>
            <w:r>
              <w:rPr>
                <w:rFonts w:hAnsi="宋体"/>
                <w:sz w:val="24"/>
              </w:rPr>
              <w:t>余种，其中，水泥灰岩和煤炭储量分别达到</w:t>
            </w:r>
            <w:r>
              <w:rPr>
                <w:sz w:val="24"/>
              </w:rPr>
              <w:t>100</w:t>
            </w:r>
            <w:r>
              <w:rPr>
                <w:rFonts w:hAnsi="宋体"/>
                <w:sz w:val="24"/>
              </w:rPr>
              <w:t>亿吨和</w:t>
            </w:r>
            <w:r>
              <w:rPr>
                <w:sz w:val="24"/>
              </w:rPr>
              <w:t>84</w:t>
            </w:r>
            <w:r>
              <w:rPr>
                <w:rFonts w:hAnsi="宋体"/>
                <w:sz w:val="24"/>
              </w:rPr>
              <w:t>亿吨。南水北调、西气东输工程穿境而过，地下煤层气储量丰富。主要矿产资源为非金属建筑材料泥灰岩、白垩土、石灰岩。其储量大，质量好，此外有铁、铜、铝、重晶石、白云岩、煤等。</w:t>
            </w:r>
          </w:p>
          <w:p>
            <w:pPr>
              <w:adjustRightInd w:val="0"/>
              <w:snapToGrid w:val="0"/>
              <w:spacing w:line="440" w:lineRule="exact"/>
              <w:ind w:firstLine="480" w:firstLineChars="200"/>
              <w:rPr>
                <w:sz w:val="24"/>
              </w:rPr>
            </w:pPr>
            <w:r>
              <w:rPr>
                <w:rFonts w:hAnsi="宋体"/>
                <w:sz w:val="24"/>
              </w:rPr>
              <w:t>本项目周围无可开采的矿产资源。</w:t>
            </w:r>
          </w:p>
          <w:p>
            <w:pPr>
              <w:adjustRightInd w:val="0"/>
              <w:snapToGrid w:val="0"/>
              <w:spacing w:line="440" w:lineRule="exact"/>
              <w:ind w:firstLine="480" w:firstLineChars="200"/>
              <w:rPr>
                <w:sz w:val="24"/>
              </w:rPr>
            </w:pPr>
          </w:p>
          <w:p>
            <w:pPr>
              <w:adjustRightInd w:val="0"/>
              <w:snapToGrid w:val="0"/>
              <w:spacing w:line="440" w:lineRule="exact"/>
              <w:ind w:firstLine="480" w:firstLineChars="200"/>
              <w:rPr>
                <w:sz w:val="24"/>
              </w:rPr>
            </w:pPr>
          </w:p>
          <w:p>
            <w:pPr>
              <w:pStyle w:val="2"/>
              <w:ind w:left="0" w:leftChars="0" w:firstLine="0" w:firstLineChars="0"/>
              <w:rPr>
                <w:sz w:val="24"/>
              </w:rPr>
            </w:pPr>
          </w:p>
          <w:p>
            <w:pPr>
              <w:pStyle w:val="2"/>
              <w:ind w:left="0" w:leftChars="0" w:firstLine="0" w:firstLineChars="0"/>
              <w:rPr>
                <w:sz w:val="24"/>
              </w:rPr>
            </w:pPr>
          </w:p>
          <w:p>
            <w:pPr>
              <w:adjustRightInd w:val="0"/>
              <w:snapToGrid w:val="0"/>
              <w:spacing w:line="440" w:lineRule="exact"/>
              <w:ind w:firstLine="480" w:firstLineChars="200"/>
              <w:rPr>
                <w:sz w:val="24"/>
              </w:rPr>
            </w:pPr>
          </w:p>
          <w:p>
            <w:pPr>
              <w:adjustRightInd w:val="0"/>
              <w:snapToGrid w:val="0"/>
              <w:spacing w:line="440" w:lineRule="exact"/>
              <w:ind w:firstLine="480" w:firstLineChars="200"/>
              <w:rPr>
                <w:sz w:val="24"/>
              </w:rPr>
            </w:pPr>
          </w:p>
          <w:p>
            <w:pPr>
              <w:adjustRightInd w:val="0"/>
              <w:snapToGrid w:val="0"/>
              <w:spacing w:line="440" w:lineRule="exact"/>
              <w:ind w:firstLine="480" w:firstLineChars="200"/>
              <w:rPr>
                <w:sz w:val="24"/>
              </w:rPr>
            </w:pPr>
          </w:p>
          <w:p>
            <w:pPr>
              <w:adjustRightInd w:val="0"/>
              <w:snapToGrid w:val="0"/>
              <w:spacing w:line="440" w:lineRule="exact"/>
              <w:ind w:firstLine="480" w:firstLineChars="200"/>
              <w:rPr>
                <w:sz w:val="24"/>
              </w:rPr>
            </w:pPr>
          </w:p>
          <w:p>
            <w:pPr>
              <w:adjustRightInd w:val="0"/>
              <w:snapToGrid w:val="0"/>
              <w:spacing w:line="440" w:lineRule="exact"/>
              <w:ind w:firstLine="480" w:firstLineChars="200"/>
              <w:rPr>
                <w:sz w:val="24"/>
              </w:rPr>
            </w:pPr>
          </w:p>
          <w:p>
            <w:pPr>
              <w:adjustRightInd w:val="0"/>
              <w:snapToGrid w:val="0"/>
              <w:spacing w:line="440" w:lineRule="exact"/>
              <w:ind w:firstLine="480" w:firstLineChars="200"/>
              <w:rPr>
                <w:sz w:val="24"/>
              </w:rPr>
            </w:pPr>
          </w:p>
          <w:p>
            <w:pPr>
              <w:adjustRightInd w:val="0"/>
              <w:snapToGrid w:val="0"/>
              <w:spacing w:line="440" w:lineRule="exact"/>
              <w:ind w:firstLine="480" w:firstLineChars="200"/>
              <w:rPr>
                <w:color w:val="FF0000"/>
                <w:sz w:val="24"/>
              </w:rPr>
            </w:pPr>
          </w:p>
        </w:tc>
      </w:tr>
    </w:tbl>
    <w:p>
      <w:pPr>
        <w:spacing w:line="500" w:lineRule="exact"/>
        <w:outlineLvl w:val="0"/>
        <w:rPr>
          <w:b/>
          <w:sz w:val="32"/>
          <w:szCs w:val="32"/>
        </w:rPr>
      </w:pPr>
      <w:r>
        <w:rPr>
          <w:rFonts w:hint="eastAsia" w:hAnsi="宋体"/>
          <w:b/>
          <w:sz w:val="32"/>
          <w:szCs w:val="32"/>
        </w:rPr>
        <w:t>环境质量状况</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24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66" w:hRule="atLeast"/>
          <w:jc w:val="center"/>
        </w:trPr>
        <w:tc>
          <w:tcPr>
            <w:tcW w:w="9242" w:type="dxa"/>
          </w:tcPr>
          <w:p>
            <w:pPr>
              <w:pStyle w:val="20"/>
              <w:adjustRightInd w:val="0"/>
              <w:snapToGrid w:val="0"/>
              <w:spacing w:line="440" w:lineRule="exact"/>
              <w:rPr>
                <w:rFonts w:ascii="Times New Roman" w:hAnsi="Times New Roman" w:eastAsiaTheme="minorEastAsia"/>
                <w:b/>
                <w:bCs/>
              </w:rPr>
            </w:pPr>
            <w:r>
              <w:rPr>
                <w:rFonts w:ascii="Times New Roman" w:hAnsiTheme="minorEastAsia" w:eastAsiaTheme="minorEastAsia"/>
                <w:b/>
                <w:bCs/>
              </w:rPr>
              <w:t>建设项目所在地区域环境质量现状及主要环境问题（环境空气、地面水、地下水、声环境、生态环境等）</w:t>
            </w:r>
          </w:p>
          <w:p>
            <w:pPr>
              <w:adjustRightInd w:val="0"/>
              <w:snapToGrid w:val="0"/>
              <w:spacing w:line="440" w:lineRule="exact"/>
              <w:ind w:firstLine="482" w:firstLineChars="200"/>
              <w:jc w:val="left"/>
              <w:rPr>
                <w:rFonts w:eastAsiaTheme="minorEastAsia"/>
                <w:b/>
                <w:sz w:val="24"/>
              </w:rPr>
            </w:pPr>
            <w:r>
              <w:rPr>
                <w:rFonts w:eastAsiaTheme="minorEastAsia"/>
                <w:b/>
                <w:sz w:val="24"/>
              </w:rPr>
              <w:t>1</w:t>
            </w:r>
            <w:r>
              <w:rPr>
                <w:rFonts w:hAnsiTheme="minorEastAsia" w:eastAsiaTheme="minorEastAsia"/>
                <w:b/>
                <w:sz w:val="24"/>
              </w:rPr>
              <w:t>、环境空气质量现状</w:t>
            </w:r>
          </w:p>
          <w:p>
            <w:pPr>
              <w:pStyle w:val="11"/>
              <w:adjustRightInd w:val="0"/>
              <w:snapToGrid w:val="0"/>
              <w:spacing w:line="440" w:lineRule="exact"/>
              <w:ind w:firstLine="480" w:firstLineChars="200"/>
              <w:rPr>
                <w:sz w:val="24"/>
              </w:rPr>
            </w:pPr>
            <w:r>
              <w:rPr>
                <w:rFonts w:hint="eastAsia"/>
                <w:sz w:val="24"/>
              </w:rPr>
              <w:t>根据大气功能区划分原则，项目所在区域为二类功能区，环境空气质量应执行《环境空气质量标准》（</w:t>
            </w:r>
            <w:r>
              <w:rPr>
                <w:sz w:val="24"/>
              </w:rPr>
              <w:t>GB3095-2012</w:t>
            </w:r>
            <w:r>
              <w:rPr>
                <w:rFonts w:hint="eastAsia"/>
                <w:sz w:val="24"/>
              </w:rPr>
              <w:t>）及</w:t>
            </w:r>
            <w:r>
              <w:rPr>
                <w:rFonts w:hint="eastAsia"/>
                <w:sz w:val="24"/>
                <w:highlight w:val="none"/>
              </w:rPr>
              <w:t>其2018年修</w:t>
            </w:r>
            <w:r>
              <w:rPr>
                <w:rFonts w:hint="eastAsia"/>
                <w:sz w:val="24"/>
              </w:rPr>
              <w:t>改单二级标准。</w:t>
            </w:r>
            <w:r>
              <w:rPr>
                <w:sz w:val="24"/>
              </w:rPr>
              <w:t>根据新乡市环保局发布的《新乡市2019年环境质量年报》，2019年，新乡市颗粒物PM10平均浓度101微克/立方米，同比下降4微克/立方米，降幅3.8%；PM</w:t>
            </w:r>
            <w:r>
              <w:rPr>
                <w:sz w:val="24"/>
                <w:vertAlign w:val="subscript"/>
              </w:rPr>
              <w:t>2.5</w:t>
            </w:r>
            <w:r>
              <w:rPr>
                <w:sz w:val="24"/>
              </w:rPr>
              <w:t>平均浓度56微克/立方米，同比下降5微克/立方米，降幅8.2%。气态污染物 SO</w:t>
            </w:r>
            <w:r>
              <w:rPr>
                <w:sz w:val="24"/>
                <w:vertAlign w:val="subscript"/>
              </w:rPr>
              <w:t>2</w:t>
            </w:r>
            <w:r>
              <w:rPr>
                <w:sz w:val="24"/>
              </w:rPr>
              <w:t>平均浓度16微克/立方米，同比下降3微克/立方米，降幅15.8%；NO</w:t>
            </w:r>
            <w:r>
              <w:rPr>
                <w:sz w:val="24"/>
                <w:vertAlign w:val="subscript"/>
              </w:rPr>
              <w:t>2</w:t>
            </w:r>
            <w:r>
              <w:rPr>
                <w:sz w:val="24"/>
              </w:rPr>
              <w:t>平均浓度44微克/立方米，同比下降5微克/立方米，降幅10.2%；O</w:t>
            </w:r>
            <w:r>
              <w:rPr>
                <w:sz w:val="24"/>
                <w:vertAlign w:val="subscript"/>
              </w:rPr>
              <w:t>3</w:t>
            </w:r>
            <w:r>
              <w:rPr>
                <w:sz w:val="24"/>
              </w:rPr>
              <w:t>第90百分位浓度为178微克/立方米，同比下降24微克/立方米，降幅11.9%，CO第95百分位浓度2.08毫克/立方米，同比下降0.22毫克/立方米，降幅9.6%。2019年，新乡市环境空气优、良天数204天，优、良天数比例55.9%；去年同期，优、良天数177天，优、良天数比例51.8%；同比优、良天数增加27天，上升4.1个百分点。区域空气质量现状数据如下表所示</w:t>
            </w:r>
            <w:r>
              <w:rPr>
                <w:rFonts w:hint="eastAsia"/>
                <w:sz w:val="24"/>
              </w:rPr>
              <w:t>：</w:t>
            </w:r>
          </w:p>
          <w:p>
            <w:pPr>
              <w:adjustRightInd w:val="0"/>
              <w:snapToGrid w:val="0"/>
              <w:spacing w:line="440" w:lineRule="exact"/>
              <w:ind w:firstLine="482" w:firstLineChars="200"/>
              <w:textAlignment w:val="baseline"/>
              <w:rPr>
                <w:b/>
                <w:color w:val="000000"/>
                <w:sz w:val="24"/>
              </w:rPr>
            </w:pPr>
            <w:r>
              <w:rPr>
                <w:b/>
                <w:color w:val="000000"/>
                <w:sz w:val="24"/>
              </w:rPr>
              <w:t>表</w:t>
            </w:r>
            <w:r>
              <w:rPr>
                <w:rFonts w:hint="eastAsia"/>
                <w:color w:val="000000"/>
                <w:sz w:val="24"/>
              </w:rPr>
              <w:t>14</w:t>
            </w:r>
            <w:r>
              <w:rPr>
                <w:b/>
                <w:color w:val="000000"/>
                <w:sz w:val="24"/>
              </w:rPr>
              <w:t xml:space="preserve">                     区域空气质量现状评价表</w:t>
            </w:r>
          </w:p>
          <w:tbl>
            <w:tblPr>
              <w:tblStyle w:val="24"/>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387"/>
              <w:gridCol w:w="1870"/>
              <w:gridCol w:w="1550"/>
              <w:gridCol w:w="1686"/>
              <w:gridCol w:w="1266"/>
              <w:gridCol w:w="126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397" w:hRule="atLeast"/>
                <w:jc w:val="center"/>
              </w:trPr>
              <w:tc>
                <w:tcPr>
                  <w:tcW w:w="768" w:type="pct"/>
                  <w:tcBorders>
                    <w:top w:val="single" w:color="auto" w:sz="8" w:space="0"/>
                    <w:left w:val="nil"/>
                    <w:bottom w:val="single" w:color="auto" w:sz="8" w:space="0"/>
                    <w:right w:val="single" w:color="auto" w:sz="4" w:space="0"/>
                  </w:tcBorders>
                  <w:tcMar>
                    <w:top w:w="57" w:type="dxa"/>
                    <w:left w:w="85" w:type="dxa"/>
                    <w:bottom w:w="57" w:type="dxa"/>
                    <w:right w:w="85" w:type="dxa"/>
                  </w:tcMar>
                  <w:vAlign w:val="center"/>
                </w:tcPr>
                <w:p>
                  <w:pPr>
                    <w:jc w:val="center"/>
                    <w:rPr>
                      <w:rFonts w:eastAsia="黑体"/>
                      <w:szCs w:val="21"/>
                    </w:rPr>
                  </w:pPr>
                  <w:r>
                    <w:rPr>
                      <w:rFonts w:eastAsia="黑体"/>
                      <w:szCs w:val="21"/>
                    </w:rPr>
                    <w:t>污染物</w:t>
                  </w:r>
                </w:p>
              </w:tc>
              <w:tc>
                <w:tcPr>
                  <w:tcW w:w="1035" w:type="pct"/>
                  <w:tcBorders>
                    <w:top w:val="single" w:color="auto" w:sz="8"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rFonts w:eastAsia="黑体"/>
                      <w:szCs w:val="21"/>
                    </w:rPr>
                  </w:pPr>
                  <w:r>
                    <w:rPr>
                      <w:rFonts w:eastAsia="黑体"/>
                      <w:szCs w:val="21"/>
                    </w:rPr>
                    <w:t>年评价指标</w:t>
                  </w:r>
                </w:p>
              </w:tc>
              <w:tc>
                <w:tcPr>
                  <w:tcW w:w="858" w:type="pct"/>
                  <w:tcBorders>
                    <w:top w:val="single" w:color="auto" w:sz="8"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rFonts w:eastAsia="黑体"/>
                      <w:szCs w:val="21"/>
                    </w:rPr>
                  </w:pPr>
                  <w:r>
                    <w:rPr>
                      <w:rFonts w:eastAsia="黑体"/>
                      <w:szCs w:val="21"/>
                    </w:rPr>
                    <w:t>现状浓度/（μg/m</w:t>
                  </w:r>
                  <w:r>
                    <w:rPr>
                      <w:rFonts w:eastAsia="黑体"/>
                      <w:szCs w:val="21"/>
                      <w:vertAlign w:val="superscript"/>
                    </w:rPr>
                    <w:t>3</w:t>
                  </w:r>
                  <w:r>
                    <w:rPr>
                      <w:rFonts w:eastAsia="黑体"/>
                      <w:szCs w:val="21"/>
                    </w:rPr>
                    <w:t>）</w:t>
                  </w:r>
                </w:p>
              </w:tc>
              <w:tc>
                <w:tcPr>
                  <w:tcW w:w="933" w:type="pct"/>
                  <w:tcBorders>
                    <w:top w:val="single" w:color="auto" w:sz="8"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rFonts w:eastAsia="黑体"/>
                      <w:szCs w:val="21"/>
                    </w:rPr>
                  </w:pPr>
                  <w:r>
                    <w:rPr>
                      <w:rFonts w:eastAsia="黑体"/>
                      <w:szCs w:val="21"/>
                    </w:rPr>
                    <w:t>标准值/（μg/m</w:t>
                  </w:r>
                  <w:r>
                    <w:rPr>
                      <w:rFonts w:eastAsia="黑体"/>
                      <w:szCs w:val="21"/>
                      <w:vertAlign w:val="superscript"/>
                    </w:rPr>
                    <w:t>3</w:t>
                  </w:r>
                  <w:r>
                    <w:rPr>
                      <w:rFonts w:eastAsia="黑体"/>
                      <w:szCs w:val="21"/>
                    </w:rPr>
                    <w:t>）</w:t>
                  </w:r>
                </w:p>
              </w:tc>
              <w:tc>
                <w:tcPr>
                  <w:tcW w:w="701" w:type="pct"/>
                  <w:tcBorders>
                    <w:top w:val="single" w:color="auto" w:sz="8"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rFonts w:eastAsia="黑体"/>
                      <w:szCs w:val="21"/>
                    </w:rPr>
                  </w:pPr>
                  <w:r>
                    <w:rPr>
                      <w:rFonts w:eastAsia="黑体"/>
                      <w:szCs w:val="21"/>
                    </w:rPr>
                    <w:t>占标率</w:t>
                  </w:r>
                </w:p>
                <w:p>
                  <w:pPr>
                    <w:jc w:val="center"/>
                    <w:rPr>
                      <w:rFonts w:eastAsia="黑体"/>
                      <w:szCs w:val="21"/>
                    </w:rPr>
                  </w:pPr>
                  <w:r>
                    <w:rPr>
                      <w:rFonts w:eastAsia="黑体"/>
                      <w:szCs w:val="21"/>
                    </w:rPr>
                    <w:t>%</w:t>
                  </w:r>
                </w:p>
              </w:tc>
              <w:tc>
                <w:tcPr>
                  <w:tcW w:w="701" w:type="pct"/>
                  <w:tcBorders>
                    <w:top w:val="single" w:color="auto" w:sz="8" w:space="0"/>
                    <w:left w:val="single" w:color="auto" w:sz="4" w:space="0"/>
                    <w:bottom w:val="single" w:color="auto" w:sz="8" w:space="0"/>
                    <w:right w:val="nil"/>
                  </w:tcBorders>
                  <w:tcMar>
                    <w:top w:w="57" w:type="dxa"/>
                    <w:left w:w="85" w:type="dxa"/>
                    <w:bottom w:w="57" w:type="dxa"/>
                    <w:right w:w="85" w:type="dxa"/>
                  </w:tcMar>
                  <w:vAlign w:val="center"/>
                </w:tcPr>
                <w:p>
                  <w:pPr>
                    <w:jc w:val="center"/>
                    <w:rPr>
                      <w:rFonts w:eastAsia="黑体"/>
                      <w:szCs w:val="21"/>
                    </w:rPr>
                  </w:pPr>
                  <w:r>
                    <w:rPr>
                      <w:rFonts w:eastAsia="黑体"/>
                      <w:szCs w:val="21"/>
                    </w:rPr>
                    <w:t>达标情况</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330" w:hRule="atLeast"/>
                <w:jc w:val="center"/>
              </w:trPr>
              <w:tc>
                <w:tcPr>
                  <w:tcW w:w="768" w:type="pct"/>
                  <w:tcBorders>
                    <w:top w:val="single" w:color="auto" w:sz="8" w:space="0"/>
                    <w:left w:val="nil"/>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PM</w:t>
                  </w:r>
                  <w:r>
                    <w:rPr>
                      <w:szCs w:val="21"/>
                      <w:vertAlign w:val="subscript"/>
                    </w:rPr>
                    <w:t>10</w:t>
                  </w:r>
                </w:p>
              </w:tc>
              <w:tc>
                <w:tcPr>
                  <w:tcW w:w="1035" w:type="pct"/>
                  <w:tcBorders>
                    <w:top w:val="single" w:color="auto" w:sz="8"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年平均质量浓度</w:t>
                  </w:r>
                </w:p>
              </w:tc>
              <w:tc>
                <w:tcPr>
                  <w:tcW w:w="858" w:type="pct"/>
                  <w:tcBorders>
                    <w:top w:val="single" w:color="auto" w:sz="8"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101</w:t>
                  </w:r>
                </w:p>
              </w:tc>
              <w:tc>
                <w:tcPr>
                  <w:tcW w:w="933" w:type="pct"/>
                  <w:tcBorders>
                    <w:top w:val="single" w:color="auto" w:sz="8"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70</w:t>
                  </w:r>
                </w:p>
              </w:tc>
              <w:tc>
                <w:tcPr>
                  <w:tcW w:w="701" w:type="pct"/>
                  <w:tcBorders>
                    <w:top w:val="single" w:color="auto" w:sz="8"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144.3</w:t>
                  </w:r>
                </w:p>
              </w:tc>
              <w:tc>
                <w:tcPr>
                  <w:tcW w:w="701" w:type="pct"/>
                  <w:tcBorders>
                    <w:top w:val="single" w:color="auto" w:sz="8" w:space="0"/>
                    <w:left w:val="single" w:color="auto" w:sz="4" w:space="0"/>
                    <w:bottom w:val="single" w:color="auto" w:sz="4" w:space="0"/>
                    <w:right w:val="nil"/>
                  </w:tcBorders>
                  <w:tcMar>
                    <w:top w:w="57" w:type="dxa"/>
                    <w:left w:w="85" w:type="dxa"/>
                    <w:bottom w:w="57" w:type="dxa"/>
                    <w:right w:w="85" w:type="dxa"/>
                  </w:tcMar>
                  <w:vAlign w:val="center"/>
                </w:tcPr>
                <w:p>
                  <w:pPr>
                    <w:jc w:val="center"/>
                    <w:rPr>
                      <w:szCs w:val="21"/>
                    </w:rPr>
                  </w:pPr>
                  <w:r>
                    <w:rPr>
                      <w:szCs w:val="21"/>
                    </w:rPr>
                    <w:t>超标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343" w:hRule="atLeast"/>
                <w:jc w:val="center"/>
              </w:trPr>
              <w:tc>
                <w:tcPr>
                  <w:tcW w:w="768" w:type="pct"/>
                  <w:tcBorders>
                    <w:top w:val="single" w:color="auto" w:sz="4" w:space="0"/>
                    <w:left w:val="nil"/>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PM</w:t>
                  </w:r>
                  <w:r>
                    <w:rPr>
                      <w:szCs w:val="21"/>
                      <w:vertAlign w:val="subscript"/>
                    </w:rPr>
                    <w:t>2.5</w:t>
                  </w:r>
                </w:p>
              </w:tc>
              <w:tc>
                <w:tcPr>
                  <w:tcW w:w="1035"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年平均质量浓度</w:t>
                  </w:r>
                </w:p>
              </w:tc>
              <w:tc>
                <w:tcPr>
                  <w:tcW w:w="858"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56</w:t>
                  </w:r>
                </w:p>
              </w:tc>
              <w:tc>
                <w:tcPr>
                  <w:tcW w:w="933"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35</w:t>
                  </w:r>
                </w:p>
              </w:tc>
              <w:tc>
                <w:tcPr>
                  <w:tcW w:w="701"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160</w:t>
                  </w:r>
                </w:p>
              </w:tc>
              <w:tc>
                <w:tcPr>
                  <w:tcW w:w="701" w:type="pct"/>
                  <w:tcBorders>
                    <w:top w:val="single" w:color="auto" w:sz="4" w:space="0"/>
                    <w:left w:val="single" w:color="auto" w:sz="4" w:space="0"/>
                    <w:bottom w:val="single" w:color="auto" w:sz="4" w:space="0"/>
                    <w:right w:val="nil"/>
                  </w:tcBorders>
                  <w:tcMar>
                    <w:top w:w="57" w:type="dxa"/>
                    <w:left w:w="85" w:type="dxa"/>
                    <w:bottom w:w="57" w:type="dxa"/>
                    <w:right w:w="85" w:type="dxa"/>
                  </w:tcMar>
                  <w:vAlign w:val="center"/>
                </w:tcPr>
                <w:p>
                  <w:pPr>
                    <w:jc w:val="center"/>
                    <w:rPr>
                      <w:szCs w:val="21"/>
                    </w:rPr>
                  </w:pPr>
                  <w:r>
                    <w:rPr>
                      <w:szCs w:val="21"/>
                    </w:rPr>
                    <w:t>超标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325" w:hRule="atLeast"/>
                <w:jc w:val="center"/>
              </w:trPr>
              <w:tc>
                <w:tcPr>
                  <w:tcW w:w="768" w:type="pct"/>
                  <w:tcBorders>
                    <w:top w:val="single" w:color="auto" w:sz="4" w:space="0"/>
                    <w:left w:val="nil"/>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SO</w:t>
                  </w:r>
                  <w:r>
                    <w:rPr>
                      <w:szCs w:val="21"/>
                      <w:vertAlign w:val="subscript"/>
                    </w:rPr>
                    <w:t>2</w:t>
                  </w:r>
                </w:p>
              </w:tc>
              <w:tc>
                <w:tcPr>
                  <w:tcW w:w="1035"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年平均质量浓度</w:t>
                  </w:r>
                </w:p>
              </w:tc>
              <w:tc>
                <w:tcPr>
                  <w:tcW w:w="858"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16</w:t>
                  </w:r>
                </w:p>
              </w:tc>
              <w:tc>
                <w:tcPr>
                  <w:tcW w:w="933"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60</w:t>
                  </w:r>
                </w:p>
              </w:tc>
              <w:tc>
                <w:tcPr>
                  <w:tcW w:w="701"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26.7</w:t>
                  </w:r>
                </w:p>
              </w:tc>
              <w:tc>
                <w:tcPr>
                  <w:tcW w:w="701" w:type="pct"/>
                  <w:tcBorders>
                    <w:top w:val="single" w:color="auto" w:sz="4" w:space="0"/>
                    <w:left w:val="single" w:color="auto" w:sz="4" w:space="0"/>
                    <w:bottom w:val="single" w:color="auto" w:sz="4" w:space="0"/>
                    <w:right w:val="nil"/>
                  </w:tcBorders>
                  <w:tcMar>
                    <w:top w:w="57" w:type="dxa"/>
                    <w:left w:w="85" w:type="dxa"/>
                    <w:bottom w:w="57" w:type="dxa"/>
                    <w:right w:w="85" w:type="dxa"/>
                  </w:tcMar>
                  <w:vAlign w:val="center"/>
                </w:tcPr>
                <w:p>
                  <w:pPr>
                    <w:jc w:val="center"/>
                    <w:rPr>
                      <w:szCs w:val="21"/>
                    </w:rPr>
                  </w:pPr>
                  <w:r>
                    <w:rPr>
                      <w:szCs w:val="21"/>
                    </w:rPr>
                    <w:t>达标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330" w:hRule="atLeast"/>
                <w:jc w:val="center"/>
              </w:trPr>
              <w:tc>
                <w:tcPr>
                  <w:tcW w:w="768" w:type="pct"/>
                  <w:tcBorders>
                    <w:top w:val="single" w:color="auto" w:sz="4" w:space="0"/>
                    <w:left w:val="nil"/>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NO</w:t>
                  </w:r>
                  <w:r>
                    <w:rPr>
                      <w:szCs w:val="21"/>
                      <w:vertAlign w:val="subscript"/>
                    </w:rPr>
                    <w:t>2</w:t>
                  </w:r>
                </w:p>
              </w:tc>
              <w:tc>
                <w:tcPr>
                  <w:tcW w:w="1035"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年平均质量浓度</w:t>
                  </w:r>
                </w:p>
              </w:tc>
              <w:tc>
                <w:tcPr>
                  <w:tcW w:w="858"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44</w:t>
                  </w:r>
                </w:p>
              </w:tc>
              <w:tc>
                <w:tcPr>
                  <w:tcW w:w="933"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40</w:t>
                  </w:r>
                </w:p>
              </w:tc>
              <w:tc>
                <w:tcPr>
                  <w:tcW w:w="701"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110</w:t>
                  </w:r>
                </w:p>
              </w:tc>
              <w:tc>
                <w:tcPr>
                  <w:tcW w:w="701" w:type="pct"/>
                  <w:tcBorders>
                    <w:top w:val="single" w:color="auto" w:sz="4" w:space="0"/>
                    <w:left w:val="single" w:color="auto" w:sz="4" w:space="0"/>
                    <w:bottom w:val="single" w:color="auto" w:sz="4" w:space="0"/>
                    <w:right w:val="nil"/>
                  </w:tcBorders>
                  <w:tcMar>
                    <w:top w:w="57" w:type="dxa"/>
                    <w:left w:w="85" w:type="dxa"/>
                    <w:bottom w:w="57" w:type="dxa"/>
                    <w:right w:w="85" w:type="dxa"/>
                  </w:tcMar>
                  <w:vAlign w:val="center"/>
                </w:tcPr>
                <w:p>
                  <w:pPr>
                    <w:jc w:val="center"/>
                    <w:rPr>
                      <w:szCs w:val="21"/>
                    </w:rPr>
                  </w:pPr>
                  <w:r>
                    <w:rPr>
                      <w:szCs w:val="21"/>
                    </w:rPr>
                    <w:t>超标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355" w:hRule="atLeast"/>
                <w:jc w:val="center"/>
              </w:trPr>
              <w:tc>
                <w:tcPr>
                  <w:tcW w:w="768" w:type="pct"/>
                  <w:tcBorders>
                    <w:top w:val="single" w:color="auto" w:sz="4" w:space="0"/>
                    <w:left w:val="nil"/>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CO</w:t>
                  </w:r>
                </w:p>
              </w:tc>
              <w:tc>
                <w:tcPr>
                  <w:tcW w:w="1035"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第95百分位浓度</w:t>
                  </w:r>
                </w:p>
              </w:tc>
              <w:tc>
                <w:tcPr>
                  <w:tcW w:w="858"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2.08mg/m</w:t>
                  </w:r>
                  <w:r>
                    <w:rPr>
                      <w:szCs w:val="21"/>
                      <w:vertAlign w:val="superscript"/>
                    </w:rPr>
                    <w:t>3</w:t>
                  </w:r>
                </w:p>
              </w:tc>
              <w:tc>
                <w:tcPr>
                  <w:tcW w:w="933"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4mg/m</w:t>
                  </w:r>
                  <w:r>
                    <w:rPr>
                      <w:szCs w:val="21"/>
                      <w:vertAlign w:val="superscript"/>
                    </w:rPr>
                    <w:t>3</w:t>
                  </w:r>
                </w:p>
              </w:tc>
              <w:tc>
                <w:tcPr>
                  <w:tcW w:w="701" w:type="pct"/>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pPr>
                    <w:jc w:val="center"/>
                    <w:rPr>
                      <w:szCs w:val="21"/>
                    </w:rPr>
                  </w:pPr>
                  <w:r>
                    <w:rPr>
                      <w:szCs w:val="21"/>
                    </w:rPr>
                    <w:t>52</w:t>
                  </w:r>
                </w:p>
              </w:tc>
              <w:tc>
                <w:tcPr>
                  <w:tcW w:w="701" w:type="pct"/>
                  <w:tcBorders>
                    <w:top w:val="single" w:color="auto" w:sz="4" w:space="0"/>
                    <w:left w:val="single" w:color="auto" w:sz="4" w:space="0"/>
                    <w:bottom w:val="single" w:color="auto" w:sz="4" w:space="0"/>
                    <w:right w:val="nil"/>
                  </w:tcBorders>
                  <w:tcMar>
                    <w:top w:w="57" w:type="dxa"/>
                    <w:left w:w="85" w:type="dxa"/>
                    <w:bottom w:w="57" w:type="dxa"/>
                    <w:right w:w="85" w:type="dxa"/>
                  </w:tcMar>
                  <w:vAlign w:val="center"/>
                </w:tcPr>
                <w:p>
                  <w:pPr>
                    <w:jc w:val="center"/>
                    <w:rPr>
                      <w:szCs w:val="21"/>
                    </w:rPr>
                  </w:pPr>
                  <w:r>
                    <w:rPr>
                      <w:szCs w:val="21"/>
                    </w:rPr>
                    <w:t>达标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89" w:hRule="atLeast"/>
                <w:jc w:val="center"/>
              </w:trPr>
              <w:tc>
                <w:tcPr>
                  <w:tcW w:w="768" w:type="pct"/>
                  <w:tcBorders>
                    <w:top w:val="single" w:color="auto" w:sz="4" w:space="0"/>
                    <w:left w:val="nil"/>
                    <w:bottom w:val="single" w:color="auto" w:sz="8" w:space="0"/>
                    <w:right w:val="single" w:color="auto" w:sz="4" w:space="0"/>
                  </w:tcBorders>
                  <w:tcMar>
                    <w:top w:w="57" w:type="dxa"/>
                    <w:left w:w="85" w:type="dxa"/>
                    <w:bottom w:w="57" w:type="dxa"/>
                    <w:right w:w="85" w:type="dxa"/>
                  </w:tcMar>
                  <w:vAlign w:val="center"/>
                </w:tcPr>
                <w:p>
                  <w:pPr>
                    <w:jc w:val="center"/>
                    <w:rPr>
                      <w:szCs w:val="21"/>
                    </w:rPr>
                  </w:pPr>
                  <w:r>
                    <w:rPr>
                      <w:szCs w:val="21"/>
                    </w:rPr>
                    <w:t>O</w:t>
                  </w:r>
                  <w:r>
                    <w:rPr>
                      <w:szCs w:val="21"/>
                      <w:vertAlign w:val="subscript"/>
                    </w:rPr>
                    <w:t>3</w:t>
                  </w:r>
                </w:p>
              </w:tc>
              <w:tc>
                <w:tcPr>
                  <w:tcW w:w="1035" w:type="pct"/>
                  <w:tcBorders>
                    <w:top w:val="single" w:color="auto" w:sz="4"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szCs w:val="21"/>
                    </w:rPr>
                  </w:pPr>
                  <w:r>
                    <w:rPr>
                      <w:szCs w:val="21"/>
                    </w:rPr>
                    <w:t>第90百分位浓度</w:t>
                  </w:r>
                </w:p>
              </w:tc>
              <w:tc>
                <w:tcPr>
                  <w:tcW w:w="858" w:type="pct"/>
                  <w:tcBorders>
                    <w:top w:val="single" w:color="auto" w:sz="4"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szCs w:val="21"/>
                    </w:rPr>
                  </w:pPr>
                  <w:r>
                    <w:rPr>
                      <w:szCs w:val="21"/>
                    </w:rPr>
                    <w:t>178</w:t>
                  </w:r>
                </w:p>
              </w:tc>
              <w:tc>
                <w:tcPr>
                  <w:tcW w:w="933" w:type="pct"/>
                  <w:tcBorders>
                    <w:top w:val="single" w:color="auto" w:sz="4"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szCs w:val="21"/>
                    </w:rPr>
                  </w:pPr>
                  <w:r>
                    <w:rPr>
                      <w:szCs w:val="21"/>
                    </w:rPr>
                    <w:t>160</w:t>
                  </w:r>
                </w:p>
              </w:tc>
              <w:tc>
                <w:tcPr>
                  <w:tcW w:w="701" w:type="pct"/>
                  <w:tcBorders>
                    <w:top w:val="single" w:color="auto" w:sz="4" w:space="0"/>
                    <w:left w:val="single" w:color="auto" w:sz="4" w:space="0"/>
                    <w:bottom w:val="single" w:color="auto" w:sz="8" w:space="0"/>
                    <w:right w:val="single" w:color="auto" w:sz="4" w:space="0"/>
                  </w:tcBorders>
                  <w:tcMar>
                    <w:top w:w="57" w:type="dxa"/>
                    <w:left w:w="85" w:type="dxa"/>
                    <w:bottom w:w="57" w:type="dxa"/>
                    <w:right w:w="85" w:type="dxa"/>
                  </w:tcMar>
                  <w:vAlign w:val="center"/>
                </w:tcPr>
                <w:p>
                  <w:pPr>
                    <w:jc w:val="center"/>
                    <w:rPr>
                      <w:szCs w:val="21"/>
                    </w:rPr>
                  </w:pPr>
                  <w:r>
                    <w:rPr>
                      <w:szCs w:val="21"/>
                    </w:rPr>
                    <w:t>111.3</w:t>
                  </w:r>
                </w:p>
              </w:tc>
              <w:tc>
                <w:tcPr>
                  <w:tcW w:w="701" w:type="pct"/>
                  <w:tcBorders>
                    <w:top w:val="single" w:color="auto" w:sz="4" w:space="0"/>
                    <w:left w:val="single" w:color="auto" w:sz="4" w:space="0"/>
                    <w:bottom w:val="single" w:color="auto" w:sz="8" w:space="0"/>
                    <w:right w:val="nil"/>
                  </w:tcBorders>
                  <w:tcMar>
                    <w:top w:w="57" w:type="dxa"/>
                    <w:left w:w="85" w:type="dxa"/>
                    <w:bottom w:w="57" w:type="dxa"/>
                    <w:right w:w="85" w:type="dxa"/>
                  </w:tcMar>
                  <w:vAlign w:val="center"/>
                </w:tcPr>
                <w:p>
                  <w:pPr>
                    <w:jc w:val="center"/>
                    <w:rPr>
                      <w:szCs w:val="21"/>
                    </w:rPr>
                  </w:pPr>
                  <w:r>
                    <w:rPr>
                      <w:szCs w:val="21"/>
                    </w:rPr>
                    <w:t>超标</w:t>
                  </w:r>
                </w:p>
              </w:tc>
            </w:tr>
          </w:tbl>
          <w:p>
            <w:pPr>
              <w:pStyle w:val="11"/>
              <w:adjustRightInd w:val="0"/>
              <w:snapToGrid w:val="0"/>
              <w:spacing w:line="440" w:lineRule="exact"/>
              <w:ind w:firstLine="480" w:firstLineChars="200"/>
              <w:rPr>
                <w:sz w:val="24"/>
              </w:rPr>
            </w:pPr>
            <w:r>
              <w:rPr>
                <w:sz w:val="24"/>
              </w:rPr>
              <w:t>由上表可知，其中PM</w:t>
            </w:r>
            <w:r>
              <w:rPr>
                <w:sz w:val="24"/>
                <w:vertAlign w:val="subscript"/>
              </w:rPr>
              <w:t>10</w:t>
            </w:r>
            <w:r>
              <w:rPr>
                <w:sz w:val="24"/>
              </w:rPr>
              <w:t>、PM</w:t>
            </w:r>
            <w:r>
              <w:rPr>
                <w:sz w:val="24"/>
                <w:vertAlign w:val="subscript"/>
              </w:rPr>
              <w:t>2.5</w:t>
            </w:r>
            <w:r>
              <w:rPr>
                <w:sz w:val="24"/>
              </w:rPr>
              <w:t>、NO</w:t>
            </w:r>
            <w:r>
              <w:rPr>
                <w:sz w:val="24"/>
                <w:vertAlign w:val="subscript"/>
              </w:rPr>
              <w:t>2</w:t>
            </w:r>
            <w:r>
              <w:rPr>
                <w:sz w:val="24"/>
              </w:rPr>
              <w:t>、O</w:t>
            </w:r>
            <w:r>
              <w:rPr>
                <w:sz w:val="24"/>
                <w:vertAlign w:val="subscript"/>
              </w:rPr>
              <w:t>3</w:t>
            </w:r>
            <w:r>
              <w:rPr>
                <w:sz w:val="24"/>
              </w:rPr>
              <w:t>均不能够满足《环境空气质量标准》（GB3095-2012）及其</w:t>
            </w:r>
            <w:r>
              <w:rPr>
                <w:rFonts w:hint="eastAsia"/>
                <w:sz w:val="24"/>
              </w:rPr>
              <w:t>2018年修改单</w:t>
            </w:r>
            <w:r>
              <w:rPr>
                <w:sz w:val="24"/>
              </w:rPr>
              <w:t>二级标准要求。根据《环境影响评价技术导则  大气环境》(HJ2.2-2018)，本项目所在区域属于未达标区。</w:t>
            </w:r>
          </w:p>
          <w:p>
            <w:pPr>
              <w:pStyle w:val="11"/>
              <w:adjustRightInd w:val="0"/>
              <w:snapToGrid w:val="0"/>
              <w:spacing w:line="440" w:lineRule="exact"/>
              <w:ind w:firstLine="480" w:firstLineChars="200"/>
              <w:rPr>
                <w:b/>
                <w:sz w:val="24"/>
              </w:rPr>
            </w:pPr>
            <w:r>
              <w:rPr>
                <w:color w:val="000000"/>
                <w:sz w:val="24"/>
              </w:rPr>
              <w:t>目前，新</w:t>
            </w:r>
            <w:r>
              <w:rPr>
                <w:sz w:val="24"/>
              </w:rPr>
              <w:t>乡市正在实施《新乡市蓝天工程行动计划》、《新乡市2018年大气污染防治攻坚战实施方案》、《“十三五”挥发性有机物污染防治工作方案》、《新乡市环境污染防治攻坚战三年行动实施方案（2018-2020年）》等一系列措施，将不断改善区域大气环境质量。预计2020年可以达到《新乡市环境污染防治攻坚战三年行动实施方案（2018-2020年）》中：“全市PM</w:t>
            </w:r>
            <w:r>
              <w:rPr>
                <w:sz w:val="24"/>
                <w:vertAlign w:val="subscript"/>
              </w:rPr>
              <w:t>2.5</w:t>
            </w:r>
            <w:r>
              <w:rPr>
                <w:sz w:val="24"/>
              </w:rPr>
              <w:t>年均浓度达到55微克/立方米以下，PM</w:t>
            </w:r>
            <w:r>
              <w:rPr>
                <w:sz w:val="24"/>
                <w:vertAlign w:val="subscript"/>
              </w:rPr>
              <w:t>10</w:t>
            </w:r>
            <w:r>
              <w:rPr>
                <w:sz w:val="24"/>
              </w:rPr>
              <w:t>年均浓度达到101微克/立方米以下，全年优良天数比例达到66%以上”的目标要求。</w:t>
            </w:r>
          </w:p>
          <w:p>
            <w:pPr>
              <w:pStyle w:val="11"/>
              <w:adjustRightInd w:val="0"/>
              <w:snapToGrid w:val="0"/>
              <w:spacing w:line="440" w:lineRule="exact"/>
              <w:ind w:firstLine="482" w:firstLineChars="200"/>
              <w:rPr>
                <w:b/>
                <w:sz w:val="24"/>
              </w:rPr>
            </w:pPr>
            <w:r>
              <w:rPr>
                <w:b/>
                <w:sz w:val="24"/>
              </w:rPr>
              <w:t>2</w:t>
            </w:r>
            <w:r>
              <w:rPr>
                <w:rFonts w:hAnsi="宋体"/>
                <w:b/>
                <w:sz w:val="24"/>
              </w:rPr>
              <w:t>、地表水环境质量现状</w:t>
            </w:r>
          </w:p>
          <w:p>
            <w:pPr>
              <w:spacing w:line="440" w:lineRule="exact"/>
              <w:ind w:firstLine="480" w:firstLineChars="200"/>
              <w:rPr>
                <w:sz w:val="24"/>
                <w:highlight w:val="yellow"/>
              </w:rPr>
            </w:pPr>
            <w:r>
              <w:rPr>
                <w:rFonts w:hAnsi="宋体"/>
                <w:color w:val="000000"/>
                <w:kern w:val="0"/>
                <w:sz w:val="24"/>
              </w:rPr>
              <w:t>距离本项目最近的地表水体为东侧约</w:t>
            </w:r>
            <w:r>
              <w:rPr>
                <w:color w:val="000000"/>
                <w:kern w:val="0"/>
                <w:sz w:val="24"/>
              </w:rPr>
              <w:t>150m</w:t>
            </w:r>
            <w:r>
              <w:rPr>
                <w:rFonts w:hAnsi="宋体"/>
                <w:color w:val="000000"/>
                <w:kern w:val="0"/>
                <w:sz w:val="24"/>
              </w:rPr>
              <w:t>处的卫河</w:t>
            </w:r>
            <w:r>
              <w:rPr>
                <w:rFonts w:hAnsi="宋体"/>
                <w:sz w:val="24"/>
              </w:rPr>
              <w:t>。本项目无生产废水产生，企业生活废水经化粪池处理后定期清运。卫河水体功能类别为</w:t>
            </w:r>
            <w:r>
              <w:rPr>
                <w:sz w:val="24"/>
              </w:rPr>
              <w:t>Ⅴ</w:t>
            </w:r>
            <w:r>
              <w:rPr>
                <w:rFonts w:hAnsi="宋体"/>
                <w:sz w:val="24"/>
              </w:rPr>
              <w:t>类，</w:t>
            </w:r>
            <w:r>
              <w:rPr>
                <w:sz w:val="24"/>
                <w:szCs w:val="20"/>
              </w:rPr>
              <w:t>本项目引用新乡市环保局网站上公布的20</w:t>
            </w:r>
            <w:r>
              <w:rPr>
                <w:rFonts w:hint="eastAsia"/>
                <w:sz w:val="24"/>
                <w:szCs w:val="20"/>
              </w:rPr>
              <w:t>20</w:t>
            </w:r>
            <w:r>
              <w:rPr>
                <w:sz w:val="24"/>
                <w:szCs w:val="20"/>
              </w:rPr>
              <w:t>年</w:t>
            </w:r>
            <w:r>
              <w:rPr>
                <w:rFonts w:hint="eastAsia"/>
                <w:sz w:val="24"/>
                <w:szCs w:val="20"/>
              </w:rPr>
              <w:t>5月</w:t>
            </w:r>
            <w:r>
              <w:rPr>
                <w:sz w:val="24"/>
                <w:szCs w:val="20"/>
              </w:rPr>
              <w:t>卫河皇甫断面地表水环境质量数据见</w:t>
            </w:r>
            <w:r>
              <w:rPr>
                <w:rFonts w:hint="eastAsia"/>
                <w:sz w:val="24"/>
                <w:szCs w:val="20"/>
              </w:rPr>
              <w:t>下</w:t>
            </w:r>
            <w:r>
              <w:rPr>
                <w:sz w:val="24"/>
                <w:szCs w:val="20"/>
              </w:rPr>
              <w:t>表</w:t>
            </w:r>
            <w:r>
              <w:rPr>
                <w:rFonts w:hint="eastAsia"/>
                <w:sz w:val="24"/>
                <w:szCs w:val="20"/>
              </w:rPr>
              <w:t>：</w:t>
            </w:r>
          </w:p>
          <w:p>
            <w:pPr>
              <w:spacing w:line="440" w:lineRule="exact"/>
              <w:ind w:firstLine="480" w:firstLineChars="200"/>
              <w:rPr>
                <w:rFonts w:eastAsia="黑体"/>
                <w:sz w:val="24"/>
              </w:rPr>
            </w:pPr>
            <w:r>
              <w:rPr>
                <w:rFonts w:eastAsia="黑体"/>
                <w:sz w:val="24"/>
              </w:rPr>
              <w:t>表1</w:t>
            </w:r>
            <w:r>
              <w:rPr>
                <w:rFonts w:hint="eastAsia" w:eastAsia="黑体"/>
                <w:sz w:val="24"/>
              </w:rPr>
              <w:t>5</w:t>
            </w:r>
            <w:r>
              <w:rPr>
                <w:rFonts w:eastAsia="黑体"/>
                <w:sz w:val="24"/>
              </w:rPr>
              <w:t xml:space="preserve">                 地表水现状监测与评价</w:t>
            </w:r>
          </w:p>
          <w:tbl>
            <w:tblPr>
              <w:tblStyle w:val="24"/>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58"/>
              <w:gridCol w:w="2258"/>
              <w:gridCol w:w="2254"/>
              <w:gridCol w:w="2256"/>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251" w:type="pct"/>
                  <w:tcBorders>
                    <w:bottom w:val="single" w:color="auto" w:sz="8" w:space="0"/>
                  </w:tcBorders>
                  <w:vAlign w:val="center"/>
                </w:tcPr>
                <w:p>
                  <w:pPr>
                    <w:snapToGrid w:val="0"/>
                    <w:jc w:val="center"/>
                    <w:rPr>
                      <w:b/>
                      <w:szCs w:val="21"/>
                    </w:rPr>
                  </w:pPr>
                  <w:r>
                    <w:rPr>
                      <w:b/>
                      <w:szCs w:val="21"/>
                    </w:rPr>
                    <w:t>监测因子</w:t>
                  </w:r>
                </w:p>
              </w:tc>
              <w:tc>
                <w:tcPr>
                  <w:tcW w:w="1250" w:type="pct"/>
                  <w:tcBorders>
                    <w:bottom w:val="single" w:color="auto" w:sz="8" w:space="0"/>
                  </w:tcBorders>
                  <w:vAlign w:val="center"/>
                </w:tcPr>
                <w:p>
                  <w:pPr>
                    <w:snapToGrid w:val="0"/>
                    <w:jc w:val="center"/>
                    <w:rPr>
                      <w:b/>
                      <w:szCs w:val="21"/>
                    </w:rPr>
                  </w:pPr>
                  <w:r>
                    <w:rPr>
                      <w:b/>
                      <w:szCs w:val="21"/>
                    </w:rPr>
                    <w:t>COD</w:t>
                  </w:r>
                </w:p>
              </w:tc>
              <w:tc>
                <w:tcPr>
                  <w:tcW w:w="1248" w:type="pct"/>
                  <w:tcBorders>
                    <w:bottom w:val="single" w:color="auto" w:sz="8" w:space="0"/>
                  </w:tcBorders>
                  <w:vAlign w:val="center"/>
                </w:tcPr>
                <w:p>
                  <w:pPr>
                    <w:snapToGrid w:val="0"/>
                    <w:jc w:val="center"/>
                    <w:rPr>
                      <w:b/>
                      <w:szCs w:val="21"/>
                    </w:rPr>
                  </w:pPr>
                  <w:r>
                    <w:rPr>
                      <w:b/>
                      <w:szCs w:val="21"/>
                    </w:rPr>
                    <w:t>NH</w:t>
                  </w:r>
                  <w:r>
                    <w:rPr>
                      <w:b/>
                      <w:szCs w:val="21"/>
                      <w:vertAlign w:val="subscript"/>
                    </w:rPr>
                    <w:t>3</w:t>
                  </w:r>
                  <w:r>
                    <w:rPr>
                      <w:b/>
                      <w:szCs w:val="21"/>
                    </w:rPr>
                    <w:t>-N</w:t>
                  </w:r>
                </w:p>
              </w:tc>
              <w:tc>
                <w:tcPr>
                  <w:tcW w:w="1249" w:type="pct"/>
                  <w:tcBorders>
                    <w:bottom w:val="single" w:color="auto" w:sz="8" w:space="0"/>
                  </w:tcBorders>
                  <w:vAlign w:val="center"/>
                </w:tcPr>
                <w:p>
                  <w:pPr>
                    <w:snapToGrid w:val="0"/>
                    <w:jc w:val="center"/>
                    <w:rPr>
                      <w:b/>
                      <w:szCs w:val="21"/>
                    </w:rPr>
                  </w:pPr>
                  <w:r>
                    <w:rPr>
                      <w:b/>
                      <w:szCs w:val="21"/>
                    </w:rPr>
                    <w:t>TP</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251" w:type="pct"/>
                  <w:tcBorders>
                    <w:top w:val="single" w:color="auto" w:sz="8" w:space="0"/>
                    <w:tl2br w:val="nil"/>
                    <w:tr2bl w:val="nil"/>
                  </w:tcBorders>
                  <w:vAlign w:val="center"/>
                </w:tcPr>
                <w:p>
                  <w:pPr>
                    <w:snapToGrid w:val="0"/>
                    <w:jc w:val="center"/>
                    <w:rPr>
                      <w:bCs/>
                      <w:szCs w:val="21"/>
                    </w:rPr>
                  </w:pPr>
                  <w:r>
                    <w:rPr>
                      <w:bCs/>
                      <w:szCs w:val="21"/>
                    </w:rPr>
                    <w:t>监测数据</w:t>
                  </w:r>
                </w:p>
              </w:tc>
              <w:tc>
                <w:tcPr>
                  <w:tcW w:w="1250" w:type="pct"/>
                  <w:tcBorders>
                    <w:top w:val="single" w:color="auto" w:sz="8" w:space="0"/>
                    <w:tl2br w:val="nil"/>
                    <w:tr2bl w:val="nil"/>
                  </w:tcBorders>
                  <w:vAlign w:val="center"/>
                </w:tcPr>
                <w:p>
                  <w:pPr>
                    <w:snapToGrid w:val="0"/>
                    <w:jc w:val="center"/>
                    <w:rPr>
                      <w:bCs/>
                      <w:szCs w:val="21"/>
                    </w:rPr>
                  </w:pPr>
                  <w:r>
                    <w:rPr>
                      <w:rFonts w:hint="eastAsia"/>
                      <w:bCs/>
                      <w:szCs w:val="21"/>
                    </w:rPr>
                    <w:t>32.65</w:t>
                  </w:r>
                </w:p>
              </w:tc>
              <w:tc>
                <w:tcPr>
                  <w:tcW w:w="1248" w:type="pct"/>
                  <w:tcBorders>
                    <w:top w:val="single" w:color="auto" w:sz="8" w:space="0"/>
                    <w:tl2br w:val="nil"/>
                    <w:tr2bl w:val="nil"/>
                  </w:tcBorders>
                  <w:vAlign w:val="center"/>
                </w:tcPr>
                <w:p>
                  <w:pPr>
                    <w:jc w:val="center"/>
                    <w:rPr>
                      <w:bCs/>
                      <w:szCs w:val="21"/>
                    </w:rPr>
                  </w:pPr>
                  <w:r>
                    <w:rPr>
                      <w:bCs/>
                      <w:szCs w:val="21"/>
                    </w:rPr>
                    <w:t>0.</w:t>
                  </w:r>
                  <w:r>
                    <w:rPr>
                      <w:rFonts w:hint="eastAsia"/>
                      <w:bCs/>
                      <w:szCs w:val="21"/>
                    </w:rPr>
                    <w:t>75</w:t>
                  </w:r>
                </w:p>
              </w:tc>
              <w:tc>
                <w:tcPr>
                  <w:tcW w:w="1249" w:type="pct"/>
                  <w:tcBorders>
                    <w:top w:val="single" w:color="auto" w:sz="8" w:space="0"/>
                    <w:tl2br w:val="nil"/>
                    <w:tr2bl w:val="nil"/>
                  </w:tcBorders>
                  <w:vAlign w:val="center"/>
                </w:tcPr>
                <w:p>
                  <w:pPr>
                    <w:jc w:val="center"/>
                    <w:rPr>
                      <w:bCs/>
                      <w:szCs w:val="21"/>
                    </w:rPr>
                  </w:pPr>
                  <w:r>
                    <w:rPr>
                      <w:bCs/>
                      <w:szCs w:val="21"/>
                    </w:rPr>
                    <w:t>0.2</w:t>
                  </w:r>
                  <w:r>
                    <w:rPr>
                      <w:rFonts w:hint="eastAsia"/>
                      <w:bCs/>
                      <w:szCs w:val="21"/>
                    </w:rPr>
                    <w:t>15</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51" w:type="pct"/>
                  <w:tcBorders>
                    <w:tl2br w:val="nil"/>
                    <w:tr2bl w:val="nil"/>
                  </w:tcBorders>
                  <w:vAlign w:val="center"/>
                </w:tcPr>
                <w:p>
                  <w:pPr>
                    <w:snapToGrid w:val="0"/>
                    <w:jc w:val="center"/>
                    <w:rPr>
                      <w:bCs/>
                      <w:szCs w:val="21"/>
                    </w:rPr>
                  </w:pPr>
                  <w:r>
                    <w:rPr>
                      <w:bCs/>
                      <w:szCs w:val="21"/>
                    </w:rPr>
                    <w:t>断面标准</w:t>
                  </w:r>
                </w:p>
              </w:tc>
              <w:tc>
                <w:tcPr>
                  <w:tcW w:w="1250" w:type="pct"/>
                  <w:tcBorders>
                    <w:tl2br w:val="nil"/>
                    <w:tr2bl w:val="nil"/>
                  </w:tcBorders>
                  <w:vAlign w:val="center"/>
                </w:tcPr>
                <w:p>
                  <w:pPr>
                    <w:jc w:val="center"/>
                    <w:rPr>
                      <w:bCs/>
                      <w:szCs w:val="21"/>
                    </w:rPr>
                  </w:pPr>
                  <w:r>
                    <w:rPr>
                      <w:bCs/>
                      <w:szCs w:val="21"/>
                    </w:rPr>
                    <w:t>40</w:t>
                  </w:r>
                </w:p>
              </w:tc>
              <w:tc>
                <w:tcPr>
                  <w:tcW w:w="1248" w:type="pct"/>
                  <w:tcBorders>
                    <w:tl2br w:val="nil"/>
                    <w:tr2bl w:val="nil"/>
                  </w:tcBorders>
                  <w:vAlign w:val="center"/>
                </w:tcPr>
                <w:p>
                  <w:pPr>
                    <w:jc w:val="center"/>
                    <w:rPr>
                      <w:bCs/>
                      <w:szCs w:val="21"/>
                    </w:rPr>
                  </w:pPr>
                  <w:r>
                    <w:rPr>
                      <w:bCs/>
                      <w:szCs w:val="21"/>
                    </w:rPr>
                    <w:t>2</w:t>
                  </w:r>
                </w:p>
              </w:tc>
              <w:tc>
                <w:tcPr>
                  <w:tcW w:w="1249" w:type="pct"/>
                  <w:tcBorders>
                    <w:tl2br w:val="nil"/>
                    <w:tr2bl w:val="nil"/>
                  </w:tcBorders>
                  <w:vAlign w:val="center"/>
                </w:tcPr>
                <w:p>
                  <w:pPr>
                    <w:jc w:val="center"/>
                    <w:rPr>
                      <w:bCs/>
                      <w:szCs w:val="21"/>
                    </w:rPr>
                  </w:pPr>
                  <w:r>
                    <w:rPr>
                      <w:bCs/>
                      <w:szCs w:val="21"/>
                    </w:rPr>
                    <w:t>0.4</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251" w:type="pct"/>
                  <w:tcBorders>
                    <w:tl2br w:val="nil"/>
                    <w:tr2bl w:val="nil"/>
                  </w:tcBorders>
                  <w:vAlign w:val="center"/>
                </w:tcPr>
                <w:p>
                  <w:pPr>
                    <w:jc w:val="center"/>
                    <w:rPr>
                      <w:bCs/>
                      <w:szCs w:val="21"/>
                    </w:rPr>
                  </w:pPr>
                  <w:r>
                    <w:rPr>
                      <w:bCs/>
                      <w:szCs w:val="21"/>
                    </w:rPr>
                    <w:t>达标情况</w:t>
                  </w:r>
                </w:p>
              </w:tc>
              <w:tc>
                <w:tcPr>
                  <w:tcW w:w="1250" w:type="pct"/>
                  <w:tcBorders>
                    <w:tl2br w:val="nil"/>
                    <w:tr2bl w:val="nil"/>
                  </w:tcBorders>
                  <w:vAlign w:val="center"/>
                </w:tcPr>
                <w:p>
                  <w:pPr>
                    <w:jc w:val="center"/>
                    <w:rPr>
                      <w:bCs/>
                      <w:szCs w:val="21"/>
                    </w:rPr>
                  </w:pPr>
                  <w:r>
                    <w:rPr>
                      <w:bCs/>
                      <w:szCs w:val="21"/>
                    </w:rPr>
                    <w:t>达标</w:t>
                  </w:r>
                </w:p>
              </w:tc>
              <w:tc>
                <w:tcPr>
                  <w:tcW w:w="1248" w:type="pct"/>
                  <w:tcBorders>
                    <w:tl2br w:val="nil"/>
                    <w:tr2bl w:val="nil"/>
                  </w:tcBorders>
                  <w:vAlign w:val="center"/>
                </w:tcPr>
                <w:p>
                  <w:pPr>
                    <w:jc w:val="center"/>
                    <w:rPr>
                      <w:bCs/>
                      <w:szCs w:val="21"/>
                    </w:rPr>
                  </w:pPr>
                  <w:r>
                    <w:rPr>
                      <w:bCs/>
                      <w:szCs w:val="21"/>
                    </w:rPr>
                    <w:t>达标</w:t>
                  </w:r>
                </w:p>
              </w:tc>
              <w:tc>
                <w:tcPr>
                  <w:tcW w:w="1249" w:type="pct"/>
                  <w:tcBorders>
                    <w:tl2br w:val="nil"/>
                    <w:tr2bl w:val="nil"/>
                  </w:tcBorders>
                  <w:vAlign w:val="center"/>
                </w:tcPr>
                <w:p>
                  <w:pPr>
                    <w:jc w:val="center"/>
                    <w:rPr>
                      <w:bCs/>
                      <w:szCs w:val="21"/>
                    </w:rPr>
                  </w:pPr>
                  <w:r>
                    <w:rPr>
                      <w:bCs/>
                      <w:szCs w:val="21"/>
                    </w:rPr>
                    <w:t>达标</w:t>
                  </w:r>
                </w:p>
              </w:tc>
            </w:tr>
          </w:tbl>
          <w:p>
            <w:pPr>
              <w:adjustRightInd w:val="0"/>
              <w:snapToGrid w:val="0"/>
              <w:spacing w:line="440" w:lineRule="exact"/>
              <w:ind w:firstLine="480" w:firstLineChars="200"/>
              <w:rPr>
                <w:sz w:val="24"/>
              </w:rPr>
            </w:pPr>
            <w:r>
              <w:rPr>
                <w:color w:val="000000"/>
                <w:sz w:val="24"/>
              </w:rPr>
              <w:t>由上表可知，</w:t>
            </w:r>
            <w:r>
              <w:rPr>
                <w:sz w:val="24"/>
                <w:szCs w:val="20"/>
              </w:rPr>
              <w:t>20</w:t>
            </w:r>
            <w:r>
              <w:rPr>
                <w:rFonts w:hint="eastAsia"/>
                <w:sz w:val="24"/>
                <w:szCs w:val="20"/>
              </w:rPr>
              <w:t>20</w:t>
            </w:r>
            <w:r>
              <w:rPr>
                <w:sz w:val="24"/>
                <w:szCs w:val="20"/>
              </w:rPr>
              <w:t>年</w:t>
            </w:r>
            <w:r>
              <w:rPr>
                <w:rFonts w:hint="eastAsia"/>
                <w:sz w:val="24"/>
                <w:szCs w:val="20"/>
              </w:rPr>
              <w:t>5月</w:t>
            </w:r>
            <w:r>
              <w:rPr>
                <w:sz w:val="24"/>
                <w:szCs w:val="20"/>
              </w:rPr>
              <w:t>卫河皇甫断面</w:t>
            </w:r>
            <w:r>
              <w:rPr>
                <w:color w:val="000000"/>
                <w:sz w:val="24"/>
              </w:rPr>
              <w:t>数据COD、NH</w:t>
            </w:r>
            <w:r>
              <w:rPr>
                <w:color w:val="000000"/>
                <w:sz w:val="24"/>
                <w:vertAlign w:val="subscript"/>
              </w:rPr>
              <w:t>3</w:t>
            </w:r>
            <w:r>
              <w:rPr>
                <w:color w:val="000000"/>
                <w:sz w:val="24"/>
              </w:rPr>
              <w:t>-N、TP均达标。</w:t>
            </w:r>
            <w:r>
              <w:rPr>
                <w:sz w:val="24"/>
              </w:rPr>
              <w:t>目前新乡市正在推进实施《新乡市环境污染防治攻坚战三年行动实施方案（2018-2020年）》、</w:t>
            </w:r>
            <w:r>
              <w:rPr>
                <w:sz w:val="24"/>
                <w:lang w:val="pt-BR"/>
              </w:rPr>
              <w:t>《</w:t>
            </w:r>
            <w:r>
              <w:rPr>
                <w:sz w:val="24"/>
              </w:rPr>
              <w:t>新乡市2020年水污染防治攻坚战实施方案</w:t>
            </w:r>
            <w:r>
              <w:rPr>
                <w:sz w:val="24"/>
                <w:lang w:val="pt-BR"/>
              </w:rPr>
              <w:t>》</w:t>
            </w:r>
            <w:r>
              <w:rPr>
                <w:sz w:val="24"/>
              </w:rPr>
              <w:t>（新环攻坚办〔2020〕10号）、《新乡市污水处理厂及配套管网建设与城市黑臭水体整治实施方案》（新环攻坚办（2017）13号）和新乡市人民政府办公室关于印发新乡市2018年持续打好打赢水污染防治攻坚战工作方案的通知（新政办（2018）28号），将继续改善新乡市水环境质量。</w:t>
            </w:r>
          </w:p>
          <w:p>
            <w:pPr>
              <w:adjustRightInd w:val="0"/>
              <w:snapToGrid w:val="0"/>
              <w:spacing w:line="440" w:lineRule="exact"/>
              <w:ind w:firstLine="480" w:firstLineChars="200"/>
              <w:rPr>
                <w:sz w:val="24"/>
              </w:rPr>
            </w:pPr>
            <w:r>
              <w:rPr>
                <w:bCs/>
                <w:sz w:val="24"/>
              </w:rPr>
              <w:t xml:space="preserve">本项目废水为生活污水，经化粪池处理后定期清运，不外排，对新乡市地表水质量没有影响。 </w:t>
            </w:r>
          </w:p>
          <w:p>
            <w:pPr>
              <w:adjustRightInd w:val="0"/>
              <w:snapToGrid w:val="0"/>
              <w:spacing w:line="440" w:lineRule="exact"/>
              <w:ind w:firstLine="482" w:firstLineChars="200"/>
              <w:rPr>
                <w:b/>
                <w:color w:val="000000"/>
                <w:sz w:val="24"/>
              </w:rPr>
            </w:pPr>
            <w:r>
              <w:rPr>
                <w:b/>
                <w:color w:val="000000"/>
                <w:sz w:val="24"/>
              </w:rPr>
              <w:t>3</w:t>
            </w:r>
            <w:r>
              <w:rPr>
                <w:rFonts w:hAnsi="宋体"/>
                <w:b/>
                <w:color w:val="000000"/>
                <w:sz w:val="24"/>
              </w:rPr>
              <w:t>、地下水质量现状</w:t>
            </w:r>
          </w:p>
          <w:p>
            <w:pPr>
              <w:pStyle w:val="85"/>
              <w:adjustRightInd w:val="0"/>
              <w:snapToGrid w:val="0"/>
              <w:spacing w:line="440" w:lineRule="exact"/>
              <w:ind w:firstLine="480" w:firstLineChars="200"/>
              <w:rPr>
                <w:rFonts w:ascii="Times New Roman" w:hAnsi="Times New Roman"/>
                <w:sz w:val="24"/>
              </w:rPr>
            </w:pPr>
            <w:r>
              <w:rPr>
                <w:rFonts w:ascii="Times New Roman" w:hAnsi="宋体"/>
                <w:sz w:val="24"/>
              </w:rPr>
              <w:t>本项目所在区域地下水环境质量较好，能够达到《地下水质量标准》（</w:t>
            </w:r>
            <w:r>
              <w:rPr>
                <w:rFonts w:ascii="Times New Roman" w:hAnsi="Times New Roman"/>
                <w:sz w:val="24"/>
              </w:rPr>
              <w:t>GB/T14848-2017</w:t>
            </w:r>
            <w:r>
              <w:rPr>
                <w:rFonts w:ascii="Times New Roman" w:hAnsi="宋体"/>
                <w:sz w:val="24"/>
              </w:rPr>
              <w:t>）</w:t>
            </w:r>
            <w:r>
              <w:rPr>
                <w:rFonts w:ascii="Times New Roman" w:hAnsi="Times New Roman"/>
                <w:sz w:val="24"/>
              </w:rPr>
              <w:t>Ⅲ</w:t>
            </w:r>
            <w:r>
              <w:rPr>
                <w:rFonts w:ascii="Times New Roman" w:hAnsi="宋体"/>
                <w:sz w:val="24"/>
              </w:rPr>
              <w:t>类标准。</w:t>
            </w:r>
          </w:p>
          <w:p>
            <w:pPr>
              <w:adjustRightInd w:val="0"/>
              <w:snapToGrid w:val="0"/>
              <w:spacing w:line="440" w:lineRule="exact"/>
              <w:ind w:firstLine="482" w:firstLineChars="200"/>
              <w:jc w:val="left"/>
              <w:rPr>
                <w:rFonts w:hAnsi="宋体"/>
                <w:b/>
                <w:sz w:val="24"/>
              </w:rPr>
            </w:pPr>
            <w:r>
              <w:rPr>
                <w:b/>
                <w:sz w:val="24"/>
              </w:rPr>
              <w:t>4</w:t>
            </w:r>
            <w:r>
              <w:rPr>
                <w:rFonts w:hAnsi="宋体"/>
                <w:b/>
                <w:sz w:val="24"/>
              </w:rPr>
              <w:t>、声环境质量现状</w:t>
            </w:r>
          </w:p>
          <w:p>
            <w:pPr>
              <w:adjustRightInd w:val="0"/>
              <w:snapToGrid w:val="0"/>
              <w:spacing w:line="440" w:lineRule="exact"/>
              <w:ind w:firstLine="480" w:firstLineChars="200"/>
              <w:rPr>
                <w:rFonts w:ascii="宋体" w:hAnsi="宋体"/>
                <w:sz w:val="24"/>
              </w:rPr>
            </w:pPr>
            <w:r>
              <w:rPr>
                <w:rFonts w:ascii="宋体" w:hAnsi="宋体"/>
                <w:sz w:val="24"/>
              </w:rPr>
              <w:t>项目所在地噪声现状达到《声环境质量标准》（</w:t>
            </w:r>
            <w:r>
              <w:rPr>
                <w:sz w:val="24"/>
              </w:rPr>
              <w:t>GB3096-2008</w:t>
            </w:r>
            <w:r>
              <w:rPr>
                <w:rFonts w:ascii="宋体" w:hAnsi="宋体"/>
                <w:sz w:val="24"/>
              </w:rPr>
              <w:t>）</w:t>
            </w:r>
            <w:r>
              <w:rPr>
                <w:rFonts w:hint="eastAsia"/>
                <w:sz w:val="24"/>
              </w:rPr>
              <w:t>2</w:t>
            </w:r>
            <w:r>
              <w:rPr>
                <w:rFonts w:ascii="宋体" w:hAnsi="宋体"/>
                <w:sz w:val="24"/>
              </w:rPr>
              <w:t>类，声环境质量良好。</w:t>
            </w:r>
          </w:p>
          <w:p>
            <w:pPr>
              <w:spacing w:line="440" w:lineRule="exact"/>
              <w:ind w:firstLine="482" w:firstLineChars="200"/>
              <w:rPr>
                <w:rFonts w:eastAsiaTheme="minorEastAsia"/>
                <w:spacing w:val="-2"/>
                <w:sz w:val="24"/>
              </w:rPr>
            </w:pPr>
            <w:r>
              <w:rPr>
                <w:rFonts w:eastAsiaTheme="minorEastAsia"/>
                <w:b/>
                <w:sz w:val="24"/>
              </w:rPr>
              <w:t>5</w:t>
            </w:r>
            <w:r>
              <w:rPr>
                <w:rFonts w:hAnsiTheme="minorEastAsia" w:eastAsiaTheme="minorEastAsia"/>
                <w:b/>
                <w:sz w:val="24"/>
              </w:rPr>
              <w:t>、生态环境现状</w:t>
            </w:r>
          </w:p>
          <w:p>
            <w:pPr>
              <w:adjustRightInd w:val="0"/>
              <w:spacing w:line="440" w:lineRule="exact"/>
              <w:ind w:firstLine="480" w:firstLineChars="200"/>
              <w:rPr>
                <w:rFonts w:hAnsiTheme="minorEastAsia" w:eastAsiaTheme="minorEastAsia"/>
                <w:sz w:val="24"/>
              </w:rPr>
            </w:pPr>
            <w:r>
              <w:rPr>
                <w:rFonts w:hAnsiTheme="minorEastAsia" w:eastAsiaTheme="minorEastAsia"/>
                <w:sz w:val="24"/>
              </w:rPr>
              <w:t>本项目区域主要为人工植被，生物量较小，以农村生态系统为主。项目周围</w:t>
            </w:r>
            <w:r>
              <w:rPr>
                <w:rFonts w:eastAsiaTheme="minorEastAsia"/>
                <w:sz w:val="24"/>
              </w:rPr>
              <w:t>500m</w:t>
            </w:r>
            <w:r>
              <w:rPr>
                <w:rFonts w:hAnsiTheme="minorEastAsia" w:eastAsiaTheme="minorEastAsia"/>
                <w:sz w:val="24"/>
              </w:rPr>
              <w:t>范围内无重点保护的野生动植物、风景名胜区、自然保护区及文化遗产等特殊保护目标。</w:t>
            </w:r>
          </w:p>
          <w:p>
            <w:pPr>
              <w:pStyle w:val="40"/>
            </w:pPr>
          </w:p>
          <w:p>
            <w:pPr>
              <w:pStyle w:val="45"/>
              <w:ind w:firstLine="420"/>
              <w:rPr>
                <w:lang w:val="en-US"/>
              </w:rPr>
            </w:pPr>
          </w:p>
          <w:p>
            <w:pPr>
              <w:pStyle w:val="45"/>
              <w:ind w:firstLine="420"/>
              <w:rPr>
                <w:lang w:val="en-US"/>
              </w:rPr>
            </w:pPr>
          </w:p>
          <w:p>
            <w:pPr>
              <w:pStyle w:val="45"/>
              <w:ind w:firstLine="420"/>
              <w:rPr>
                <w:lang w:val="en-US"/>
              </w:rPr>
            </w:pPr>
          </w:p>
          <w:p>
            <w:pPr>
              <w:pStyle w:val="45"/>
              <w:ind w:firstLine="420"/>
              <w:rPr>
                <w:lang w:val="en-US"/>
              </w:rPr>
            </w:pPr>
          </w:p>
          <w:p>
            <w:pPr>
              <w:pStyle w:val="45"/>
              <w:ind w:firstLine="420"/>
              <w:rPr>
                <w:lang w:val="en-US"/>
              </w:rPr>
            </w:pPr>
          </w:p>
          <w:p>
            <w:pPr>
              <w:pStyle w:val="45"/>
              <w:ind w:firstLine="420"/>
              <w:rPr>
                <w:lang w:val="en-US"/>
              </w:rPr>
            </w:pPr>
          </w:p>
          <w:p>
            <w:pPr>
              <w:pStyle w:val="45"/>
              <w:ind w:left="0" w:leftChars="0" w:firstLine="0" w:firstLineChars="0"/>
              <w:rPr>
                <w:lang w:val="en-U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29" w:hRule="atLeast"/>
          <w:jc w:val="center"/>
        </w:trPr>
        <w:tc>
          <w:tcPr>
            <w:tcW w:w="9242" w:type="dxa"/>
          </w:tcPr>
          <w:p>
            <w:pPr>
              <w:pStyle w:val="20"/>
              <w:spacing w:line="440" w:lineRule="exact"/>
              <w:rPr>
                <w:b/>
                <w:bCs/>
              </w:rPr>
            </w:pPr>
            <w:r>
              <w:rPr>
                <w:b/>
                <w:bCs/>
              </w:rPr>
              <w:t>主要环境保护目标（列出名单及保护级别）：</w:t>
            </w:r>
          </w:p>
          <w:p>
            <w:pPr>
              <w:pStyle w:val="20"/>
              <w:spacing w:line="440" w:lineRule="exact"/>
              <w:ind w:firstLine="480" w:firstLineChars="200"/>
            </w:pPr>
            <w:r>
              <w:t>项目周围主要环境保护目标见下表：</w:t>
            </w:r>
          </w:p>
          <w:p>
            <w:pPr>
              <w:spacing w:line="440" w:lineRule="exact"/>
              <w:ind w:firstLine="480" w:firstLineChars="200"/>
              <w:rPr>
                <w:rFonts w:eastAsia="黑体"/>
                <w:sz w:val="24"/>
              </w:rPr>
            </w:pPr>
            <w:r>
              <w:rPr>
                <w:rFonts w:eastAsia="黑体"/>
                <w:sz w:val="24"/>
              </w:rPr>
              <w:t>表</w:t>
            </w:r>
            <w:r>
              <w:rPr>
                <w:rFonts w:hint="eastAsia" w:eastAsia="黑体"/>
                <w:sz w:val="24"/>
              </w:rPr>
              <w:t xml:space="preserve">16　　　　　　    </w:t>
            </w:r>
            <w:r>
              <w:rPr>
                <w:rFonts w:eastAsia="黑体"/>
                <w:sz w:val="24"/>
              </w:rPr>
              <w:t xml:space="preserve"> 项目周围环境保护目标概况</w:t>
            </w:r>
          </w:p>
          <w:tbl>
            <w:tblPr>
              <w:tblStyle w:val="24"/>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158"/>
              <w:gridCol w:w="1908"/>
              <w:gridCol w:w="1018"/>
              <w:gridCol w:w="1289"/>
              <w:gridCol w:w="3649"/>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8" w:hRule="atLeast"/>
                <w:jc w:val="center"/>
              </w:trPr>
              <w:tc>
                <w:tcPr>
                  <w:tcW w:w="642" w:type="pct"/>
                  <w:tcBorders>
                    <w:bottom w:val="single" w:color="auto" w:sz="8" w:space="0"/>
                  </w:tcBorders>
                  <w:vAlign w:val="center"/>
                </w:tcPr>
                <w:p>
                  <w:pPr>
                    <w:pStyle w:val="4"/>
                    <w:spacing w:line="240" w:lineRule="auto"/>
                    <w:contextualSpacing/>
                    <w:jc w:val="center"/>
                    <w:rPr>
                      <w:sz w:val="21"/>
                      <w:szCs w:val="21"/>
                    </w:rPr>
                  </w:pPr>
                  <w:r>
                    <w:rPr>
                      <w:sz w:val="21"/>
                      <w:szCs w:val="21"/>
                    </w:rPr>
                    <w:t>环境要素</w:t>
                  </w:r>
                </w:p>
              </w:tc>
              <w:tc>
                <w:tcPr>
                  <w:tcW w:w="1057" w:type="pct"/>
                  <w:tcBorders>
                    <w:bottom w:val="single" w:color="auto" w:sz="8" w:space="0"/>
                  </w:tcBorders>
                  <w:vAlign w:val="center"/>
                </w:tcPr>
                <w:p>
                  <w:pPr>
                    <w:contextualSpacing/>
                    <w:jc w:val="center"/>
                    <w:rPr>
                      <w:szCs w:val="21"/>
                    </w:rPr>
                  </w:pPr>
                  <w:r>
                    <w:rPr>
                      <w:szCs w:val="21"/>
                    </w:rPr>
                    <w:t>保护目标</w:t>
                  </w:r>
                </w:p>
              </w:tc>
              <w:tc>
                <w:tcPr>
                  <w:tcW w:w="564" w:type="pct"/>
                  <w:tcBorders>
                    <w:bottom w:val="single" w:color="auto" w:sz="8" w:space="0"/>
                  </w:tcBorders>
                  <w:vAlign w:val="center"/>
                </w:tcPr>
                <w:p>
                  <w:pPr>
                    <w:pStyle w:val="4"/>
                    <w:spacing w:line="240" w:lineRule="auto"/>
                    <w:contextualSpacing/>
                    <w:jc w:val="center"/>
                    <w:rPr>
                      <w:sz w:val="21"/>
                      <w:szCs w:val="21"/>
                    </w:rPr>
                  </w:pPr>
                  <w:r>
                    <w:rPr>
                      <w:sz w:val="21"/>
                      <w:szCs w:val="21"/>
                    </w:rPr>
                    <w:t>方位</w:t>
                  </w:r>
                </w:p>
              </w:tc>
              <w:tc>
                <w:tcPr>
                  <w:tcW w:w="714" w:type="pct"/>
                  <w:tcBorders>
                    <w:bottom w:val="single" w:color="auto" w:sz="8" w:space="0"/>
                  </w:tcBorders>
                  <w:vAlign w:val="center"/>
                </w:tcPr>
                <w:p>
                  <w:pPr>
                    <w:pStyle w:val="4"/>
                    <w:spacing w:line="240" w:lineRule="auto"/>
                    <w:contextualSpacing/>
                    <w:jc w:val="center"/>
                    <w:rPr>
                      <w:sz w:val="21"/>
                      <w:szCs w:val="21"/>
                    </w:rPr>
                  </w:pPr>
                  <w:r>
                    <w:rPr>
                      <w:sz w:val="21"/>
                      <w:szCs w:val="21"/>
                    </w:rPr>
                    <w:t>距离（m）</w:t>
                  </w:r>
                </w:p>
              </w:tc>
              <w:tc>
                <w:tcPr>
                  <w:tcW w:w="2022" w:type="pct"/>
                  <w:tcBorders>
                    <w:bottom w:val="single" w:color="auto" w:sz="8" w:space="0"/>
                  </w:tcBorders>
                  <w:vAlign w:val="center"/>
                </w:tcPr>
                <w:p>
                  <w:pPr>
                    <w:pStyle w:val="4"/>
                    <w:spacing w:line="240" w:lineRule="auto"/>
                    <w:contextualSpacing/>
                    <w:jc w:val="center"/>
                    <w:rPr>
                      <w:sz w:val="21"/>
                      <w:szCs w:val="21"/>
                    </w:rPr>
                  </w:pPr>
                  <w:r>
                    <w:rPr>
                      <w:sz w:val="21"/>
                      <w:szCs w:val="21"/>
                    </w:rPr>
                    <w:t>保护级别</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76" w:hRule="atLeast"/>
                <w:jc w:val="center"/>
              </w:trPr>
              <w:tc>
                <w:tcPr>
                  <w:tcW w:w="642" w:type="pct"/>
                  <w:vMerge w:val="restart"/>
                  <w:tcBorders>
                    <w:top w:val="single" w:color="auto" w:sz="8" w:space="0"/>
                    <w:tl2br w:val="nil"/>
                    <w:tr2bl w:val="nil"/>
                  </w:tcBorders>
                  <w:vAlign w:val="center"/>
                </w:tcPr>
                <w:p>
                  <w:pPr>
                    <w:snapToGrid w:val="0"/>
                    <w:contextualSpacing/>
                    <w:jc w:val="center"/>
                    <w:rPr>
                      <w:szCs w:val="21"/>
                    </w:rPr>
                  </w:pPr>
                  <w:r>
                    <w:rPr>
                      <w:szCs w:val="21"/>
                    </w:rPr>
                    <w:t>大气</w:t>
                  </w:r>
                </w:p>
                <w:p>
                  <w:pPr>
                    <w:snapToGrid w:val="0"/>
                    <w:contextualSpacing/>
                    <w:jc w:val="center"/>
                    <w:rPr>
                      <w:szCs w:val="21"/>
                    </w:rPr>
                  </w:pPr>
                  <w:r>
                    <w:rPr>
                      <w:szCs w:val="21"/>
                    </w:rPr>
                    <w:t>环境</w:t>
                  </w:r>
                </w:p>
              </w:tc>
              <w:tc>
                <w:tcPr>
                  <w:tcW w:w="1057" w:type="pct"/>
                  <w:tcBorders>
                    <w:top w:val="single" w:color="auto" w:sz="8" w:space="0"/>
                    <w:tl2br w:val="nil"/>
                    <w:tr2bl w:val="nil"/>
                  </w:tcBorders>
                  <w:vAlign w:val="center"/>
                </w:tcPr>
                <w:p>
                  <w:pPr>
                    <w:snapToGrid w:val="0"/>
                    <w:contextualSpacing/>
                    <w:jc w:val="center"/>
                    <w:rPr>
                      <w:szCs w:val="21"/>
                    </w:rPr>
                  </w:pPr>
                  <w:r>
                    <w:rPr>
                      <w:szCs w:val="21"/>
                    </w:rPr>
                    <w:t>安庄</w:t>
                  </w:r>
                </w:p>
              </w:tc>
              <w:tc>
                <w:tcPr>
                  <w:tcW w:w="564" w:type="pct"/>
                  <w:tcBorders>
                    <w:top w:val="single" w:color="auto" w:sz="8" w:space="0"/>
                    <w:tl2br w:val="nil"/>
                    <w:tr2bl w:val="nil"/>
                  </w:tcBorders>
                  <w:vAlign w:val="center"/>
                </w:tcPr>
                <w:p>
                  <w:pPr>
                    <w:pStyle w:val="4"/>
                    <w:snapToGrid w:val="0"/>
                    <w:spacing w:line="240" w:lineRule="auto"/>
                    <w:contextualSpacing/>
                    <w:jc w:val="center"/>
                    <w:rPr>
                      <w:sz w:val="21"/>
                      <w:szCs w:val="21"/>
                    </w:rPr>
                  </w:pPr>
                  <w:r>
                    <w:rPr>
                      <w:sz w:val="21"/>
                      <w:szCs w:val="21"/>
                    </w:rPr>
                    <w:t>东北</w:t>
                  </w:r>
                </w:p>
              </w:tc>
              <w:tc>
                <w:tcPr>
                  <w:tcW w:w="714" w:type="pct"/>
                  <w:tcBorders>
                    <w:top w:val="single" w:color="auto" w:sz="8" w:space="0"/>
                    <w:tl2br w:val="nil"/>
                    <w:tr2bl w:val="nil"/>
                  </w:tcBorders>
                  <w:vAlign w:val="center"/>
                </w:tcPr>
                <w:p>
                  <w:pPr>
                    <w:pStyle w:val="4"/>
                    <w:snapToGrid w:val="0"/>
                    <w:spacing w:line="240" w:lineRule="auto"/>
                    <w:contextualSpacing/>
                    <w:jc w:val="center"/>
                    <w:rPr>
                      <w:sz w:val="21"/>
                      <w:szCs w:val="21"/>
                    </w:rPr>
                  </w:pPr>
                  <w:r>
                    <w:rPr>
                      <w:sz w:val="21"/>
                      <w:szCs w:val="21"/>
                    </w:rPr>
                    <w:t>270</w:t>
                  </w:r>
                </w:p>
              </w:tc>
              <w:tc>
                <w:tcPr>
                  <w:tcW w:w="2022" w:type="pct"/>
                  <w:vMerge w:val="restart"/>
                  <w:tcBorders>
                    <w:top w:val="single" w:color="auto" w:sz="8" w:space="0"/>
                    <w:tl2br w:val="nil"/>
                    <w:tr2bl w:val="nil"/>
                  </w:tcBorders>
                  <w:vAlign w:val="center"/>
                </w:tcPr>
                <w:p>
                  <w:pPr>
                    <w:pStyle w:val="4"/>
                    <w:snapToGrid w:val="0"/>
                    <w:spacing w:line="240" w:lineRule="auto"/>
                    <w:contextualSpacing/>
                    <w:jc w:val="center"/>
                    <w:rPr>
                      <w:sz w:val="21"/>
                      <w:szCs w:val="21"/>
                    </w:rPr>
                  </w:pPr>
                  <w:r>
                    <w:rPr>
                      <w:sz w:val="21"/>
                      <w:szCs w:val="21"/>
                    </w:rPr>
                    <w:t>《环境空气质量标准》</w:t>
                  </w:r>
                </w:p>
                <w:p>
                  <w:pPr>
                    <w:pStyle w:val="4"/>
                    <w:snapToGrid w:val="0"/>
                    <w:spacing w:line="240" w:lineRule="auto"/>
                    <w:contextualSpacing/>
                    <w:jc w:val="center"/>
                    <w:rPr>
                      <w:sz w:val="21"/>
                      <w:szCs w:val="21"/>
                    </w:rPr>
                  </w:pPr>
                  <w:r>
                    <w:rPr>
                      <w:sz w:val="21"/>
                      <w:szCs w:val="21"/>
                    </w:rPr>
                    <w:t>（GB3095-2012）</w:t>
                  </w:r>
                  <w:r>
                    <w:rPr>
                      <w:rFonts w:hint="eastAsia"/>
                      <w:sz w:val="21"/>
                      <w:szCs w:val="21"/>
                      <w:lang w:eastAsia="zh-CN"/>
                    </w:rPr>
                    <w:t>及</w:t>
                  </w:r>
                  <w:r>
                    <w:rPr>
                      <w:sz w:val="21"/>
                      <w:szCs w:val="21"/>
                    </w:rPr>
                    <w:t>其</w:t>
                  </w:r>
                  <w:r>
                    <w:rPr>
                      <w:rFonts w:hint="eastAsia"/>
                      <w:sz w:val="21"/>
                      <w:szCs w:val="21"/>
                    </w:rPr>
                    <w:t>2018年修改单</w:t>
                  </w:r>
                  <w:r>
                    <w:rPr>
                      <w:sz w:val="21"/>
                      <w:szCs w:val="21"/>
                    </w:rPr>
                    <w:t>二级标准</w:t>
                  </w:r>
                </w:p>
                <w:p>
                  <w:pPr>
                    <w:pStyle w:val="4"/>
                    <w:snapToGrid w:val="0"/>
                    <w:spacing w:line="240" w:lineRule="auto"/>
                    <w:contextualSpacing/>
                    <w:jc w:val="center"/>
                    <w:rPr>
                      <w:sz w:val="21"/>
                      <w:szCs w:val="21"/>
                    </w:rPr>
                  </w:pPr>
                  <w:r>
                    <w:rPr>
                      <w:rFonts w:hint="eastAsia"/>
                      <w:sz w:val="21"/>
                      <w:szCs w:val="21"/>
                    </w:rPr>
                    <w:t>《声环境质量标准》</w:t>
                  </w:r>
                </w:p>
                <w:p>
                  <w:pPr>
                    <w:pStyle w:val="4"/>
                    <w:snapToGrid w:val="0"/>
                    <w:spacing w:line="240" w:lineRule="auto"/>
                    <w:contextualSpacing/>
                    <w:jc w:val="center"/>
                    <w:rPr>
                      <w:sz w:val="21"/>
                      <w:szCs w:val="21"/>
                    </w:rPr>
                  </w:pPr>
                  <w:r>
                    <w:rPr>
                      <w:rFonts w:hint="eastAsia"/>
                      <w:sz w:val="21"/>
                      <w:szCs w:val="21"/>
                    </w:rPr>
                    <w:t>（GB3096-2008</w:t>
                  </w:r>
                  <w:r>
                    <w:rPr>
                      <w:sz w:val="21"/>
                      <w:szCs w:val="21"/>
                    </w:rPr>
                    <w:t>）</w:t>
                  </w:r>
                  <w:r>
                    <w:rPr>
                      <w:rFonts w:hint="eastAsia"/>
                      <w:sz w:val="21"/>
                      <w:szCs w:val="21"/>
                    </w:rPr>
                    <w:t>2类</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51" w:hRule="atLeast"/>
                <w:jc w:val="center"/>
              </w:trPr>
              <w:tc>
                <w:tcPr>
                  <w:tcW w:w="642" w:type="pct"/>
                  <w:vMerge w:val="continue"/>
                  <w:tcBorders>
                    <w:tl2br w:val="nil"/>
                    <w:tr2bl w:val="nil"/>
                  </w:tcBorders>
                  <w:vAlign w:val="center"/>
                </w:tcPr>
                <w:p>
                  <w:pPr>
                    <w:snapToGrid w:val="0"/>
                    <w:contextualSpacing/>
                    <w:jc w:val="center"/>
                    <w:rPr>
                      <w:szCs w:val="21"/>
                    </w:rPr>
                  </w:pPr>
                </w:p>
              </w:tc>
              <w:tc>
                <w:tcPr>
                  <w:tcW w:w="1057" w:type="pct"/>
                  <w:tcBorders>
                    <w:tl2br w:val="nil"/>
                    <w:tr2bl w:val="nil"/>
                  </w:tcBorders>
                  <w:vAlign w:val="center"/>
                </w:tcPr>
                <w:p>
                  <w:pPr>
                    <w:snapToGrid w:val="0"/>
                    <w:contextualSpacing/>
                    <w:jc w:val="center"/>
                    <w:rPr>
                      <w:szCs w:val="21"/>
                    </w:rPr>
                  </w:pPr>
                  <w:r>
                    <w:rPr>
                      <w:szCs w:val="21"/>
                    </w:rPr>
                    <w:t>贾桥村</w:t>
                  </w:r>
                </w:p>
              </w:tc>
              <w:tc>
                <w:tcPr>
                  <w:tcW w:w="564" w:type="pct"/>
                  <w:tcBorders>
                    <w:tl2br w:val="nil"/>
                    <w:tr2bl w:val="nil"/>
                  </w:tcBorders>
                  <w:vAlign w:val="center"/>
                </w:tcPr>
                <w:p>
                  <w:pPr>
                    <w:pStyle w:val="4"/>
                    <w:snapToGrid w:val="0"/>
                    <w:spacing w:line="240" w:lineRule="auto"/>
                    <w:contextualSpacing/>
                    <w:jc w:val="center"/>
                    <w:rPr>
                      <w:sz w:val="21"/>
                      <w:szCs w:val="21"/>
                    </w:rPr>
                  </w:pPr>
                  <w:r>
                    <w:rPr>
                      <w:sz w:val="21"/>
                      <w:szCs w:val="21"/>
                    </w:rPr>
                    <w:t>东南</w:t>
                  </w:r>
                </w:p>
              </w:tc>
              <w:tc>
                <w:tcPr>
                  <w:tcW w:w="714" w:type="pct"/>
                  <w:tcBorders>
                    <w:tl2br w:val="nil"/>
                    <w:tr2bl w:val="nil"/>
                  </w:tcBorders>
                  <w:vAlign w:val="center"/>
                </w:tcPr>
                <w:p>
                  <w:pPr>
                    <w:pStyle w:val="4"/>
                    <w:snapToGrid w:val="0"/>
                    <w:spacing w:line="240" w:lineRule="auto"/>
                    <w:contextualSpacing/>
                    <w:jc w:val="center"/>
                    <w:rPr>
                      <w:sz w:val="21"/>
                      <w:szCs w:val="21"/>
                    </w:rPr>
                  </w:pPr>
                  <w:r>
                    <w:rPr>
                      <w:sz w:val="21"/>
                      <w:szCs w:val="21"/>
                    </w:rPr>
                    <w:t>230</w:t>
                  </w:r>
                </w:p>
              </w:tc>
              <w:tc>
                <w:tcPr>
                  <w:tcW w:w="2022" w:type="pct"/>
                  <w:vMerge w:val="continue"/>
                  <w:tcBorders>
                    <w:tl2br w:val="nil"/>
                    <w:tr2bl w:val="nil"/>
                  </w:tcBorders>
                  <w:vAlign w:val="center"/>
                </w:tcPr>
                <w:p>
                  <w:pPr>
                    <w:pStyle w:val="4"/>
                    <w:snapToGrid w:val="0"/>
                    <w:spacing w:line="240" w:lineRule="auto"/>
                    <w:contextualSpacing/>
                    <w:jc w:val="center"/>
                    <w:rPr>
                      <w:sz w:val="21"/>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01" w:hRule="atLeast"/>
                <w:jc w:val="center"/>
              </w:trPr>
              <w:tc>
                <w:tcPr>
                  <w:tcW w:w="642" w:type="pct"/>
                  <w:vMerge w:val="continue"/>
                  <w:tcBorders>
                    <w:tl2br w:val="nil"/>
                    <w:tr2bl w:val="nil"/>
                  </w:tcBorders>
                  <w:vAlign w:val="center"/>
                </w:tcPr>
                <w:p>
                  <w:pPr>
                    <w:snapToGrid w:val="0"/>
                    <w:contextualSpacing/>
                    <w:jc w:val="center"/>
                    <w:rPr>
                      <w:szCs w:val="21"/>
                    </w:rPr>
                  </w:pPr>
                </w:p>
              </w:tc>
              <w:tc>
                <w:tcPr>
                  <w:tcW w:w="1057" w:type="pct"/>
                  <w:tcBorders>
                    <w:tl2br w:val="nil"/>
                    <w:tr2bl w:val="nil"/>
                  </w:tcBorders>
                  <w:vAlign w:val="center"/>
                </w:tcPr>
                <w:p>
                  <w:pPr>
                    <w:snapToGrid w:val="0"/>
                    <w:contextualSpacing/>
                    <w:jc w:val="center"/>
                    <w:rPr>
                      <w:szCs w:val="21"/>
                    </w:rPr>
                  </w:pPr>
                  <w:r>
                    <w:rPr>
                      <w:szCs w:val="21"/>
                    </w:rPr>
                    <w:t>崔小郭村</w:t>
                  </w:r>
                </w:p>
              </w:tc>
              <w:tc>
                <w:tcPr>
                  <w:tcW w:w="564" w:type="pct"/>
                  <w:tcBorders>
                    <w:tl2br w:val="nil"/>
                    <w:tr2bl w:val="nil"/>
                  </w:tcBorders>
                  <w:vAlign w:val="center"/>
                </w:tcPr>
                <w:p>
                  <w:pPr>
                    <w:pStyle w:val="4"/>
                    <w:snapToGrid w:val="0"/>
                    <w:spacing w:line="240" w:lineRule="auto"/>
                    <w:contextualSpacing/>
                    <w:jc w:val="center"/>
                    <w:rPr>
                      <w:sz w:val="21"/>
                      <w:szCs w:val="21"/>
                    </w:rPr>
                  </w:pPr>
                  <w:r>
                    <w:rPr>
                      <w:sz w:val="21"/>
                      <w:szCs w:val="21"/>
                    </w:rPr>
                    <w:t>东南</w:t>
                  </w:r>
                </w:p>
              </w:tc>
              <w:tc>
                <w:tcPr>
                  <w:tcW w:w="714" w:type="pct"/>
                  <w:tcBorders>
                    <w:tl2br w:val="nil"/>
                    <w:tr2bl w:val="nil"/>
                  </w:tcBorders>
                  <w:vAlign w:val="center"/>
                </w:tcPr>
                <w:p>
                  <w:pPr>
                    <w:pStyle w:val="4"/>
                    <w:snapToGrid w:val="0"/>
                    <w:spacing w:line="240" w:lineRule="auto"/>
                    <w:contextualSpacing/>
                    <w:jc w:val="center"/>
                    <w:rPr>
                      <w:sz w:val="21"/>
                      <w:szCs w:val="21"/>
                    </w:rPr>
                  </w:pPr>
                  <w:r>
                    <w:rPr>
                      <w:sz w:val="21"/>
                      <w:szCs w:val="21"/>
                    </w:rPr>
                    <w:t>800</w:t>
                  </w:r>
                </w:p>
              </w:tc>
              <w:tc>
                <w:tcPr>
                  <w:tcW w:w="2022" w:type="pct"/>
                  <w:vMerge w:val="continue"/>
                  <w:tcBorders>
                    <w:tl2br w:val="nil"/>
                    <w:tr2bl w:val="nil"/>
                  </w:tcBorders>
                  <w:vAlign w:val="center"/>
                </w:tcPr>
                <w:p>
                  <w:pPr>
                    <w:pStyle w:val="4"/>
                    <w:snapToGrid w:val="0"/>
                    <w:spacing w:line="240" w:lineRule="auto"/>
                    <w:contextualSpacing/>
                    <w:jc w:val="center"/>
                    <w:rPr>
                      <w:sz w:val="21"/>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01" w:hRule="atLeast"/>
                <w:jc w:val="center"/>
              </w:trPr>
              <w:tc>
                <w:tcPr>
                  <w:tcW w:w="642" w:type="pct"/>
                  <w:vMerge w:val="continue"/>
                  <w:tcBorders>
                    <w:tl2br w:val="nil"/>
                    <w:tr2bl w:val="nil"/>
                  </w:tcBorders>
                  <w:vAlign w:val="center"/>
                </w:tcPr>
                <w:p>
                  <w:pPr>
                    <w:snapToGrid w:val="0"/>
                    <w:contextualSpacing/>
                    <w:jc w:val="center"/>
                    <w:rPr>
                      <w:szCs w:val="21"/>
                    </w:rPr>
                  </w:pPr>
                </w:p>
              </w:tc>
              <w:tc>
                <w:tcPr>
                  <w:tcW w:w="1057" w:type="pct"/>
                  <w:tcBorders>
                    <w:tl2br w:val="nil"/>
                    <w:tr2bl w:val="nil"/>
                  </w:tcBorders>
                  <w:vAlign w:val="center"/>
                </w:tcPr>
                <w:p>
                  <w:pPr>
                    <w:snapToGrid w:val="0"/>
                    <w:contextualSpacing/>
                    <w:jc w:val="center"/>
                    <w:rPr>
                      <w:szCs w:val="21"/>
                    </w:rPr>
                  </w:pPr>
                  <w:r>
                    <w:rPr>
                      <w:szCs w:val="21"/>
                    </w:rPr>
                    <w:t>郭小郭村</w:t>
                  </w:r>
                </w:p>
              </w:tc>
              <w:tc>
                <w:tcPr>
                  <w:tcW w:w="564" w:type="pct"/>
                  <w:tcBorders>
                    <w:tl2br w:val="nil"/>
                    <w:tr2bl w:val="nil"/>
                  </w:tcBorders>
                  <w:vAlign w:val="center"/>
                </w:tcPr>
                <w:p>
                  <w:pPr>
                    <w:pStyle w:val="4"/>
                    <w:snapToGrid w:val="0"/>
                    <w:spacing w:line="240" w:lineRule="auto"/>
                    <w:contextualSpacing/>
                    <w:jc w:val="center"/>
                    <w:rPr>
                      <w:sz w:val="21"/>
                      <w:szCs w:val="21"/>
                    </w:rPr>
                  </w:pPr>
                  <w:r>
                    <w:rPr>
                      <w:sz w:val="21"/>
                      <w:szCs w:val="21"/>
                    </w:rPr>
                    <w:t>东南</w:t>
                  </w:r>
                </w:p>
              </w:tc>
              <w:tc>
                <w:tcPr>
                  <w:tcW w:w="714" w:type="pct"/>
                  <w:tcBorders>
                    <w:tl2br w:val="nil"/>
                    <w:tr2bl w:val="nil"/>
                  </w:tcBorders>
                  <w:vAlign w:val="center"/>
                </w:tcPr>
                <w:p>
                  <w:pPr>
                    <w:pStyle w:val="4"/>
                    <w:snapToGrid w:val="0"/>
                    <w:spacing w:line="240" w:lineRule="auto"/>
                    <w:contextualSpacing/>
                    <w:jc w:val="center"/>
                    <w:rPr>
                      <w:sz w:val="21"/>
                      <w:szCs w:val="21"/>
                    </w:rPr>
                  </w:pPr>
                  <w:r>
                    <w:rPr>
                      <w:sz w:val="21"/>
                      <w:szCs w:val="21"/>
                    </w:rPr>
                    <w:t>850</w:t>
                  </w:r>
                </w:p>
              </w:tc>
              <w:tc>
                <w:tcPr>
                  <w:tcW w:w="2022" w:type="pct"/>
                  <w:vMerge w:val="continue"/>
                  <w:tcBorders>
                    <w:tl2br w:val="nil"/>
                    <w:tr2bl w:val="nil"/>
                  </w:tcBorders>
                  <w:vAlign w:val="center"/>
                </w:tcPr>
                <w:p>
                  <w:pPr>
                    <w:pStyle w:val="4"/>
                    <w:snapToGrid w:val="0"/>
                    <w:spacing w:line="240" w:lineRule="auto"/>
                    <w:contextualSpacing/>
                    <w:jc w:val="center"/>
                    <w:rPr>
                      <w:sz w:val="21"/>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88" w:hRule="atLeast"/>
                <w:jc w:val="center"/>
              </w:trPr>
              <w:tc>
                <w:tcPr>
                  <w:tcW w:w="642" w:type="pct"/>
                  <w:vMerge w:val="continue"/>
                  <w:tcBorders>
                    <w:tl2br w:val="nil"/>
                    <w:tr2bl w:val="nil"/>
                  </w:tcBorders>
                  <w:vAlign w:val="center"/>
                </w:tcPr>
                <w:p>
                  <w:pPr>
                    <w:snapToGrid w:val="0"/>
                    <w:contextualSpacing/>
                    <w:jc w:val="center"/>
                    <w:rPr>
                      <w:szCs w:val="21"/>
                    </w:rPr>
                  </w:pPr>
                </w:p>
              </w:tc>
              <w:tc>
                <w:tcPr>
                  <w:tcW w:w="1057" w:type="pct"/>
                  <w:tcBorders>
                    <w:tl2br w:val="nil"/>
                    <w:tr2bl w:val="nil"/>
                  </w:tcBorders>
                  <w:vAlign w:val="center"/>
                </w:tcPr>
                <w:p>
                  <w:pPr>
                    <w:snapToGrid w:val="0"/>
                    <w:contextualSpacing/>
                    <w:jc w:val="center"/>
                    <w:rPr>
                      <w:szCs w:val="21"/>
                    </w:rPr>
                  </w:pPr>
                  <w:r>
                    <w:rPr>
                      <w:szCs w:val="21"/>
                    </w:rPr>
                    <w:t>合河村</w:t>
                  </w:r>
                </w:p>
              </w:tc>
              <w:tc>
                <w:tcPr>
                  <w:tcW w:w="564" w:type="pct"/>
                  <w:tcBorders>
                    <w:tl2br w:val="nil"/>
                    <w:tr2bl w:val="nil"/>
                  </w:tcBorders>
                  <w:vAlign w:val="center"/>
                </w:tcPr>
                <w:p>
                  <w:pPr>
                    <w:pStyle w:val="4"/>
                    <w:snapToGrid w:val="0"/>
                    <w:spacing w:line="240" w:lineRule="auto"/>
                    <w:contextualSpacing/>
                    <w:jc w:val="center"/>
                    <w:rPr>
                      <w:sz w:val="21"/>
                      <w:szCs w:val="21"/>
                    </w:rPr>
                  </w:pPr>
                  <w:r>
                    <w:rPr>
                      <w:sz w:val="21"/>
                      <w:szCs w:val="21"/>
                    </w:rPr>
                    <w:t>西南</w:t>
                  </w:r>
                </w:p>
              </w:tc>
              <w:tc>
                <w:tcPr>
                  <w:tcW w:w="714" w:type="pct"/>
                  <w:tcBorders>
                    <w:tl2br w:val="nil"/>
                    <w:tr2bl w:val="nil"/>
                  </w:tcBorders>
                  <w:vAlign w:val="center"/>
                </w:tcPr>
                <w:p>
                  <w:pPr>
                    <w:pStyle w:val="4"/>
                    <w:snapToGrid w:val="0"/>
                    <w:spacing w:line="240" w:lineRule="auto"/>
                    <w:contextualSpacing/>
                    <w:jc w:val="center"/>
                    <w:rPr>
                      <w:sz w:val="21"/>
                      <w:szCs w:val="21"/>
                    </w:rPr>
                  </w:pPr>
                  <w:r>
                    <w:rPr>
                      <w:sz w:val="21"/>
                      <w:szCs w:val="21"/>
                    </w:rPr>
                    <w:t>210</w:t>
                  </w:r>
                </w:p>
              </w:tc>
              <w:tc>
                <w:tcPr>
                  <w:tcW w:w="2022" w:type="pct"/>
                  <w:vMerge w:val="continue"/>
                  <w:tcBorders>
                    <w:tl2br w:val="nil"/>
                    <w:tr2bl w:val="nil"/>
                  </w:tcBorders>
                  <w:vAlign w:val="center"/>
                </w:tcPr>
                <w:p>
                  <w:pPr>
                    <w:pStyle w:val="4"/>
                    <w:snapToGrid w:val="0"/>
                    <w:spacing w:line="240" w:lineRule="auto"/>
                    <w:contextualSpacing/>
                    <w:jc w:val="center"/>
                    <w:rPr>
                      <w:sz w:val="21"/>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01" w:hRule="atLeast"/>
                <w:jc w:val="center"/>
              </w:trPr>
              <w:tc>
                <w:tcPr>
                  <w:tcW w:w="642" w:type="pct"/>
                  <w:vMerge w:val="continue"/>
                  <w:tcBorders>
                    <w:tl2br w:val="nil"/>
                    <w:tr2bl w:val="nil"/>
                  </w:tcBorders>
                  <w:vAlign w:val="center"/>
                </w:tcPr>
                <w:p>
                  <w:pPr>
                    <w:snapToGrid w:val="0"/>
                    <w:contextualSpacing/>
                    <w:jc w:val="center"/>
                    <w:rPr>
                      <w:szCs w:val="21"/>
                    </w:rPr>
                  </w:pPr>
                </w:p>
              </w:tc>
              <w:tc>
                <w:tcPr>
                  <w:tcW w:w="1057" w:type="pct"/>
                  <w:tcBorders>
                    <w:tl2br w:val="nil"/>
                    <w:tr2bl w:val="nil"/>
                  </w:tcBorders>
                  <w:vAlign w:val="center"/>
                </w:tcPr>
                <w:p>
                  <w:pPr>
                    <w:snapToGrid w:val="0"/>
                    <w:contextualSpacing/>
                    <w:jc w:val="center"/>
                    <w:rPr>
                      <w:szCs w:val="21"/>
                    </w:rPr>
                  </w:pPr>
                  <w:r>
                    <w:rPr>
                      <w:szCs w:val="21"/>
                    </w:rPr>
                    <w:t>前村</w:t>
                  </w:r>
                </w:p>
              </w:tc>
              <w:tc>
                <w:tcPr>
                  <w:tcW w:w="564" w:type="pct"/>
                  <w:tcBorders>
                    <w:tl2br w:val="nil"/>
                    <w:tr2bl w:val="nil"/>
                  </w:tcBorders>
                  <w:vAlign w:val="center"/>
                </w:tcPr>
                <w:p>
                  <w:pPr>
                    <w:pStyle w:val="4"/>
                    <w:snapToGrid w:val="0"/>
                    <w:spacing w:line="240" w:lineRule="auto"/>
                    <w:contextualSpacing/>
                    <w:jc w:val="center"/>
                    <w:rPr>
                      <w:sz w:val="21"/>
                      <w:szCs w:val="21"/>
                    </w:rPr>
                  </w:pPr>
                  <w:r>
                    <w:rPr>
                      <w:sz w:val="21"/>
                      <w:szCs w:val="21"/>
                    </w:rPr>
                    <w:t>西北</w:t>
                  </w:r>
                </w:p>
              </w:tc>
              <w:tc>
                <w:tcPr>
                  <w:tcW w:w="714" w:type="pct"/>
                  <w:tcBorders>
                    <w:tl2br w:val="nil"/>
                    <w:tr2bl w:val="nil"/>
                  </w:tcBorders>
                  <w:vAlign w:val="center"/>
                </w:tcPr>
                <w:p>
                  <w:pPr>
                    <w:pStyle w:val="4"/>
                    <w:snapToGrid w:val="0"/>
                    <w:spacing w:line="240" w:lineRule="auto"/>
                    <w:contextualSpacing/>
                    <w:jc w:val="center"/>
                    <w:rPr>
                      <w:sz w:val="21"/>
                      <w:szCs w:val="21"/>
                    </w:rPr>
                  </w:pPr>
                  <w:r>
                    <w:rPr>
                      <w:sz w:val="21"/>
                      <w:szCs w:val="21"/>
                    </w:rPr>
                    <w:t>650</w:t>
                  </w:r>
                </w:p>
              </w:tc>
              <w:tc>
                <w:tcPr>
                  <w:tcW w:w="2022" w:type="pct"/>
                  <w:vMerge w:val="continue"/>
                  <w:tcBorders>
                    <w:tl2br w:val="nil"/>
                    <w:tr2bl w:val="nil"/>
                  </w:tcBorders>
                  <w:vAlign w:val="center"/>
                </w:tcPr>
                <w:p>
                  <w:pPr>
                    <w:pStyle w:val="4"/>
                    <w:snapToGrid w:val="0"/>
                    <w:spacing w:line="240" w:lineRule="auto"/>
                    <w:contextualSpacing/>
                    <w:jc w:val="center"/>
                    <w:rPr>
                      <w:sz w:val="21"/>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533" w:hRule="atLeast"/>
                <w:jc w:val="center"/>
              </w:trPr>
              <w:tc>
                <w:tcPr>
                  <w:tcW w:w="642" w:type="pct"/>
                  <w:tcBorders>
                    <w:tl2br w:val="nil"/>
                    <w:tr2bl w:val="nil"/>
                  </w:tcBorders>
                  <w:vAlign w:val="center"/>
                </w:tcPr>
                <w:p>
                  <w:pPr>
                    <w:snapToGrid w:val="0"/>
                    <w:contextualSpacing/>
                    <w:jc w:val="center"/>
                    <w:rPr>
                      <w:szCs w:val="21"/>
                    </w:rPr>
                  </w:pPr>
                  <w:r>
                    <w:rPr>
                      <w:szCs w:val="21"/>
                    </w:rPr>
                    <w:t>水环境</w:t>
                  </w:r>
                </w:p>
              </w:tc>
              <w:tc>
                <w:tcPr>
                  <w:tcW w:w="1057" w:type="pct"/>
                  <w:tcBorders>
                    <w:tl2br w:val="nil"/>
                    <w:tr2bl w:val="nil"/>
                  </w:tcBorders>
                  <w:vAlign w:val="center"/>
                </w:tcPr>
                <w:p>
                  <w:pPr>
                    <w:snapToGrid w:val="0"/>
                    <w:contextualSpacing/>
                    <w:jc w:val="center"/>
                    <w:rPr>
                      <w:szCs w:val="21"/>
                    </w:rPr>
                  </w:pPr>
                  <w:r>
                    <w:rPr>
                      <w:szCs w:val="21"/>
                    </w:rPr>
                    <w:t>卫河</w:t>
                  </w:r>
                </w:p>
              </w:tc>
              <w:tc>
                <w:tcPr>
                  <w:tcW w:w="564" w:type="pct"/>
                  <w:tcBorders>
                    <w:tl2br w:val="nil"/>
                    <w:tr2bl w:val="nil"/>
                  </w:tcBorders>
                  <w:vAlign w:val="center"/>
                </w:tcPr>
                <w:p>
                  <w:pPr>
                    <w:pStyle w:val="4"/>
                    <w:snapToGrid w:val="0"/>
                    <w:spacing w:line="240" w:lineRule="auto"/>
                    <w:contextualSpacing/>
                    <w:jc w:val="center"/>
                    <w:rPr>
                      <w:sz w:val="21"/>
                      <w:szCs w:val="21"/>
                    </w:rPr>
                  </w:pPr>
                  <w:r>
                    <w:rPr>
                      <w:sz w:val="21"/>
                      <w:szCs w:val="21"/>
                    </w:rPr>
                    <w:t>西</w:t>
                  </w:r>
                </w:p>
              </w:tc>
              <w:tc>
                <w:tcPr>
                  <w:tcW w:w="714" w:type="pct"/>
                  <w:tcBorders>
                    <w:tl2br w:val="nil"/>
                    <w:tr2bl w:val="nil"/>
                  </w:tcBorders>
                  <w:vAlign w:val="center"/>
                </w:tcPr>
                <w:p>
                  <w:pPr>
                    <w:pStyle w:val="4"/>
                    <w:snapToGrid w:val="0"/>
                    <w:spacing w:line="240" w:lineRule="auto"/>
                    <w:contextualSpacing/>
                    <w:jc w:val="center"/>
                    <w:rPr>
                      <w:sz w:val="21"/>
                      <w:szCs w:val="21"/>
                    </w:rPr>
                  </w:pPr>
                  <w:r>
                    <w:rPr>
                      <w:sz w:val="21"/>
                      <w:szCs w:val="21"/>
                    </w:rPr>
                    <w:t>150</w:t>
                  </w:r>
                </w:p>
              </w:tc>
              <w:tc>
                <w:tcPr>
                  <w:tcW w:w="2022" w:type="pct"/>
                  <w:tcBorders>
                    <w:tl2br w:val="nil"/>
                    <w:tr2bl w:val="nil"/>
                  </w:tcBorders>
                  <w:vAlign w:val="center"/>
                </w:tcPr>
                <w:p>
                  <w:pPr>
                    <w:pStyle w:val="4"/>
                    <w:snapToGrid w:val="0"/>
                    <w:spacing w:line="240" w:lineRule="auto"/>
                    <w:contextualSpacing/>
                    <w:jc w:val="center"/>
                    <w:rPr>
                      <w:sz w:val="21"/>
                      <w:szCs w:val="21"/>
                    </w:rPr>
                  </w:pPr>
                  <w:r>
                    <w:rPr>
                      <w:sz w:val="21"/>
                      <w:szCs w:val="21"/>
                    </w:rPr>
                    <w:t>《地表水环境质量标准》（GB3838-2002）Ⅴ类</w:t>
                  </w:r>
                </w:p>
              </w:tc>
            </w:tr>
          </w:tbl>
          <w:p>
            <w:r>
              <w:rPr>
                <w:rFonts w:hint="eastAsia"/>
              </w:rPr>
              <w:t xml:space="preserve">         </w:t>
            </w: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4"/>
            </w:pPr>
          </w:p>
          <w:p>
            <w:pPr>
              <w:pStyle w:val="4"/>
            </w:pPr>
          </w:p>
          <w:p>
            <w:pPr>
              <w:pStyle w:val="4"/>
            </w:pPr>
          </w:p>
          <w:p>
            <w:pPr>
              <w:pStyle w:val="4"/>
            </w:pPr>
          </w:p>
        </w:tc>
      </w:tr>
    </w:tbl>
    <w:p>
      <w:pPr>
        <w:spacing w:line="500" w:lineRule="exact"/>
        <w:outlineLvl w:val="0"/>
        <w:rPr>
          <w:b/>
          <w:sz w:val="32"/>
          <w:szCs w:val="32"/>
        </w:rPr>
      </w:pPr>
      <w:r>
        <w:rPr>
          <w:rFonts w:hint="eastAsia" w:hAnsi="宋体"/>
          <w:b/>
          <w:sz w:val="32"/>
          <w:szCs w:val="32"/>
        </w:rPr>
        <w:t>评价适用标准</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56"/>
        <w:gridCol w:w="87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69" w:hRule="atLeast"/>
          <w:jc w:val="center"/>
        </w:trPr>
        <w:tc>
          <w:tcPr>
            <w:tcW w:w="456" w:type="dxa"/>
            <w:vAlign w:val="center"/>
          </w:tcPr>
          <w:p>
            <w:pPr>
              <w:spacing w:line="480" w:lineRule="exact"/>
              <w:jc w:val="center"/>
              <w:rPr>
                <w:color w:val="000000"/>
                <w:sz w:val="24"/>
              </w:rPr>
            </w:pPr>
            <w:r>
              <w:rPr>
                <w:color w:val="000000"/>
                <w:sz w:val="24"/>
              </w:rPr>
              <w:t>环</w:t>
            </w:r>
          </w:p>
          <w:p>
            <w:pPr>
              <w:spacing w:line="480" w:lineRule="exact"/>
              <w:jc w:val="center"/>
              <w:rPr>
                <w:sz w:val="24"/>
              </w:rPr>
            </w:pPr>
            <w:r>
              <w:rPr>
                <w:sz w:val="24"/>
              </w:rPr>
              <w:t>境</w:t>
            </w:r>
          </w:p>
          <w:p>
            <w:pPr>
              <w:spacing w:line="480" w:lineRule="exact"/>
              <w:jc w:val="center"/>
              <w:rPr>
                <w:sz w:val="24"/>
              </w:rPr>
            </w:pPr>
            <w:r>
              <w:rPr>
                <w:sz w:val="24"/>
              </w:rPr>
              <w:t>质</w:t>
            </w:r>
          </w:p>
          <w:p>
            <w:pPr>
              <w:spacing w:line="480" w:lineRule="exact"/>
              <w:jc w:val="center"/>
              <w:rPr>
                <w:sz w:val="24"/>
              </w:rPr>
            </w:pPr>
            <w:r>
              <w:rPr>
                <w:sz w:val="24"/>
              </w:rPr>
              <w:t>量</w:t>
            </w:r>
          </w:p>
          <w:p>
            <w:pPr>
              <w:spacing w:line="480" w:lineRule="exact"/>
              <w:jc w:val="center"/>
              <w:rPr>
                <w:sz w:val="24"/>
              </w:rPr>
            </w:pPr>
            <w:r>
              <w:rPr>
                <w:sz w:val="24"/>
              </w:rPr>
              <w:t>标</w:t>
            </w:r>
          </w:p>
          <w:p>
            <w:pPr>
              <w:spacing w:line="480" w:lineRule="exact"/>
              <w:jc w:val="center"/>
              <w:rPr>
                <w:color w:val="FF0000"/>
                <w:sz w:val="24"/>
              </w:rPr>
            </w:pPr>
            <w:r>
              <w:rPr>
                <w:sz w:val="24"/>
              </w:rPr>
              <w:t>准</w:t>
            </w:r>
          </w:p>
        </w:tc>
        <w:tc>
          <w:tcPr>
            <w:tcW w:w="8786" w:type="dxa"/>
            <w:vAlign w:val="center"/>
          </w:tcPr>
          <w:p>
            <w:pPr>
              <w:spacing w:line="440" w:lineRule="exact"/>
              <w:ind w:firstLine="482" w:firstLineChars="200"/>
              <w:textAlignment w:val="baseline"/>
              <w:rPr>
                <w:b/>
                <w:sz w:val="24"/>
              </w:rPr>
            </w:pPr>
            <w:r>
              <w:rPr>
                <w:b/>
                <w:sz w:val="24"/>
              </w:rPr>
              <w:t>1、环境空气</w:t>
            </w:r>
          </w:p>
          <w:p>
            <w:pPr>
              <w:spacing w:line="440" w:lineRule="exact"/>
              <w:ind w:firstLine="480" w:firstLineChars="200"/>
              <w:textAlignment w:val="baseline"/>
              <w:rPr>
                <w:sz w:val="24"/>
              </w:rPr>
            </w:pPr>
            <w:r>
              <w:rPr>
                <w:sz w:val="24"/>
              </w:rPr>
              <w:t>本项目大气环境质量执行《环境空气质量标准》（GB3095-</w:t>
            </w:r>
            <w:r>
              <w:rPr>
                <w:rFonts w:hint="eastAsia"/>
                <w:sz w:val="24"/>
              </w:rPr>
              <w:t>2012</w:t>
            </w:r>
            <w:r>
              <w:rPr>
                <w:sz w:val="24"/>
              </w:rPr>
              <w:t>）</w:t>
            </w:r>
            <w:r>
              <w:rPr>
                <w:rFonts w:hint="eastAsia"/>
                <w:sz w:val="24"/>
                <w:lang w:eastAsia="zh-CN"/>
              </w:rPr>
              <w:t>及其</w:t>
            </w:r>
            <w:r>
              <w:rPr>
                <w:rFonts w:hint="eastAsia"/>
                <w:sz w:val="24"/>
                <w:lang w:val="en-US" w:eastAsia="zh-CN"/>
              </w:rPr>
              <w:t>2018年修改单</w:t>
            </w:r>
            <w:r>
              <w:rPr>
                <w:sz w:val="24"/>
              </w:rPr>
              <w:t>二级，相关标准值见</w:t>
            </w:r>
            <w:r>
              <w:rPr>
                <w:rFonts w:hint="eastAsia"/>
                <w:sz w:val="24"/>
              </w:rPr>
              <w:t>下表：</w:t>
            </w:r>
          </w:p>
          <w:p>
            <w:pPr>
              <w:pStyle w:val="9"/>
              <w:keepNext/>
              <w:spacing w:line="440" w:lineRule="exact"/>
              <w:ind w:firstLine="480" w:firstLineChars="200"/>
              <w:rPr>
                <w:rFonts w:ascii="Times New Roman" w:hAnsi="Times New Roman" w:cs="Times New Roman"/>
                <w:sz w:val="24"/>
                <w:szCs w:val="24"/>
              </w:rPr>
            </w:pPr>
            <w:bookmarkStart w:id="0" w:name="_Ref306978210"/>
            <w:r>
              <w:rPr>
                <w:rFonts w:ascii="Times New Roman" w:hAnsi="Times New Roman" w:cs="Times New Roman"/>
                <w:sz w:val="24"/>
                <w:szCs w:val="24"/>
              </w:rPr>
              <w:t>表</w:t>
            </w:r>
            <w:bookmarkEnd w:id="0"/>
            <w:r>
              <w:rPr>
                <w:rFonts w:ascii="Times New Roman" w:hAnsi="Times New Roman" w:cs="Times New Roman"/>
                <w:sz w:val="24"/>
                <w:szCs w:val="24"/>
              </w:rPr>
              <w:t>1</w:t>
            </w:r>
            <w:r>
              <w:rPr>
                <w:rFonts w:hint="eastAsia" w:ascii="Times New Roman" w:hAnsi="Times New Roman" w:cs="Times New Roman"/>
                <w:sz w:val="24"/>
                <w:szCs w:val="24"/>
              </w:rPr>
              <w:t>7</w:t>
            </w:r>
            <w:r>
              <w:rPr>
                <w:rFonts w:ascii="Times New Roman" w:hAnsi="Times New Roman" w:cs="Times New Roman"/>
                <w:sz w:val="24"/>
                <w:szCs w:val="24"/>
              </w:rPr>
              <w:t xml:space="preserve">                  环境空气质量标准               单位：</w:t>
            </w:r>
            <w:r>
              <w:rPr>
                <w:rFonts w:ascii="Times New Roman" w:hAnsi="Times New Roman" w:cs="Times New Roman"/>
                <w:color w:val="000000"/>
                <w:sz w:val="24"/>
                <w:szCs w:val="24"/>
              </w:rPr>
              <w:t>μg</w:t>
            </w:r>
            <w:r>
              <w:rPr>
                <w:rFonts w:ascii="Times New Roman" w:hAnsi="Times New Roman" w:cs="Times New Roman"/>
                <w:sz w:val="24"/>
                <w:szCs w:val="24"/>
              </w:rPr>
              <w:t xml:space="preserve"> /m</w:t>
            </w:r>
            <w:r>
              <w:rPr>
                <w:rFonts w:ascii="Times New Roman" w:hAnsi="Times New Roman" w:cs="Times New Roman"/>
                <w:sz w:val="24"/>
                <w:szCs w:val="24"/>
                <w:vertAlign w:val="superscript"/>
              </w:rPr>
              <w:t>3</w:t>
            </w:r>
          </w:p>
          <w:tbl>
            <w:tblPr>
              <w:tblStyle w:val="24"/>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72"/>
              <w:gridCol w:w="1928"/>
              <w:gridCol w:w="1517"/>
              <w:gridCol w:w="355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tcBorders>
                    <w:tl2br w:val="nil"/>
                    <w:tr2bl w:val="nil"/>
                  </w:tcBorders>
                  <w:vAlign w:val="center"/>
                </w:tcPr>
                <w:p>
                  <w:pPr>
                    <w:adjustRightInd w:val="0"/>
                    <w:snapToGrid w:val="0"/>
                    <w:jc w:val="center"/>
                    <w:textAlignment w:val="baseline"/>
                    <w:rPr>
                      <w:b/>
                      <w:bCs/>
                      <w:color w:val="000000"/>
                      <w:spacing w:val="-4"/>
                      <w:szCs w:val="21"/>
                    </w:rPr>
                  </w:pPr>
                  <w:r>
                    <w:rPr>
                      <w:b/>
                      <w:bCs/>
                      <w:color w:val="000000"/>
                      <w:spacing w:val="-4"/>
                      <w:szCs w:val="21"/>
                    </w:rPr>
                    <w:t>污染物名称</w:t>
                  </w:r>
                </w:p>
              </w:tc>
              <w:tc>
                <w:tcPr>
                  <w:tcW w:w="1125" w:type="pct"/>
                  <w:tcBorders>
                    <w:tl2br w:val="nil"/>
                    <w:tr2bl w:val="nil"/>
                  </w:tcBorders>
                  <w:vAlign w:val="center"/>
                </w:tcPr>
                <w:p>
                  <w:pPr>
                    <w:adjustRightInd w:val="0"/>
                    <w:snapToGrid w:val="0"/>
                    <w:jc w:val="center"/>
                    <w:textAlignment w:val="baseline"/>
                    <w:rPr>
                      <w:b/>
                      <w:bCs/>
                      <w:color w:val="000000"/>
                      <w:spacing w:val="-4"/>
                      <w:szCs w:val="21"/>
                    </w:rPr>
                  </w:pPr>
                  <w:r>
                    <w:rPr>
                      <w:b/>
                      <w:bCs/>
                      <w:color w:val="000000"/>
                      <w:spacing w:val="-4"/>
                      <w:szCs w:val="21"/>
                    </w:rPr>
                    <w:t>取值时间</w:t>
                  </w:r>
                </w:p>
              </w:tc>
              <w:tc>
                <w:tcPr>
                  <w:tcW w:w="885" w:type="pct"/>
                  <w:tcBorders>
                    <w:tl2br w:val="nil"/>
                    <w:tr2bl w:val="nil"/>
                  </w:tcBorders>
                  <w:vAlign w:val="center"/>
                </w:tcPr>
                <w:p>
                  <w:pPr>
                    <w:adjustRightInd w:val="0"/>
                    <w:snapToGrid w:val="0"/>
                    <w:jc w:val="center"/>
                    <w:textAlignment w:val="baseline"/>
                    <w:rPr>
                      <w:b/>
                      <w:bCs/>
                      <w:color w:val="000000"/>
                      <w:spacing w:val="-4"/>
                      <w:szCs w:val="21"/>
                    </w:rPr>
                  </w:pPr>
                  <w:r>
                    <w:rPr>
                      <w:b/>
                      <w:bCs/>
                      <w:color w:val="000000"/>
                      <w:spacing w:val="-4"/>
                      <w:szCs w:val="21"/>
                    </w:rPr>
                    <w:t>浓度限值</w:t>
                  </w:r>
                </w:p>
              </w:tc>
              <w:tc>
                <w:tcPr>
                  <w:tcW w:w="2071" w:type="pct"/>
                  <w:tcBorders>
                    <w:tl2br w:val="nil"/>
                    <w:tr2bl w:val="nil"/>
                  </w:tcBorders>
                  <w:vAlign w:val="center"/>
                </w:tcPr>
                <w:p>
                  <w:pPr>
                    <w:adjustRightInd w:val="0"/>
                    <w:snapToGrid w:val="0"/>
                    <w:jc w:val="center"/>
                    <w:textAlignment w:val="baseline"/>
                    <w:rPr>
                      <w:b/>
                      <w:bCs/>
                      <w:color w:val="000000"/>
                      <w:spacing w:val="-4"/>
                      <w:szCs w:val="21"/>
                    </w:rPr>
                  </w:pPr>
                  <w:r>
                    <w:rPr>
                      <w:b/>
                      <w:bCs/>
                      <w:color w:val="000000"/>
                      <w:spacing w:val="-4"/>
                      <w:szCs w:val="21"/>
                    </w:rPr>
                    <w:t>标准来源</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restar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SO</w:t>
                  </w:r>
                  <w:r>
                    <w:rPr>
                      <w:rFonts w:eastAsiaTheme="minorEastAsia"/>
                      <w:color w:val="000000"/>
                      <w:spacing w:val="-4"/>
                      <w:szCs w:val="21"/>
                      <w:vertAlign w:val="subscript"/>
                    </w:rPr>
                    <w:t>2</w:t>
                  </w: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年平均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60</w:t>
                  </w:r>
                </w:p>
              </w:tc>
              <w:tc>
                <w:tcPr>
                  <w:tcW w:w="2071" w:type="pct"/>
                  <w:vMerge w:val="restart"/>
                  <w:tcBorders>
                    <w:tl2br w:val="nil"/>
                    <w:tr2bl w:val="nil"/>
                  </w:tcBorders>
                  <w:vAlign w:val="center"/>
                </w:tcPr>
                <w:p>
                  <w:pPr>
                    <w:pStyle w:val="11"/>
                    <w:rPr>
                      <w:color w:val="000000"/>
                      <w:spacing w:val="-4"/>
                      <w:szCs w:val="21"/>
                    </w:rPr>
                  </w:pPr>
                  <w:r>
                    <w:rPr>
                      <w:rFonts w:hAnsi="宋体"/>
                      <w:color w:val="000000"/>
                      <w:spacing w:val="-4"/>
                      <w:szCs w:val="21"/>
                    </w:rPr>
                    <w:t>《环境空气质量标准》（</w:t>
                  </w:r>
                  <w:r>
                    <w:rPr>
                      <w:color w:val="000000"/>
                      <w:spacing w:val="-4"/>
                      <w:szCs w:val="21"/>
                    </w:rPr>
                    <w:t>GB3095-2012</w:t>
                  </w:r>
                  <w:r>
                    <w:rPr>
                      <w:rFonts w:hAnsi="宋体"/>
                      <w:color w:val="000000"/>
                      <w:spacing w:val="-4"/>
                      <w:szCs w:val="21"/>
                    </w:rPr>
                    <w:t>）</w:t>
                  </w:r>
                  <w:r>
                    <w:t>及其</w:t>
                  </w:r>
                  <w:r>
                    <w:rPr>
                      <w:rFonts w:hint="eastAsia"/>
                    </w:rPr>
                    <w:t>2018年修改单</w:t>
                  </w:r>
                  <w:r>
                    <w:rPr>
                      <w:rFonts w:hAnsi="宋体"/>
                      <w:color w:val="000000"/>
                      <w:spacing w:val="-4"/>
                      <w:szCs w:val="21"/>
                    </w:rPr>
                    <w:t>二级标准</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continue"/>
                  <w:tcBorders>
                    <w:tl2br w:val="nil"/>
                    <w:tr2bl w:val="nil"/>
                  </w:tcBorders>
                  <w:vAlign w:val="center"/>
                </w:tcPr>
                <w:p>
                  <w:pPr>
                    <w:widowControl/>
                    <w:snapToGrid w:val="0"/>
                    <w:jc w:val="left"/>
                    <w:rPr>
                      <w:rFonts w:eastAsiaTheme="minorEastAsia"/>
                      <w:color w:val="000000"/>
                      <w:spacing w:val="-4"/>
                      <w:szCs w:val="21"/>
                    </w:rPr>
                  </w:pP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日平均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150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continue"/>
                  <w:tcBorders>
                    <w:tl2br w:val="nil"/>
                    <w:tr2bl w:val="nil"/>
                  </w:tcBorders>
                  <w:vAlign w:val="center"/>
                </w:tcPr>
                <w:p>
                  <w:pPr>
                    <w:widowControl/>
                    <w:snapToGrid w:val="0"/>
                    <w:jc w:val="left"/>
                    <w:rPr>
                      <w:rFonts w:eastAsiaTheme="minorEastAsia"/>
                      <w:color w:val="000000"/>
                      <w:spacing w:val="-4"/>
                      <w:szCs w:val="21"/>
                    </w:rPr>
                  </w:pP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1h</w:t>
                  </w:r>
                  <w:r>
                    <w:rPr>
                      <w:rFonts w:hAnsiTheme="minorEastAsia" w:eastAsiaTheme="minorEastAsia"/>
                      <w:color w:val="000000"/>
                      <w:spacing w:val="-4"/>
                      <w:szCs w:val="21"/>
                    </w:rPr>
                    <w:t>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500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restar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NO</w:t>
                  </w:r>
                  <w:r>
                    <w:rPr>
                      <w:rFonts w:eastAsiaTheme="minorEastAsia"/>
                      <w:color w:val="000000"/>
                      <w:spacing w:val="-4"/>
                      <w:szCs w:val="21"/>
                      <w:vertAlign w:val="subscript"/>
                    </w:rPr>
                    <w:t>2</w:t>
                  </w: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年平均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40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continue"/>
                  <w:tcBorders>
                    <w:tl2br w:val="nil"/>
                    <w:tr2bl w:val="nil"/>
                  </w:tcBorders>
                  <w:vAlign w:val="center"/>
                </w:tcPr>
                <w:p>
                  <w:pPr>
                    <w:widowControl/>
                    <w:snapToGrid w:val="0"/>
                    <w:jc w:val="left"/>
                    <w:rPr>
                      <w:rFonts w:eastAsiaTheme="minorEastAsia"/>
                      <w:color w:val="000000"/>
                      <w:spacing w:val="-4"/>
                      <w:szCs w:val="21"/>
                    </w:rPr>
                  </w:pP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日平均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80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continue"/>
                  <w:tcBorders>
                    <w:tl2br w:val="nil"/>
                    <w:tr2bl w:val="nil"/>
                  </w:tcBorders>
                  <w:vAlign w:val="center"/>
                </w:tcPr>
                <w:p>
                  <w:pPr>
                    <w:widowControl/>
                    <w:snapToGrid w:val="0"/>
                    <w:jc w:val="left"/>
                    <w:rPr>
                      <w:rFonts w:eastAsiaTheme="minorEastAsia"/>
                      <w:color w:val="000000"/>
                      <w:spacing w:val="-4"/>
                      <w:szCs w:val="21"/>
                    </w:rPr>
                  </w:pP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1h</w:t>
                  </w:r>
                  <w:r>
                    <w:rPr>
                      <w:rFonts w:hAnsiTheme="minorEastAsia" w:eastAsiaTheme="minorEastAsia"/>
                      <w:color w:val="000000"/>
                      <w:spacing w:val="-4"/>
                      <w:szCs w:val="21"/>
                    </w:rPr>
                    <w:t>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200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restar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TSP</w:t>
                  </w: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年平均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200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continue"/>
                  <w:tcBorders>
                    <w:tl2br w:val="nil"/>
                    <w:tr2bl w:val="nil"/>
                  </w:tcBorders>
                  <w:vAlign w:val="center"/>
                </w:tcPr>
                <w:p>
                  <w:pPr>
                    <w:widowControl/>
                    <w:snapToGrid w:val="0"/>
                    <w:jc w:val="left"/>
                    <w:rPr>
                      <w:rFonts w:eastAsiaTheme="minorEastAsia"/>
                      <w:color w:val="000000"/>
                      <w:spacing w:val="-4"/>
                      <w:szCs w:val="21"/>
                    </w:rPr>
                  </w:pP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日平均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300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restar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PM</w:t>
                  </w:r>
                  <w:r>
                    <w:rPr>
                      <w:rFonts w:eastAsiaTheme="minorEastAsia"/>
                      <w:color w:val="000000"/>
                      <w:spacing w:val="-4"/>
                      <w:szCs w:val="21"/>
                      <w:vertAlign w:val="subscript"/>
                    </w:rPr>
                    <w:t>2.5</w:t>
                  </w: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年平均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35</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continue"/>
                  <w:tcBorders>
                    <w:tl2br w:val="nil"/>
                    <w:tr2bl w:val="nil"/>
                  </w:tcBorders>
                  <w:vAlign w:val="center"/>
                </w:tcPr>
                <w:p>
                  <w:pPr>
                    <w:adjustRightInd w:val="0"/>
                    <w:snapToGrid w:val="0"/>
                    <w:jc w:val="center"/>
                    <w:textAlignment w:val="baseline"/>
                    <w:rPr>
                      <w:rFonts w:eastAsiaTheme="minorEastAsia"/>
                      <w:color w:val="000000"/>
                      <w:spacing w:val="-4"/>
                      <w:szCs w:val="21"/>
                    </w:rPr>
                  </w:pP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日平均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75</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restar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PM</w:t>
                  </w:r>
                  <w:r>
                    <w:rPr>
                      <w:rFonts w:eastAsiaTheme="minorEastAsia"/>
                      <w:color w:val="000000"/>
                      <w:spacing w:val="-4"/>
                      <w:szCs w:val="21"/>
                      <w:vertAlign w:val="subscript"/>
                    </w:rPr>
                    <w:t>10</w:t>
                  </w: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年平均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70</w:t>
                  </w:r>
                </w:p>
              </w:tc>
              <w:tc>
                <w:tcPr>
                  <w:tcW w:w="2071" w:type="pct"/>
                  <w:vMerge w:val="continue"/>
                  <w:tcBorders>
                    <w:tl2br w:val="nil"/>
                    <w:tr2bl w:val="nil"/>
                  </w:tcBorders>
                  <w:vAlign w:val="center"/>
                </w:tcPr>
                <w:p>
                  <w:pPr>
                    <w:widowControl/>
                    <w:snapToGrid w:val="0"/>
                    <w:jc w:val="left"/>
                    <w:rPr>
                      <w:color w:val="000000"/>
                      <w:spacing w:val="-4"/>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7" w:type="pct"/>
                  <w:vMerge w:val="continue"/>
                  <w:tcBorders>
                    <w:tl2br w:val="nil"/>
                    <w:tr2bl w:val="nil"/>
                  </w:tcBorders>
                  <w:vAlign w:val="center"/>
                </w:tcPr>
                <w:p>
                  <w:pPr>
                    <w:widowControl/>
                    <w:snapToGrid w:val="0"/>
                    <w:jc w:val="left"/>
                    <w:rPr>
                      <w:rFonts w:eastAsiaTheme="minorEastAsia"/>
                      <w:color w:val="000000"/>
                      <w:spacing w:val="-4"/>
                      <w:szCs w:val="21"/>
                    </w:rPr>
                  </w:pPr>
                </w:p>
              </w:tc>
              <w:tc>
                <w:tcPr>
                  <w:tcW w:w="112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hAnsiTheme="minorEastAsia" w:eastAsiaTheme="minorEastAsia"/>
                      <w:color w:val="000000"/>
                      <w:spacing w:val="-4"/>
                      <w:szCs w:val="21"/>
                    </w:rPr>
                    <w:t>日平均</w:t>
                  </w:r>
                </w:p>
              </w:tc>
              <w:tc>
                <w:tcPr>
                  <w:tcW w:w="885" w:type="pct"/>
                  <w:tcBorders>
                    <w:tl2br w:val="nil"/>
                    <w:tr2bl w:val="nil"/>
                  </w:tcBorders>
                  <w:vAlign w:val="center"/>
                </w:tcPr>
                <w:p>
                  <w:pPr>
                    <w:adjustRightInd w:val="0"/>
                    <w:snapToGrid w:val="0"/>
                    <w:jc w:val="center"/>
                    <w:textAlignment w:val="baseline"/>
                    <w:rPr>
                      <w:rFonts w:eastAsiaTheme="minorEastAsia"/>
                      <w:color w:val="000000"/>
                      <w:spacing w:val="-4"/>
                      <w:szCs w:val="21"/>
                    </w:rPr>
                  </w:pPr>
                  <w:r>
                    <w:rPr>
                      <w:rFonts w:eastAsiaTheme="minorEastAsia"/>
                      <w:color w:val="000000"/>
                      <w:spacing w:val="-4"/>
                      <w:szCs w:val="21"/>
                    </w:rPr>
                    <w:t>150</w:t>
                  </w:r>
                </w:p>
              </w:tc>
              <w:tc>
                <w:tcPr>
                  <w:tcW w:w="2071" w:type="pct"/>
                  <w:vMerge w:val="continue"/>
                  <w:tcBorders>
                    <w:tl2br w:val="nil"/>
                    <w:tr2bl w:val="nil"/>
                  </w:tcBorders>
                  <w:vAlign w:val="center"/>
                </w:tcPr>
                <w:p>
                  <w:pPr>
                    <w:widowControl/>
                    <w:snapToGrid w:val="0"/>
                    <w:jc w:val="left"/>
                    <w:rPr>
                      <w:color w:val="000000"/>
                      <w:spacing w:val="-4"/>
                      <w:szCs w:val="21"/>
                    </w:rPr>
                  </w:pPr>
                </w:p>
              </w:tc>
            </w:tr>
          </w:tbl>
          <w:p>
            <w:pPr>
              <w:spacing w:line="440" w:lineRule="exact"/>
              <w:ind w:firstLine="482" w:firstLineChars="200"/>
              <w:textAlignment w:val="baseline"/>
              <w:rPr>
                <w:b/>
                <w:sz w:val="24"/>
                <w:szCs w:val="20"/>
              </w:rPr>
            </w:pPr>
            <w:r>
              <w:rPr>
                <w:b/>
                <w:sz w:val="24"/>
              </w:rPr>
              <w:t>2</w:t>
            </w:r>
            <w:r>
              <w:rPr>
                <w:rFonts w:hAnsi="宋体"/>
                <w:b/>
                <w:sz w:val="24"/>
              </w:rPr>
              <w:t>、声环境</w:t>
            </w:r>
          </w:p>
          <w:p>
            <w:pPr>
              <w:spacing w:line="440" w:lineRule="exact"/>
              <w:ind w:firstLine="480" w:firstLineChars="200"/>
              <w:rPr>
                <w:sz w:val="24"/>
              </w:rPr>
            </w:pPr>
            <w:r>
              <w:rPr>
                <w:rFonts w:hAnsi="宋体"/>
                <w:sz w:val="24"/>
              </w:rPr>
              <w:t>本项目各厂界环境噪声执行《声环境质量标准》（</w:t>
            </w:r>
            <w:r>
              <w:rPr>
                <w:sz w:val="24"/>
              </w:rPr>
              <w:t>GB3096-2008</w:t>
            </w:r>
            <w:r>
              <w:rPr>
                <w:rFonts w:hAnsi="宋体"/>
                <w:sz w:val="24"/>
              </w:rPr>
              <w:t>）</w:t>
            </w:r>
            <w:r>
              <w:rPr>
                <w:sz w:val="24"/>
              </w:rPr>
              <w:t>2</w:t>
            </w:r>
            <w:r>
              <w:rPr>
                <w:rFonts w:hAnsi="宋体"/>
                <w:sz w:val="24"/>
              </w:rPr>
              <w:t>类标准的要求，相关标准限值见下表</w:t>
            </w:r>
            <w:r>
              <w:rPr>
                <w:rFonts w:hint="eastAsia" w:hAnsi="宋体"/>
                <w:sz w:val="24"/>
              </w:rPr>
              <w:t>：</w:t>
            </w:r>
          </w:p>
          <w:p>
            <w:pPr>
              <w:pStyle w:val="9"/>
              <w:keepNext/>
              <w:spacing w:line="440" w:lineRule="exact"/>
              <w:ind w:firstLine="480" w:firstLineChars="200"/>
              <w:rPr>
                <w:rFonts w:ascii="Times New Roman" w:hAnsi="Times New Roman"/>
                <w:sz w:val="24"/>
                <w:szCs w:val="24"/>
              </w:rPr>
            </w:pPr>
            <w:bookmarkStart w:id="1" w:name="_Ref306978508"/>
            <w:r>
              <w:rPr>
                <w:rFonts w:ascii="Times New Roman" w:hAnsi="Times New Roman"/>
                <w:sz w:val="24"/>
                <w:szCs w:val="24"/>
              </w:rPr>
              <w:t>表</w:t>
            </w:r>
            <w:bookmarkEnd w:id="1"/>
            <w:r>
              <w:rPr>
                <w:rFonts w:hint="eastAsia" w:ascii="Times New Roman" w:hAnsi="Times New Roman"/>
                <w:sz w:val="24"/>
                <w:szCs w:val="24"/>
              </w:rPr>
              <w:t>18</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声环境质量标准               单位：dB（A）</w:t>
            </w:r>
          </w:p>
          <w:tbl>
            <w:tblPr>
              <w:tblStyle w:val="24"/>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73"/>
              <w:gridCol w:w="2888"/>
              <w:gridCol w:w="2506"/>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1" w:type="pct"/>
                  <w:tcBorders>
                    <w:top w:val="single" w:color="auto" w:sz="8" w:space="0"/>
                    <w:bottom w:val="single" w:color="auto" w:sz="8" w:space="0"/>
                  </w:tcBorders>
                  <w:vAlign w:val="center"/>
                </w:tcPr>
                <w:p>
                  <w:pPr>
                    <w:snapToGrid w:val="0"/>
                    <w:jc w:val="center"/>
                    <w:rPr>
                      <w:b/>
                      <w:szCs w:val="21"/>
                    </w:rPr>
                  </w:pPr>
                  <w:r>
                    <w:rPr>
                      <w:b/>
                      <w:szCs w:val="21"/>
                    </w:rPr>
                    <w:t>类别</w:t>
                  </w:r>
                </w:p>
              </w:tc>
              <w:tc>
                <w:tcPr>
                  <w:tcW w:w="1685" w:type="pct"/>
                  <w:tcBorders>
                    <w:top w:val="single" w:color="auto" w:sz="8" w:space="0"/>
                    <w:bottom w:val="single" w:color="auto" w:sz="8" w:space="0"/>
                  </w:tcBorders>
                  <w:vAlign w:val="center"/>
                </w:tcPr>
                <w:p>
                  <w:pPr>
                    <w:snapToGrid w:val="0"/>
                    <w:jc w:val="center"/>
                    <w:rPr>
                      <w:b/>
                      <w:szCs w:val="21"/>
                    </w:rPr>
                  </w:pPr>
                  <w:r>
                    <w:rPr>
                      <w:b/>
                      <w:szCs w:val="21"/>
                    </w:rPr>
                    <w:t>昼间</w:t>
                  </w:r>
                </w:p>
              </w:tc>
              <w:tc>
                <w:tcPr>
                  <w:tcW w:w="1462" w:type="pct"/>
                  <w:tcBorders>
                    <w:top w:val="single" w:color="auto" w:sz="8" w:space="0"/>
                    <w:bottom w:val="single" w:color="auto" w:sz="8" w:space="0"/>
                  </w:tcBorders>
                  <w:vAlign w:val="center"/>
                </w:tcPr>
                <w:p>
                  <w:pPr>
                    <w:snapToGrid w:val="0"/>
                    <w:jc w:val="center"/>
                    <w:rPr>
                      <w:b/>
                      <w:szCs w:val="21"/>
                    </w:rPr>
                  </w:pPr>
                  <w:r>
                    <w:rPr>
                      <w:b/>
                      <w:szCs w:val="21"/>
                    </w:rPr>
                    <w:t>夜间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1" w:type="pct"/>
                  <w:tcBorders>
                    <w:top w:val="single" w:color="auto" w:sz="8" w:space="0"/>
                    <w:bottom w:val="single" w:color="auto" w:sz="8" w:space="0"/>
                  </w:tcBorders>
                  <w:vAlign w:val="center"/>
                </w:tcPr>
                <w:p>
                  <w:pPr>
                    <w:snapToGrid w:val="0"/>
                    <w:jc w:val="center"/>
                    <w:rPr>
                      <w:szCs w:val="21"/>
                    </w:rPr>
                  </w:pPr>
                  <w:r>
                    <w:rPr>
                      <w:szCs w:val="21"/>
                    </w:rPr>
                    <w:t>2</w:t>
                  </w:r>
                  <w:r>
                    <w:rPr>
                      <w:rFonts w:hAnsi="宋体"/>
                      <w:szCs w:val="21"/>
                    </w:rPr>
                    <w:t>类</w:t>
                  </w:r>
                </w:p>
              </w:tc>
              <w:tc>
                <w:tcPr>
                  <w:tcW w:w="1685" w:type="pct"/>
                  <w:tcBorders>
                    <w:top w:val="single" w:color="auto" w:sz="8" w:space="0"/>
                    <w:bottom w:val="single" w:color="auto" w:sz="8" w:space="0"/>
                  </w:tcBorders>
                  <w:vAlign w:val="center"/>
                </w:tcPr>
                <w:p>
                  <w:pPr>
                    <w:snapToGrid w:val="0"/>
                    <w:jc w:val="center"/>
                    <w:rPr>
                      <w:szCs w:val="21"/>
                    </w:rPr>
                  </w:pPr>
                  <w:r>
                    <w:rPr>
                      <w:szCs w:val="21"/>
                    </w:rPr>
                    <w:t>60</w:t>
                  </w:r>
                </w:p>
              </w:tc>
              <w:tc>
                <w:tcPr>
                  <w:tcW w:w="1462" w:type="pct"/>
                  <w:tcBorders>
                    <w:top w:val="single" w:color="auto" w:sz="8" w:space="0"/>
                    <w:bottom w:val="single" w:color="auto" w:sz="8" w:space="0"/>
                  </w:tcBorders>
                  <w:vAlign w:val="center"/>
                </w:tcPr>
                <w:p>
                  <w:pPr>
                    <w:snapToGrid w:val="0"/>
                    <w:jc w:val="center"/>
                    <w:rPr>
                      <w:szCs w:val="21"/>
                    </w:rPr>
                  </w:pPr>
                  <w:r>
                    <w:rPr>
                      <w:szCs w:val="21"/>
                    </w:rPr>
                    <w:t>50</w:t>
                  </w:r>
                </w:p>
              </w:tc>
            </w:tr>
          </w:tbl>
          <w:p>
            <w:pPr>
              <w:spacing w:line="440" w:lineRule="exact"/>
              <w:ind w:firstLine="482" w:firstLineChars="200"/>
              <w:textAlignment w:val="baseline"/>
              <w:rPr>
                <w:b/>
                <w:sz w:val="24"/>
                <w:szCs w:val="20"/>
              </w:rPr>
            </w:pPr>
            <w:r>
              <w:rPr>
                <w:b/>
                <w:sz w:val="24"/>
              </w:rPr>
              <w:t>3</w:t>
            </w:r>
            <w:r>
              <w:rPr>
                <w:rFonts w:hAnsi="宋体"/>
                <w:b/>
                <w:sz w:val="24"/>
              </w:rPr>
              <w:t>、地表水环境</w:t>
            </w:r>
          </w:p>
          <w:p>
            <w:pPr>
              <w:spacing w:line="440" w:lineRule="exact"/>
              <w:ind w:firstLine="480" w:firstLineChars="200"/>
              <w:textAlignment w:val="baseline"/>
              <w:rPr>
                <w:sz w:val="24"/>
              </w:rPr>
            </w:pPr>
            <w:r>
              <w:rPr>
                <w:rFonts w:hAnsi="宋体"/>
                <w:sz w:val="24"/>
              </w:rPr>
              <w:t>本项目地表水执行《地表水环境质量标准》（</w:t>
            </w:r>
            <w:r>
              <w:rPr>
                <w:sz w:val="24"/>
              </w:rPr>
              <w:t>GB3838-2002</w:t>
            </w:r>
            <w:r>
              <w:rPr>
                <w:rFonts w:hAnsi="宋体"/>
                <w:sz w:val="24"/>
              </w:rPr>
              <w:t>）</w:t>
            </w:r>
            <w:r>
              <w:rPr>
                <w:sz w:val="24"/>
              </w:rPr>
              <w:fldChar w:fldCharType="begin"/>
            </w:r>
            <w:r>
              <w:rPr>
                <w:sz w:val="24"/>
              </w:rPr>
              <w:instrText xml:space="preserve"> = 4 \* ROMAN </w:instrText>
            </w:r>
            <w:r>
              <w:rPr>
                <w:sz w:val="24"/>
              </w:rPr>
              <w:fldChar w:fldCharType="separate"/>
            </w:r>
            <w:r>
              <w:rPr>
                <w:sz w:val="24"/>
              </w:rPr>
              <w:t>V</w:t>
            </w:r>
            <w:r>
              <w:rPr>
                <w:sz w:val="24"/>
              </w:rPr>
              <w:fldChar w:fldCharType="end"/>
            </w:r>
            <w:r>
              <w:rPr>
                <w:rFonts w:hAnsi="宋体"/>
                <w:sz w:val="24"/>
              </w:rPr>
              <w:t>类标准，相关标准限值见下表</w:t>
            </w:r>
            <w:bookmarkStart w:id="2" w:name="_Ref306978742"/>
            <w:r>
              <w:rPr>
                <w:rFonts w:hAnsi="宋体"/>
                <w:sz w:val="24"/>
              </w:rPr>
              <w:t>：</w:t>
            </w:r>
          </w:p>
          <w:p>
            <w:pPr>
              <w:pStyle w:val="9"/>
              <w:keepNext/>
              <w:spacing w:line="440" w:lineRule="exact"/>
              <w:ind w:firstLine="480" w:firstLineChars="200"/>
              <w:rPr>
                <w:rFonts w:ascii="Times New Roman" w:hAnsi="Times New Roman"/>
              </w:rPr>
            </w:pPr>
            <w:r>
              <w:rPr>
                <w:rFonts w:ascii="Times New Roman" w:hAnsi="Times New Roman"/>
                <w:sz w:val="24"/>
                <w:szCs w:val="24"/>
              </w:rPr>
              <w:t>表</w:t>
            </w:r>
            <w:bookmarkEnd w:id="2"/>
            <w:r>
              <w:rPr>
                <w:rFonts w:hint="eastAsia" w:ascii="Times New Roman" w:hAnsi="Times New Roman"/>
                <w:sz w:val="24"/>
                <w:szCs w:val="24"/>
              </w:rPr>
              <w:t>19</w:t>
            </w:r>
            <w:r>
              <w:rPr>
                <w:rFonts w:ascii="Times New Roman" w:hAnsi="Times New Roman"/>
                <w:sz w:val="24"/>
                <w:szCs w:val="24"/>
              </w:rPr>
              <w:t xml:space="preserve">                 地表水环境质量标准            单位：mg/L</w:t>
            </w:r>
          </w:p>
          <w:tbl>
            <w:tblPr>
              <w:tblStyle w:val="24"/>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701"/>
              <w:gridCol w:w="1881"/>
              <w:gridCol w:w="1783"/>
              <w:gridCol w:w="1785"/>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tcBorders>
                    <w:top w:val="single" w:color="auto" w:sz="8" w:space="0"/>
                    <w:bottom w:val="single" w:color="auto" w:sz="8" w:space="0"/>
                  </w:tcBorders>
                  <w:vAlign w:val="center"/>
                </w:tcPr>
                <w:p>
                  <w:pPr>
                    <w:snapToGrid w:val="0"/>
                    <w:jc w:val="center"/>
                    <w:rPr>
                      <w:b/>
                      <w:szCs w:val="21"/>
                    </w:rPr>
                  </w:pPr>
                  <w:r>
                    <w:rPr>
                      <w:b/>
                      <w:szCs w:val="21"/>
                    </w:rPr>
                    <w:t>项目</w:t>
                  </w:r>
                </w:p>
              </w:tc>
              <w:tc>
                <w:tcPr>
                  <w:tcW w:w="992" w:type="pct"/>
                  <w:tcBorders>
                    <w:top w:val="single" w:color="auto" w:sz="8" w:space="0"/>
                    <w:bottom w:val="single" w:color="auto" w:sz="8" w:space="0"/>
                  </w:tcBorders>
                  <w:vAlign w:val="center"/>
                </w:tcPr>
                <w:p>
                  <w:pPr>
                    <w:snapToGrid w:val="0"/>
                    <w:jc w:val="center"/>
                    <w:rPr>
                      <w:b/>
                      <w:szCs w:val="21"/>
                    </w:rPr>
                  </w:pPr>
                  <w:r>
                    <w:rPr>
                      <w:b/>
                      <w:szCs w:val="21"/>
                    </w:rPr>
                    <w:t>pH</w:t>
                  </w:r>
                </w:p>
              </w:tc>
              <w:tc>
                <w:tcPr>
                  <w:tcW w:w="1097" w:type="pct"/>
                  <w:tcBorders>
                    <w:top w:val="single" w:color="auto" w:sz="8" w:space="0"/>
                    <w:bottom w:val="single" w:color="auto" w:sz="8" w:space="0"/>
                  </w:tcBorders>
                  <w:vAlign w:val="center"/>
                </w:tcPr>
                <w:p>
                  <w:pPr>
                    <w:snapToGrid w:val="0"/>
                    <w:jc w:val="center"/>
                    <w:rPr>
                      <w:b/>
                      <w:szCs w:val="21"/>
                    </w:rPr>
                  </w:pPr>
                  <w:r>
                    <w:rPr>
                      <w:b/>
                      <w:szCs w:val="21"/>
                    </w:rPr>
                    <w:t>COD</w:t>
                  </w:r>
                </w:p>
              </w:tc>
              <w:tc>
                <w:tcPr>
                  <w:tcW w:w="1040" w:type="pct"/>
                  <w:tcBorders>
                    <w:top w:val="single" w:color="auto" w:sz="8" w:space="0"/>
                    <w:bottom w:val="single" w:color="auto" w:sz="8" w:space="0"/>
                  </w:tcBorders>
                  <w:vAlign w:val="center"/>
                </w:tcPr>
                <w:p>
                  <w:pPr>
                    <w:snapToGrid w:val="0"/>
                    <w:jc w:val="center"/>
                    <w:rPr>
                      <w:b/>
                      <w:szCs w:val="21"/>
                    </w:rPr>
                  </w:pPr>
                  <w:r>
                    <w:rPr>
                      <w:b/>
                      <w:szCs w:val="21"/>
                    </w:rPr>
                    <w:t>NH</w:t>
                  </w:r>
                  <w:r>
                    <w:rPr>
                      <w:b/>
                      <w:szCs w:val="21"/>
                      <w:vertAlign w:val="subscript"/>
                    </w:rPr>
                    <w:t>3</w:t>
                  </w:r>
                  <w:r>
                    <w:rPr>
                      <w:b/>
                      <w:szCs w:val="21"/>
                    </w:rPr>
                    <w:t>-N</w:t>
                  </w:r>
                </w:p>
              </w:tc>
              <w:tc>
                <w:tcPr>
                  <w:tcW w:w="1041" w:type="pct"/>
                  <w:tcBorders>
                    <w:top w:val="single" w:color="auto" w:sz="8" w:space="0"/>
                    <w:bottom w:val="single" w:color="auto" w:sz="8" w:space="0"/>
                  </w:tcBorders>
                  <w:vAlign w:val="center"/>
                </w:tcPr>
                <w:p>
                  <w:pPr>
                    <w:snapToGrid w:val="0"/>
                    <w:jc w:val="center"/>
                    <w:rPr>
                      <w:b/>
                      <w:szCs w:val="21"/>
                    </w:rPr>
                  </w:pPr>
                  <w:r>
                    <w:rPr>
                      <w:b/>
                      <w:szCs w:val="21"/>
                    </w:rPr>
                    <w:t>TP</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tcBorders>
                    <w:top w:val="single" w:color="auto" w:sz="8" w:space="0"/>
                  </w:tcBorders>
                  <w:vAlign w:val="center"/>
                </w:tcPr>
                <w:p>
                  <w:pPr>
                    <w:snapToGrid w:val="0"/>
                    <w:jc w:val="center"/>
                    <w:rPr>
                      <w:szCs w:val="21"/>
                    </w:rPr>
                  </w:pPr>
                  <w:r>
                    <w:rPr>
                      <w:szCs w:val="21"/>
                    </w:rPr>
                    <w:t>标准值</w:t>
                  </w:r>
                </w:p>
              </w:tc>
              <w:tc>
                <w:tcPr>
                  <w:tcW w:w="992" w:type="pct"/>
                  <w:tcBorders>
                    <w:top w:val="single" w:color="auto" w:sz="8" w:space="0"/>
                  </w:tcBorders>
                  <w:vAlign w:val="center"/>
                </w:tcPr>
                <w:p>
                  <w:pPr>
                    <w:snapToGrid w:val="0"/>
                    <w:jc w:val="center"/>
                    <w:rPr>
                      <w:szCs w:val="21"/>
                    </w:rPr>
                  </w:pPr>
                  <w:r>
                    <w:rPr>
                      <w:szCs w:val="21"/>
                    </w:rPr>
                    <w:t>6-9</w:t>
                  </w:r>
                </w:p>
              </w:tc>
              <w:tc>
                <w:tcPr>
                  <w:tcW w:w="1097" w:type="pct"/>
                  <w:tcBorders>
                    <w:top w:val="single" w:color="auto" w:sz="8" w:space="0"/>
                  </w:tcBorders>
                  <w:vAlign w:val="center"/>
                </w:tcPr>
                <w:p>
                  <w:pPr>
                    <w:snapToGrid w:val="0"/>
                    <w:jc w:val="center"/>
                    <w:rPr>
                      <w:szCs w:val="21"/>
                    </w:rPr>
                  </w:pPr>
                  <w:r>
                    <w:rPr>
                      <w:szCs w:val="21"/>
                    </w:rPr>
                    <w:t>40</w:t>
                  </w:r>
                </w:p>
              </w:tc>
              <w:tc>
                <w:tcPr>
                  <w:tcW w:w="1040" w:type="pct"/>
                  <w:tcBorders>
                    <w:top w:val="single" w:color="auto" w:sz="8" w:space="0"/>
                  </w:tcBorders>
                  <w:vAlign w:val="center"/>
                </w:tcPr>
                <w:p>
                  <w:pPr>
                    <w:snapToGrid w:val="0"/>
                    <w:jc w:val="center"/>
                    <w:rPr>
                      <w:szCs w:val="21"/>
                    </w:rPr>
                  </w:pPr>
                  <w:r>
                    <w:rPr>
                      <w:szCs w:val="21"/>
                    </w:rPr>
                    <w:t>2.0</w:t>
                  </w:r>
                </w:p>
              </w:tc>
              <w:tc>
                <w:tcPr>
                  <w:tcW w:w="1041" w:type="pct"/>
                  <w:tcBorders>
                    <w:top w:val="single" w:color="auto" w:sz="8" w:space="0"/>
                  </w:tcBorders>
                  <w:vAlign w:val="center"/>
                </w:tcPr>
                <w:p>
                  <w:pPr>
                    <w:snapToGrid w:val="0"/>
                    <w:jc w:val="center"/>
                    <w:rPr>
                      <w:szCs w:val="21"/>
                    </w:rPr>
                  </w:pPr>
                  <w:r>
                    <w:rPr>
                      <w:szCs w:val="21"/>
                    </w:rPr>
                    <w:t>0.4</w:t>
                  </w:r>
                </w:p>
              </w:tc>
            </w:tr>
          </w:tbl>
          <w:p>
            <w:pPr>
              <w:spacing w:line="440" w:lineRule="exact"/>
              <w:ind w:firstLine="482" w:firstLineChars="200"/>
              <w:textAlignment w:val="baseline"/>
              <w:rPr>
                <w:b/>
                <w:sz w:val="24"/>
                <w:szCs w:val="20"/>
              </w:rPr>
            </w:pPr>
            <w:r>
              <w:rPr>
                <w:b/>
                <w:sz w:val="24"/>
              </w:rPr>
              <w:t>4</w:t>
            </w:r>
            <w:r>
              <w:rPr>
                <w:rFonts w:hAnsi="宋体"/>
                <w:b/>
                <w:sz w:val="24"/>
              </w:rPr>
              <w:t>、地下水环境</w:t>
            </w:r>
          </w:p>
          <w:p>
            <w:pPr>
              <w:spacing w:line="440" w:lineRule="exact"/>
              <w:ind w:firstLine="480" w:firstLineChars="200"/>
              <w:textAlignment w:val="baseline"/>
              <w:rPr>
                <w:sz w:val="24"/>
              </w:rPr>
            </w:pPr>
            <w:r>
              <w:rPr>
                <w:rFonts w:hAnsi="宋体"/>
                <w:sz w:val="24"/>
              </w:rPr>
              <w:t>地下水执行《地下水质量标准》（</w:t>
            </w:r>
            <w:r>
              <w:rPr>
                <w:sz w:val="24"/>
              </w:rPr>
              <w:t>GB/T14848-2017</w:t>
            </w:r>
            <w:r>
              <w:rPr>
                <w:rFonts w:hAnsi="宋体"/>
                <w:sz w:val="24"/>
              </w:rPr>
              <w:t>）</w:t>
            </w:r>
            <w:r>
              <w:rPr>
                <w:sz w:val="24"/>
              </w:rPr>
              <w:t>Ⅲ</w:t>
            </w:r>
            <w:r>
              <w:rPr>
                <w:rFonts w:hAnsi="宋体"/>
                <w:sz w:val="24"/>
              </w:rPr>
              <w:t>类标准，相关标准限值见下表：</w:t>
            </w:r>
          </w:p>
          <w:p>
            <w:pPr>
              <w:adjustRightInd w:val="0"/>
              <w:snapToGrid w:val="0"/>
              <w:spacing w:line="440" w:lineRule="exact"/>
              <w:ind w:firstLine="464" w:firstLineChars="200"/>
              <w:rPr>
                <w:rFonts w:eastAsia="黑体"/>
                <w:color w:val="000000"/>
                <w:spacing w:val="-4"/>
                <w:sz w:val="24"/>
              </w:rPr>
            </w:pPr>
            <w:r>
              <w:rPr>
                <w:rFonts w:eastAsia="黑体"/>
                <w:color w:val="000000"/>
                <w:spacing w:val="-4"/>
                <w:sz w:val="24"/>
              </w:rPr>
              <w:t>表</w:t>
            </w:r>
            <w:r>
              <w:rPr>
                <w:rFonts w:hint="eastAsia" w:eastAsia="黑体"/>
                <w:color w:val="000000"/>
                <w:spacing w:val="-4"/>
                <w:sz w:val="24"/>
              </w:rPr>
              <w:t>20</w:t>
            </w:r>
            <w:r>
              <w:rPr>
                <w:rFonts w:eastAsia="黑体"/>
                <w:color w:val="000000"/>
                <w:spacing w:val="-4"/>
                <w:sz w:val="24"/>
              </w:rPr>
              <w:t xml:space="preserve">          </w:t>
            </w:r>
            <w:r>
              <w:rPr>
                <w:rFonts w:hint="eastAsia" w:eastAsia="黑体"/>
                <w:color w:val="000000"/>
                <w:spacing w:val="-4"/>
                <w:sz w:val="24"/>
              </w:rPr>
              <w:t xml:space="preserve"> 　</w:t>
            </w:r>
            <w:r>
              <w:rPr>
                <w:rFonts w:eastAsia="黑体"/>
                <w:color w:val="000000"/>
                <w:spacing w:val="-4"/>
                <w:sz w:val="24"/>
              </w:rPr>
              <w:t xml:space="preserve">  地下水环境质量标准              </w:t>
            </w:r>
            <w:r>
              <w:rPr>
                <w:rFonts w:hint="eastAsia" w:eastAsia="黑体"/>
                <w:color w:val="000000"/>
                <w:spacing w:val="-4"/>
                <w:sz w:val="24"/>
              </w:rPr>
              <w:t>　</w:t>
            </w:r>
            <w:r>
              <w:rPr>
                <w:rFonts w:eastAsia="黑体"/>
                <w:color w:val="000000"/>
                <w:spacing w:val="-4"/>
                <w:sz w:val="24"/>
              </w:rPr>
              <w:t xml:space="preserve">    单位：mg/L</w:t>
            </w:r>
          </w:p>
          <w:tbl>
            <w:tblPr>
              <w:tblStyle w:val="24"/>
              <w:tblW w:w="4998" w:type="pct"/>
              <w:jc w:val="center"/>
              <w:tblLayout w:type="autofit"/>
              <w:tblCellMar>
                <w:top w:w="0" w:type="dxa"/>
                <w:left w:w="108" w:type="dxa"/>
                <w:bottom w:w="0" w:type="dxa"/>
                <w:right w:w="108" w:type="dxa"/>
              </w:tblCellMar>
            </w:tblPr>
            <w:tblGrid>
              <w:gridCol w:w="2852"/>
              <w:gridCol w:w="2856"/>
              <w:gridCol w:w="2859"/>
            </w:tblGrid>
            <w:tr>
              <w:tblPrEx>
                <w:tblCellMar>
                  <w:top w:w="0" w:type="dxa"/>
                  <w:left w:w="108" w:type="dxa"/>
                  <w:bottom w:w="0" w:type="dxa"/>
                  <w:right w:w="108" w:type="dxa"/>
                </w:tblCellMar>
              </w:tblPrEx>
              <w:trPr>
                <w:trHeight w:val="397" w:hRule="atLeast"/>
                <w:jc w:val="center"/>
              </w:trPr>
              <w:tc>
                <w:tcPr>
                  <w:tcW w:w="1664" w:type="pct"/>
                  <w:tcBorders>
                    <w:top w:val="single" w:color="auto" w:sz="8" w:space="0"/>
                    <w:bottom w:val="single" w:color="auto" w:sz="8" w:space="0"/>
                    <w:right w:val="single" w:color="auto" w:sz="4" w:space="0"/>
                  </w:tcBorders>
                  <w:vAlign w:val="center"/>
                </w:tcPr>
                <w:p>
                  <w:pPr>
                    <w:snapToGrid w:val="0"/>
                    <w:jc w:val="center"/>
                    <w:rPr>
                      <w:b/>
                      <w:color w:val="000000"/>
                      <w:szCs w:val="21"/>
                    </w:rPr>
                  </w:pPr>
                  <w:r>
                    <w:rPr>
                      <w:b/>
                      <w:color w:val="000000"/>
                      <w:szCs w:val="21"/>
                    </w:rPr>
                    <w:t>项目</w:t>
                  </w:r>
                </w:p>
              </w:tc>
              <w:tc>
                <w:tcPr>
                  <w:tcW w:w="1666" w:type="pct"/>
                  <w:tcBorders>
                    <w:top w:val="single" w:color="auto" w:sz="8" w:space="0"/>
                    <w:left w:val="single" w:color="auto" w:sz="4" w:space="0"/>
                    <w:bottom w:val="single" w:color="auto" w:sz="8" w:space="0"/>
                    <w:right w:val="single" w:color="auto" w:sz="4" w:space="0"/>
                  </w:tcBorders>
                  <w:vAlign w:val="center"/>
                </w:tcPr>
                <w:p>
                  <w:pPr>
                    <w:snapToGrid w:val="0"/>
                    <w:jc w:val="center"/>
                    <w:rPr>
                      <w:b/>
                      <w:color w:val="000000"/>
                      <w:szCs w:val="21"/>
                    </w:rPr>
                  </w:pPr>
                  <w:r>
                    <w:rPr>
                      <w:b/>
                      <w:color w:val="000000"/>
                      <w:szCs w:val="21"/>
                    </w:rPr>
                    <w:t>浓度限值</w:t>
                  </w:r>
                </w:p>
              </w:tc>
              <w:tc>
                <w:tcPr>
                  <w:tcW w:w="1668" w:type="pct"/>
                  <w:tcBorders>
                    <w:top w:val="single" w:color="auto" w:sz="8" w:space="0"/>
                    <w:left w:val="single" w:color="auto" w:sz="4" w:space="0"/>
                    <w:bottom w:val="single" w:color="auto" w:sz="8" w:space="0"/>
                  </w:tcBorders>
                  <w:vAlign w:val="center"/>
                </w:tcPr>
                <w:p>
                  <w:pPr>
                    <w:snapToGrid w:val="0"/>
                    <w:jc w:val="center"/>
                    <w:rPr>
                      <w:b/>
                      <w:color w:val="000000"/>
                      <w:szCs w:val="21"/>
                    </w:rPr>
                  </w:pPr>
                  <w:r>
                    <w:rPr>
                      <w:b/>
                      <w:color w:val="000000"/>
                      <w:szCs w:val="21"/>
                    </w:rPr>
                    <w:t>标准来源</w:t>
                  </w:r>
                </w:p>
              </w:tc>
            </w:tr>
            <w:tr>
              <w:tblPrEx>
                <w:tblCellMar>
                  <w:top w:w="0" w:type="dxa"/>
                  <w:left w:w="108" w:type="dxa"/>
                  <w:bottom w:w="0" w:type="dxa"/>
                  <w:right w:w="108" w:type="dxa"/>
                </w:tblCellMar>
              </w:tblPrEx>
              <w:trPr>
                <w:trHeight w:val="397" w:hRule="atLeast"/>
                <w:jc w:val="center"/>
              </w:trPr>
              <w:tc>
                <w:tcPr>
                  <w:tcW w:w="1664" w:type="pct"/>
                  <w:tcBorders>
                    <w:top w:val="single" w:color="auto" w:sz="8" w:space="0"/>
                    <w:bottom w:val="single" w:color="auto" w:sz="4" w:space="0"/>
                    <w:right w:val="single" w:color="auto" w:sz="4" w:space="0"/>
                  </w:tcBorders>
                  <w:vAlign w:val="center"/>
                </w:tcPr>
                <w:p>
                  <w:pPr>
                    <w:snapToGrid w:val="0"/>
                    <w:jc w:val="center"/>
                    <w:rPr>
                      <w:color w:val="000000"/>
                      <w:szCs w:val="21"/>
                    </w:rPr>
                  </w:pPr>
                  <w:r>
                    <w:rPr>
                      <w:color w:val="000000"/>
                      <w:szCs w:val="21"/>
                    </w:rPr>
                    <w:t>pH</w:t>
                  </w:r>
                  <w:r>
                    <w:rPr>
                      <w:rFonts w:hAnsi="宋体"/>
                      <w:color w:val="000000"/>
                      <w:szCs w:val="21"/>
                    </w:rPr>
                    <w:t>（无量纲）</w:t>
                  </w:r>
                </w:p>
              </w:tc>
              <w:tc>
                <w:tcPr>
                  <w:tcW w:w="1666" w:type="pct"/>
                  <w:tcBorders>
                    <w:top w:val="single" w:color="auto" w:sz="8" w:space="0"/>
                    <w:left w:val="single" w:color="auto" w:sz="4" w:space="0"/>
                    <w:bottom w:val="single" w:color="auto" w:sz="4" w:space="0"/>
                    <w:right w:val="single" w:color="auto" w:sz="4" w:space="0"/>
                  </w:tcBorders>
                  <w:vAlign w:val="center"/>
                </w:tcPr>
                <w:p>
                  <w:pPr>
                    <w:snapToGrid w:val="0"/>
                    <w:jc w:val="center"/>
                    <w:rPr>
                      <w:color w:val="000000"/>
                      <w:szCs w:val="21"/>
                    </w:rPr>
                  </w:pPr>
                  <w:r>
                    <w:rPr>
                      <w:color w:val="000000"/>
                      <w:szCs w:val="21"/>
                    </w:rPr>
                    <w:t>6.5</w:t>
                  </w:r>
                  <w:r>
                    <w:rPr>
                      <w:rFonts w:hAnsi="宋体"/>
                      <w:color w:val="000000"/>
                      <w:szCs w:val="21"/>
                    </w:rPr>
                    <w:t>～</w:t>
                  </w:r>
                  <w:r>
                    <w:rPr>
                      <w:color w:val="000000"/>
                      <w:szCs w:val="21"/>
                    </w:rPr>
                    <w:t>8.5</w:t>
                  </w:r>
                </w:p>
              </w:tc>
              <w:tc>
                <w:tcPr>
                  <w:tcW w:w="1668" w:type="pct"/>
                  <w:vMerge w:val="restart"/>
                  <w:tcBorders>
                    <w:top w:val="single" w:color="auto" w:sz="8" w:space="0"/>
                    <w:left w:val="single" w:color="auto" w:sz="4" w:space="0"/>
                    <w:bottom w:val="single" w:color="auto" w:sz="8" w:space="0"/>
                  </w:tcBorders>
                  <w:vAlign w:val="center"/>
                </w:tcPr>
                <w:p>
                  <w:pPr>
                    <w:snapToGrid w:val="0"/>
                    <w:jc w:val="center"/>
                    <w:rPr>
                      <w:color w:val="000000"/>
                      <w:szCs w:val="21"/>
                    </w:rPr>
                  </w:pPr>
                  <w:r>
                    <w:rPr>
                      <w:rFonts w:hAnsi="宋体"/>
                      <w:color w:val="000000"/>
                      <w:szCs w:val="21"/>
                    </w:rPr>
                    <w:t>《地下水质量标准》（</w:t>
                  </w:r>
                  <w:r>
                    <w:rPr>
                      <w:color w:val="000000"/>
                      <w:szCs w:val="21"/>
                    </w:rPr>
                    <w:t>GB/T14848-2017</w:t>
                  </w:r>
                  <w:r>
                    <w:rPr>
                      <w:rFonts w:hAnsi="宋体"/>
                      <w:color w:val="000000"/>
                      <w:szCs w:val="21"/>
                    </w:rPr>
                    <w:t>）</w:t>
                  </w:r>
                  <w:r>
                    <w:rPr>
                      <w:color w:val="000000"/>
                      <w:szCs w:val="21"/>
                    </w:rPr>
                    <w:t>Ⅲ</w:t>
                  </w:r>
                  <w:r>
                    <w:rPr>
                      <w:rFonts w:hAnsi="宋体"/>
                      <w:color w:val="000000"/>
                      <w:szCs w:val="21"/>
                    </w:rPr>
                    <w:t>类标准</w:t>
                  </w:r>
                </w:p>
              </w:tc>
            </w:tr>
            <w:tr>
              <w:tblPrEx>
                <w:tblCellMar>
                  <w:top w:w="0" w:type="dxa"/>
                  <w:left w:w="108" w:type="dxa"/>
                  <w:bottom w:w="0" w:type="dxa"/>
                  <w:right w:w="108" w:type="dxa"/>
                </w:tblCellMar>
              </w:tblPrEx>
              <w:trPr>
                <w:trHeight w:val="397" w:hRule="atLeast"/>
                <w:jc w:val="center"/>
              </w:trPr>
              <w:tc>
                <w:tcPr>
                  <w:tcW w:w="1664" w:type="pct"/>
                  <w:tcBorders>
                    <w:top w:val="single" w:color="auto" w:sz="4" w:space="0"/>
                    <w:bottom w:val="single" w:color="auto" w:sz="4" w:space="0"/>
                    <w:right w:val="single" w:color="auto" w:sz="4" w:space="0"/>
                  </w:tcBorders>
                  <w:vAlign w:val="center"/>
                </w:tcPr>
                <w:p>
                  <w:pPr>
                    <w:snapToGrid w:val="0"/>
                    <w:jc w:val="center"/>
                    <w:rPr>
                      <w:color w:val="000000"/>
                      <w:szCs w:val="21"/>
                    </w:rPr>
                  </w:pPr>
                  <w:r>
                    <w:rPr>
                      <w:rFonts w:hAnsi="宋体"/>
                      <w:color w:val="000000"/>
                      <w:szCs w:val="21"/>
                    </w:rPr>
                    <w:t>耗氧量</w:t>
                  </w:r>
                </w:p>
              </w:tc>
              <w:tc>
                <w:tcPr>
                  <w:tcW w:w="1666" w:type="pct"/>
                  <w:tcBorders>
                    <w:top w:val="single" w:color="auto" w:sz="4" w:space="0"/>
                    <w:left w:val="single" w:color="auto" w:sz="4" w:space="0"/>
                    <w:bottom w:val="single" w:color="auto" w:sz="4" w:space="0"/>
                    <w:right w:val="single" w:color="auto" w:sz="4" w:space="0"/>
                  </w:tcBorders>
                  <w:vAlign w:val="center"/>
                </w:tcPr>
                <w:p>
                  <w:pPr>
                    <w:snapToGrid w:val="0"/>
                    <w:jc w:val="center"/>
                    <w:rPr>
                      <w:color w:val="000000"/>
                      <w:szCs w:val="21"/>
                    </w:rPr>
                  </w:pPr>
                  <w:r>
                    <w:rPr>
                      <w:color w:val="000000"/>
                      <w:szCs w:val="21"/>
                    </w:rPr>
                    <w:t>3.0</w:t>
                  </w:r>
                </w:p>
              </w:tc>
              <w:tc>
                <w:tcPr>
                  <w:tcW w:w="1668" w:type="pct"/>
                  <w:vMerge w:val="continue"/>
                  <w:tcBorders>
                    <w:top w:val="single" w:color="auto" w:sz="8" w:space="0"/>
                    <w:left w:val="single" w:color="auto" w:sz="4" w:space="0"/>
                    <w:bottom w:val="single" w:color="auto" w:sz="8" w:space="0"/>
                  </w:tcBorders>
                  <w:vAlign w:val="center"/>
                </w:tcPr>
                <w:p>
                  <w:pPr>
                    <w:widowControl/>
                    <w:snapToGrid w:val="0"/>
                    <w:jc w:val="left"/>
                    <w:rPr>
                      <w:color w:val="000000"/>
                      <w:szCs w:val="21"/>
                    </w:rPr>
                  </w:pPr>
                </w:p>
              </w:tc>
            </w:tr>
            <w:tr>
              <w:tblPrEx>
                <w:tblCellMar>
                  <w:top w:w="0" w:type="dxa"/>
                  <w:left w:w="108" w:type="dxa"/>
                  <w:bottom w:w="0" w:type="dxa"/>
                  <w:right w:w="108" w:type="dxa"/>
                </w:tblCellMar>
              </w:tblPrEx>
              <w:trPr>
                <w:trHeight w:val="397" w:hRule="atLeast"/>
                <w:jc w:val="center"/>
              </w:trPr>
              <w:tc>
                <w:tcPr>
                  <w:tcW w:w="1664" w:type="pct"/>
                  <w:tcBorders>
                    <w:top w:val="single" w:color="auto" w:sz="4" w:space="0"/>
                    <w:bottom w:val="single" w:color="auto" w:sz="4" w:space="0"/>
                    <w:right w:val="single" w:color="auto" w:sz="4" w:space="0"/>
                  </w:tcBorders>
                  <w:vAlign w:val="center"/>
                </w:tcPr>
                <w:p>
                  <w:pPr>
                    <w:snapToGrid w:val="0"/>
                    <w:jc w:val="center"/>
                    <w:rPr>
                      <w:color w:val="000000"/>
                      <w:szCs w:val="21"/>
                    </w:rPr>
                  </w:pPr>
                  <w:r>
                    <w:rPr>
                      <w:color w:val="000000"/>
                      <w:szCs w:val="21"/>
                    </w:rPr>
                    <w:t>NH</w:t>
                  </w:r>
                  <w:r>
                    <w:rPr>
                      <w:color w:val="000000"/>
                      <w:szCs w:val="21"/>
                      <w:vertAlign w:val="subscript"/>
                    </w:rPr>
                    <w:t>3</w:t>
                  </w:r>
                  <w:r>
                    <w:rPr>
                      <w:color w:val="000000"/>
                      <w:szCs w:val="21"/>
                    </w:rPr>
                    <w:t>-N</w:t>
                  </w:r>
                </w:p>
              </w:tc>
              <w:tc>
                <w:tcPr>
                  <w:tcW w:w="1666" w:type="pct"/>
                  <w:tcBorders>
                    <w:top w:val="single" w:color="auto" w:sz="4" w:space="0"/>
                    <w:left w:val="single" w:color="auto" w:sz="4" w:space="0"/>
                    <w:bottom w:val="single" w:color="auto" w:sz="4" w:space="0"/>
                    <w:right w:val="single" w:color="auto" w:sz="4" w:space="0"/>
                  </w:tcBorders>
                  <w:vAlign w:val="center"/>
                </w:tcPr>
                <w:p>
                  <w:pPr>
                    <w:snapToGrid w:val="0"/>
                    <w:jc w:val="center"/>
                    <w:rPr>
                      <w:color w:val="000000"/>
                      <w:szCs w:val="21"/>
                    </w:rPr>
                  </w:pPr>
                  <w:r>
                    <w:rPr>
                      <w:color w:val="000000"/>
                      <w:szCs w:val="21"/>
                    </w:rPr>
                    <w:t>0.5</w:t>
                  </w:r>
                </w:p>
              </w:tc>
              <w:tc>
                <w:tcPr>
                  <w:tcW w:w="1668" w:type="pct"/>
                  <w:vMerge w:val="continue"/>
                  <w:tcBorders>
                    <w:top w:val="single" w:color="auto" w:sz="8" w:space="0"/>
                    <w:left w:val="single" w:color="auto" w:sz="4" w:space="0"/>
                    <w:bottom w:val="single" w:color="auto" w:sz="8" w:space="0"/>
                  </w:tcBorders>
                  <w:vAlign w:val="center"/>
                </w:tcPr>
                <w:p>
                  <w:pPr>
                    <w:widowControl/>
                    <w:snapToGrid w:val="0"/>
                    <w:jc w:val="left"/>
                    <w:rPr>
                      <w:color w:val="000000"/>
                      <w:szCs w:val="21"/>
                    </w:rPr>
                  </w:pPr>
                </w:p>
              </w:tc>
            </w:tr>
            <w:tr>
              <w:tblPrEx>
                <w:tblCellMar>
                  <w:top w:w="0" w:type="dxa"/>
                  <w:left w:w="108" w:type="dxa"/>
                  <w:bottom w:w="0" w:type="dxa"/>
                  <w:right w:w="108" w:type="dxa"/>
                </w:tblCellMar>
              </w:tblPrEx>
              <w:trPr>
                <w:trHeight w:val="397" w:hRule="atLeast"/>
                <w:jc w:val="center"/>
              </w:trPr>
              <w:tc>
                <w:tcPr>
                  <w:tcW w:w="1664" w:type="pct"/>
                  <w:tcBorders>
                    <w:top w:val="single" w:color="auto" w:sz="4" w:space="0"/>
                    <w:bottom w:val="single" w:color="auto" w:sz="8" w:space="0"/>
                    <w:right w:val="single" w:color="auto" w:sz="4" w:space="0"/>
                  </w:tcBorders>
                  <w:vAlign w:val="center"/>
                </w:tcPr>
                <w:p>
                  <w:pPr>
                    <w:snapToGrid w:val="0"/>
                    <w:jc w:val="center"/>
                    <w:rPr>
                      <w:color w:val="000000"/>
                      <w:szCs w:val="21"/>
                    </w:rPr>
                  </w:pPr>
                  <w:r>
                    <w:rPr>
                      <w:rFonts w:hAnsi="宋体"/>
                      <w:color w:val="000000"/>
                      <w:szCs w:val="21"/>
                    </w:rPr>
                    <w:t>总大肠菌群</w:t>
                  </w:r>
                </w:p>
              </w:tc>
              <w:tc>
                <w:tcPr>
                  <w:tcW w:w="1666" w:type="pct"/>
                  <w:tcBorders>
                    <w:top w:val="single" w:color="auto" w:sz="4" w:space="0"/>
                    <w:left w:val="single" w:color="auto" w:sz="4" w:space="0"/>
                    <w:bottom w:val="single" w:color="auto" w:sz="8" w:space="0"/>
                    <w:right w:val="single" w:color="auto" w:sz="4" w:space="0"/>
                  </w:tcBorders>
                  <w:vAlign w:val="center"/>
                </w:tcPr>
                <w:p>
                  <w:pPr>
                    <w:snapToGrid w:val="0"/>
                    <w:jc w:val="center"/>
                    <w:rPr>
                      <w:color w:val="000000"/>
                      <w:szCs w:val="21"/>
                    </w:rPr>
                  </w:pPr>
                  <w:r>
                    <w:rPr>
                      <w:color w:val="000000"/>
                      <w:szCs w:val="21"/>
                    </w:rPr>
                    <w:t>3.0/(CFU</w:t>
                  </w:r>
                  <w:r>
                    <w:rPr>
                      <w:color w:val="000000"/>
                      <w:szCs w:val="21"/>
                      <w:vertAlign w:val="superscript"/>
                    </w:rPr>
                    <w:t>c</w:t>
                  </w:r>
                  <w:r>
                    <w:rPr>
                      <w:color w:val="000000"/>
                      <w:szCs w:val="21"/>
                    </w:rPr>
                    <w:t>/100mL)</w:t>
                  </w:r>
                </w:p>
              </w:tc>
              <w:tc>
                <w:tcPr>
                  <w:tcW w:w="1668" w:type="pct"/>
                  <w:vMerge w:val="continue"/>
                  <w:tcBorders>
                    <w:top w:val="single" w:color="auto" w:sz="4" w:space="0"/>
                    <w:left w:val="single" w:color="auto" w:sz="4" w:space="0"/>
                    <w:bottom w:val="single" w:color="auto" w:sz="8" w:space="0"/>
                  </w:tcBorders>
                  <w:vAlign w:val="center"/>
                </w:tcPr>
                <w:p>
                  <w:pPr>
                    <w:widowControl/>
                    <w:snapToGrid w:val="0"/>
                    <w:jc w:val="left"/>
                    <w:rPr>
                      <w:color w:val="000000"/>
                      <w:szCs w:val="21"/>
                    </w:rPr>
                  </w:pPr>
                </w:p>
              </w:tc>
            </w:tr>
          </w:tbl>
          <w:p>
            <w:pPr>
              <w:tabs>
                <w:tab w:val="left" w:pos="792"/>
              </w:tabs>
              <w:spacing w:line="440" w:lineRule="exact"/>
              <w:ind w:firstLine="482" w:firstLineChars="200"/>
              <w:rPr>
                <w:b/>
                <w:sz w:val="24"/>
                <w:szCs w:val="20"/>
              </w:rPr>
            </w:pPr>
            <w:r>
              <w:rPr>
                <w:b/>
                <w:sz w:val="24"/>
                <w:szCs w:val="20"/>
              </w:rPr>
              <w:t>5</w:t>
            </w:r>
            <w:r>
              <w:rPr>
                <w:rFonts w:hAnsi="宋体"/>
                <w:b/>
                <w:sz w:val="24"/>
                <w:szCs w:val="20"/>
              </w:rPr>
              <w:t>、土壤环境</w:t>
            </w:r>
          </w:p>
          <w:p>
            <w:pPr>
              <w:tabs>
                <w:tab w:val="left" w:pos="792"/>
              </w:tabs>
              <w:spacing w:line="440" w:lineRule="exact"/>
              <w:ind w:firstLine="480" w:firstLineChars="200"/>
              <w:rPr>
                <w:sz w:val="24"/>
                <w:szCs w:val="20"/>
              </w:rPr>
            </w:pPr>
            <w:r>
              <w:rPr>
                <w:rFonts w:hAnsi="宋体"/>
                <w:sz w:val="24"/>
                <w:szCs w:val="20"/>
              </w:rPr>
              <w:t>本项目所在区域为建设用地，执行《土壤环境质量</w:t>
            </w:r>
            <w:r>
              <w:rPr>
                <w:sz w:val="24"/>
                <w:szCs w:val="20"/>
              </w:rPr>
              <w:t xml:space="preserve">  </w:t>
            </w:r>
            <w:r>
              <w:rPr>
                <w:rFonts w:hAnsi="宋体"/>
                <w:sz w:val="24"/>
                <w:szCs w:val="20"/>
              </w:rPr>
              <w:t>建设用地土壤污染风险管控标准（试行）》（</w:t>
            </w:r>
            <w:r>
              <w:rPr>
                <w:sz w:val="24"/>
                <w:szCs w:val="20"/>
              </w:rPr>
              <w:t>GB36600-2018</w:t>
            </w:r>
            <w:r>
              <w:rPr>
                <w:rFonts w:hAnsi="宋体"/>
                <w:sz w:val="24"/>
                <w:szCs w:val="20"/>
              </w:rPr>
              <w:t>）筛选值第二类用地标准，其标准限值见下表：</w:t>
            </w:r>
          </w:p>
          <w:p>
            <w:pPr>
              <w:adjustRightInd w:val="0"/>
              <w:snapToGrid w:val="0"/>
              <w:spacing w:line="440" w:lineRule="exact"/>
              <w:ind w:firstLine="240" w:firstLineChars="100"/>
              <w:rPr>
                <w:rFonts w:eastAsia="黑体"/>
                <w:sz w:val="24"/>
              </w:rPr>
            </w:pPr>
            <w:r>
              <w:rPr>
                <w:rFonts w:eastAsia="黑体"/>
                <w:sz w:val="24"/>
              </w:rPr>
              <w:t>表</w:t>
            </w:r>
            <w:r>
              <w:rPr>
                <w:rFonts w:hint="eastAsia" w:eastAsia="黑体"/>
                <w:sz w:val="24"/>
              </w:rPr>
              <w:t>21</w:t>
            </w:r>
            <w:r>
              <w:rPr>
                <w:rFonts w:eastAsia="黑体"/>
                <w:sz w:val="24"/>
              </w:rPr>
              <w:t xml:space="preserve"> </w:t>
            </w:r>
            <w:r>
              <w:rPr>
                <w:rFonts w:hint="eastAsia" w:eastAsia="黑体"/>
                <w:sz w:val="24"/>
              </w:rPr>
              <w:t xml:space="preserve"> 　 </w:t>
            </w:r>
            <w:r>
              <w:rPr>
                <w:rFonts w:eastAsia="黑体"/>
                <w:sz w:val="24"/>
              </w:rPr>
              <w:t>土壤环境质量建设用地土壤污染风险管控标准</w:t>
            </w:r>
            <w:r>
              <w:rPr>
                <w:rFonts w:hint="eastAsia" w:eastAsia="黑体"/>
                <w:sz w:val="24"/>
              </w:rPr>
              <w:t xml:space="preserve">　  </w:t>
            </w:r>
            <w:r>
              <w:rPr>
                <w:rFonts w:eastAsia="黑体"/>
                <w:sz w:val="24"/>
              </w:rPr>
              <w:t xml:space="preserve"> 单位：</w:t>
            </w:r>
            <w:r>
              <w:rPr>
                <w:rFonts w:eastAsia="黑体"/>
                <w:b/>
                <w:sz w:val="24"/>
              </w:rPr>
              <w:t>mg/</w:t>
            </w:r>
            <w:r>
              <w:rPr>
                <w:rFonts w:hint="eastAsia" w:eastAsia="黑体"/>
                <w:b/>
                <w:sz w:val="24"/>
              </w:rPr>
              <w:t>kg</w:t>
            </w:r>
            <w:r>
              <w:rPr>
                <w:rFonts w:eastAsia="黑体"/>
                <w:sz w:val="24"/>
              </w:rPr>
              <w:t xml:space="preserve"> </w:t>
            </w:r>
          </w:p>
          <w:tbl>
            <w:tblPr>
              <w:tblStyle w:val="24"/>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43"/>
              <w:gridCol w:w="2383"/>
              <w:gridCol w:w="45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8" w:space="0"/>
                    <w:left w:val="nil"/>
                    <w:bottom w:val="single" w:color="auto" w:sz="8" w:space="0"/>
                    <w:right w:val="single" w:color="auto" w:sz="4" w:space="0"/>
                  </w:tcBorders>
                  <w:vAlign w:val="center"/>
                </w:tcPr>
                <w:p>
                  <w:pPr>
                    <w:adjustRightInd w:val="0"/>
                    <w:snapToGrid w:val="0"/>
                    <w:jc w:val="center"/>
                    <w:rPr>
                      <w:b/>
                      <w:szCs w:val="21"/>
                    </w:rPr>
                  </w:pPr>
                  <w:r>
                    <w:rPr>
                      <w:b/>
                      <w:szCs w:val="21"/>
                    </w:rPr>
                    <w:t>序号</w:t>
                  </w:r>
                </w:p>
              </w:tc>
              <w:tc>
                <w:tcPr>
                  <w:tcW w:w="1394" w:type="pct"/>
                  <w:tcBorders>
                    <w:top w:val="single" w:color="auto" w:sz="8" w:space="0"/>
                    <w:left w:val="nil"/>
                    <w:bottom w:val="single" w:color="auto" w:sz="8" w:space="0"/>
                    <w:right w:val="single" w:color="auto" w:sz="4" w:space="0"/>
                  </w:tcBorders>
                  <w:vAlign w:val="center"/>
                </w:tcPr>
                <w:p>
                  <w:pPr>
                    <w:adjustRightInd w:val="0"/>
                    <w:snapToGrid w:val="0"/>
                    <w:jc w:val="center"/>
                    <w:rPr>
                      <w:b/>
                      <w:szCs w:val="21"/>
                    </w:rPr>
                  </w:pPr>
                  <w:r>
                    <w:rPr>
                      <w:b/>
                      <w:szCs w:val="21"/>
                    </w:rPr>
                    <w:t>污染物</w:t>
                  </w:r>
                </w:p>
              </w:tc>
              <w:tc>
                <w:tcPr>
                  <w:tcW w:w="2644" w:type="pct"/>
                  <w:tcBorders>
                    <w:top w:val="single" w:color="auto" w:sz="8" w:space="0"/>
                    <w:left w:val="single" w:color="auto" w:sz="4" w:space="0"/>
                    <w:bottom w:val="single" w:color="auto" w:sz="8" w:space="0"/>
                    <w:right w:val="nil"/>
                  </w:tcBorders>
                  <w:vAlign w:val="center"/>
                </w:tcPr>
                <w:p>
                  <w:pPr>
                    <w:adjustRightInd w:val="0"/>
                    <w:snapToGrid w:val="0"/>
                    <w:jc w:val="center"/>
                    <w:rPr>
                      <w:b/>
                      <w:szCs w:val="21"/>
                    </w:rPr>
                  </w:pPr>
                  <w:r>
                    <w:rPr>
                      <w:b/>
                      <w:szCs w:val="21"/>
                    </w:rPr>
                    <w:t>筛选值第二类用地标准限值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pH</w:t>
                  </w:r>
                </w:p>
              </w:tc>
              <w:tc>
                <w:tcPr>
                  <w:tcW w:w="2644" w:type="pct"/>
                  <w:tcBorders>
                    <w:top w:val="single" w:color="auto" w:sz="8" w:space="0"/>
                    <w:left w:val="single" w:color="auto" w:sz="4" w:space="0"/>
                    <w:bottom w:val="single" w:color="auto" w:sz="4" w:space="0"/>
                    <w:right w:val="nil"/>
                  </w:tcBorders>
                  <w:vAlign w:val="center"/>
                </w:tcPr>
                <w:p>
                  <w:pPr>
                    <w:adjustRightInd w:val="0"/>
                    <w:snapToGrid w:val="0"/>
                    <w:jc w:val="center"/>
                    <w:rPr>
                      <w:szCs w:val="21"/>
                    </w:rPr>
                  </w:pPr>
                  <w:r>
                    <w:rPr>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镉</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65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4</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六价铬</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5</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铜</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18000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6</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铅</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800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7</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汞</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38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8</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镍</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900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9</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四氯化碳</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10</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氯仿</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0.9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11</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氯甲烷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37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12</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1，1-二氯乙烷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13</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1，2-二氯乙烷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14</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1，1-二氯乙烯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66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15</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顺-1，2-二氯乙烯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596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16</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反-1，2-二氯乙烯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17</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二氯甲烷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616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18</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1，2-二氯丙烷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19</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1，1，1，2-四氯乙烷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20</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1，1，2，2-四氯乙烷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6.8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21</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四氯乙烯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22</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1，1，1-三氯乙烷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840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23</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1，1，2-三氯乙烷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24</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三氯乙烯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25</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1，2，3-三氯丙烷</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26</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氯乙烯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0.43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27</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28</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氯苯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29</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1，2-二氯苯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30</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1，4-二氯苯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31</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乙苯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32</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苯乙烯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1290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33</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甲苯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34</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间二甲苯+对二甲苯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570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35</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邻二甲苯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640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36</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硝基苯</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76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37</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苯胺</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38</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2-氯酚</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2256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39</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苯并［a］蒽</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40</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苯并［a］芘</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41</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苯并［b］荧蒽</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42</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苯并［k］荧蒽</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151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43</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䓛</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1293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44</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二苯并［a，h］蒽</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45</w:t>
                  </w:r>
                </w:p>
              </w:tc>
              <w:tc>
                <w:tcPr>
                  <w:tcW w:w="1394" w:type="pct"/>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szCs w:val="21"/>
                    </w:rPr>
                    <w:t>茚并［1，2，3-cd］芘</w:t>
                  </w:r>
                </w:p>
              </w:tc>
              <w:tc>
                <w:tcPr>
                  <w:tcW w:w="2644" w:type="pct"/>
                  <w:tcBorders>
                    <w:top w:val="single" w:color="auto" w:sz="4" w:space="0"/>
                    <w:left w:val="single" w:color="auto" w:sz="4" w:space="0"/>
                    <w:bottom w:val="single" w:color="auto" w:sz="4" w:space="0"/>
                    <w:right w:val="nil"/>
                  </w:tcBorders>
                  <w:vAlign w:val="center"/>
                </w:tcPr>
                <w:p>
                  <w:pPr>
                    <w:adjustRightInd w:val="0"/>
                    <w:snapToGrid w:val="0"/>
                    <w:jc w:val="center"/>
                    <w:rPr>
                      <w:szCs w:val="21"/>
                    </w:rPr>
                  </w:pPr>
                  <w:r>
                    <w:rPr>
                      <w:szCs w:val="21"/>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61" w:type="pct"/>
                  <w:tcBorders>
                    <w:top w:val="single" w:color="auto" w:sz="4" w:space="0"/>
                    <w:left w:val="nil"/>
                    <w:bottom w:val="single" w:color="auto" w:sz="8" w:space="0"/>
                    <w:right w:val="single" w:color="auto" w:sz="4" w:space="0"/>
                  </w:tcBorders>
                  <w:vAlign w:val="center"/>
                </w:tcPr>
                <w:p>
                  <w:pPr>
                    <w:adjustRightInd w:val="0"/>
                    <w:snapToGrid w:val="0"/>
                    <w:jc w:val="center"/>
                    <w:rPr>
                      <w:szCs w:val="21"/>
                    </w:rPr>
                  </w:pPr>
                  <w:r>
                    <w:rPr>
                      <w:szCs w:val="21"/>
                    </w:rPr>
                    <w:t>46</w:t>
                  </w:r>
                </w:p>
              </w:tc>
              <w:tc>
                <w:tcPr>
                  <w:tcW w:w="1394" w:type="pct"/>
                  <w:tcBorders>
                    <w:top w:val="single" w:color="auto" w:sz="4" w:space="0"/>
                    <w:left w:val="nil"/>
                    <w:bottom w:val="single" w:color="auto" w:sz="8" w:space="0"/>
                    <w:right w:val="single" w:color="auto" w:sz="4" w:space="0"/>
                  </w:tcBorders>
                  <w:vAlign w:val="center"/>
                </w:tcPr>
                <w:p>
                  <w:pPr>
                    <w:adjustRightInd w:val="0"/>
                    <w:snapToGrid w:val="0"/>
                    <w:jc w:val="center"/>
                    <w:rPr>
                      <w:szCs w:val="21"/>
                    </w:rPr>
                  </w:pPr>
                  <w:r>
                    <w:rPr>
                      <w:szCs w:val="21"/>
                    </w:rPr>
                    <w:t>萘</w:t>
                  </w:r>
                </w:p>
              </w:tc>
              <w:tc>
                <w:tcPr>
                  <w:tcW w:w="2644" w:type="pct"/>
                  <w:tcBorders>
                    <w:top w:val="single" w:color="auto" w:sz="4" w:space="0"/>
                    <w:left w:val="single" w:color="auto" w:sz="4" w:space="0"/>
                    <w:bottom w:val="single" w:color="auto" w:sz="8" w:space="0"/>
                    <w:right w:val="nil"/>
                  </w:tcBorders>
                  <w:vAlign w:val="center"/>
                </w:tcPr>
                <w:p>
                  <w:pPr>
                    <w:adjustRightInd w:val="0"/>
                    <w:snapToGrid w:val="0"/>
                    <w:jc w:val="center"/>
                    <w:rPr>
                      <w:szCs w:val="21"/>
                    </w:rPr>
                  </w:pPr>
                  <w:r>
                    <w:rPr>
                      <w:szCs w:val="21"/>
                    </w:rPr>
                    <w:t>70</w:t>
                  </w:r>
                </w:p>
              </w:tc>
            </w:tr>
          </w:tbl>
          <w:p>
            <w:pPr>
              <w:spacing w:line="480" w:lineRule="exact"/>
              <w:rPr>
                <w:color w:val="FF000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35" w:hRule="atLeast"/>
          <w:jc w:val="center"/>
        </w:trPr>
        <w:tc>
          <w:tcPr>
            <w:tcW w:w="456" w:type="dxa"/>
            <w:vAlign w:val="center"/>
          </w:tcPr>
          <w:p>
            <w:pPr>
              <w:spacing w:line="480" w:lineRule="exact"/>
              <w:jc w:val="center"/>
              <w:rPr>
                <w:sz w:val="24"/>
              </w:rPr>
            </w:pPr>
            <w:r>
              <w:rPr>
                <w:sz w:val="24"/>
              </w:rPr>
              <w:t>污</w:t>
            </w:r>
          </w:p>
          <w:p>
            <w:pPr>
              <w:spacing w:line="480" w:lineRule="exact"/>
              <w:jc w:val="center"/>
              <w:rPr>
                <w:sz w:val="24"/>
              </w:rPr>
            </w:pPr>
            <w:r>
              <w:rPr>
                <w:sz w:val="24"/>
              </w:rPr>
              <w:t>染</w:t>
            </w:r>
          </w:p>
          <w:p>
            <w:pPr>
              <w:spacing w:line="480" w:lineRule="exact"/>
              <w:jc w:val="center"/>
              <w:rPr>
                <w:sz w:val="24"/>
              </w:rPr>
            </w:pPr>
            <w:r>
              <w:rPr>
                <w:sz w:val="24"/>
              </w:rPr>
              <w:t>物</w:t>
            </w:r>
          </w:p>
          <w:p>
            <w:pPr>
              <w:spacing w:line="480" w:lineRule="exact"/>
              <w:jc w:val="center"/>
              <w:rPr>
                <w:sz w:val="24"/>
              </w:rPr>
            </w:pPr>
            <w:r>
              <w:rPr>
                <w:sz w:val="24"/>
              </w:rPr>
              <w:t>排</w:t>
            </w:r>
          </w:p>
          <w:p>
            <w:pPr>
              <w:spacing w:line="480" w:lineRule="exact"/>
              <w:jc w:val="center"/>
              <w:rPr>
                <w:sz w:val="24"/>
              </w:rPr>
            </w:pPr>
            <w:r>
              <w:rPr>
                <w:sz w:val="24"/>
              </w:rPr>
              <w:t>放</w:t>
            </w:r>
          </w:p>
          <w:p>
            <w:pPr>
              <w:spacing w:line="480" w:lineRule="exact"/>
              <w:jc w:val="center"/>
              <w:rPr>
                <w:sz w:val="24"/>
              </w:rPr>
            </w:pPr>
            <w:r>
              <w:rPr>
                <w:sz w:val="24"/>
              </w:rPr>
              <w:t>标</w:t>
            </w:r>
          </w:p>
          <w:p>
            <w:pPr>
              <w:spacing w:line="480" w:lineRule="exact"/>
              <w:jc w:val="center"/>
              <w:rPr>
                <w:color w:val="FF0000"/>
                <w:sz w:val="24"/>
              </w:rPr>
            </w:pPr>
            <w:r>
              <w:rPr>
                <w:sz w:val="24"/>
              </w:rPr>
              <w:t>准</w:t>
            </w:r>
          </w:p>
        </w:tc>
        <w:tc>
          <w:tcPr>
            <w:tcW w:w="8786" w:type="dxa"/>
            <w:vAlign w:val="center"/>
          </w:tcPr>
          <w:p>
            <w:pPr>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22</w:t>
            </w:r>
            <w:r>
              <w:rPr>
                <w:rFonts w:eastAsia="黑体"/>
                <w:color w:val="000000"/>
                <w:sz w:val="24"/>
              </w:rPr>
              <w:t xml:space="preserve">         </w:t>
            </w:r>
            <w:r>
              <w:rPr>
                <w:rFonts w:hint="eastAsia" w:eastAsia="黑体"/>
                <w:color w:val="000000"/>
                <w:sz w:val="24"/>
                <w:lang w:val="en-US" w:eastAsia="zh-CN"/>
              </w:rPr>
              <w:t xml:space="preserve">     </w:t>
            </w:r>
            <w:r>
              <w:rPr>
                <w:rFonts w:eastAsia="黑体"/>
                <w:color w:val="000000"/>
                <w:sz w:val="24"/>
              </w:rPr>
              <w:t xml:space="preserve">    污染物排放控制标准</w:t>
            </w:r>
          </w:p>
          <w:tbl>
            <w:tblPr>
              <w:tblStyle w:val="24"/>
              <w:tblW w:w="8504"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975"/>
              <w:gridCol w:w="2695"/>
              <w:gridCol w:w="1083"/>
              <w:gridCol w:w="3751"/>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975" w:type="dxa"/>
                  <w:tcBorders>
                    <w:bottom w:val="single" w:color="auto" w:sz="8" w:space="0"/>
                  </w:tcBorders>
                  <w:vAlign w:val="center"/>
                </w:tcPr>
                <w:p>
                  <w:pPr>
                    <w:jc w:val="center"/>
                    <w:rPr>
                      <w:b/>
                      <w:bCs/>
                      <w:szCs w:val="21"/>
                    </w:rPr>
                  </w:pPr>
                  <w:r>
                    <w:rPr>
                      <w:b/>
                      <w:bCs/>
                      <w:szCs w:val="21"/>
                    </w:rPr>
                    <w:t>污染类别</w:t>
                  </w:r>
                </w:p>
              </w:tc>
              <w:tc>
                <w:tcPr>
                  <w:tcW w:w="2695" w:type="dxa"/>
                  <w:tcBorders>
                    <w:bottom w:val="single" w:color="auto" w:sz="8" w:space="0"/>
                  </w:tcBorders>
                  <w:vAlign w:val="center"/>
                </w:tcPr>
                <w:p>
                  <w:pPr>
                    <w:jc w:val="center"/>
                    <w:rPr>
                      <w:b/>
                      <w:bCs/>
                      <w:szCs w:val="21"/>
                    </w:rPr>
                  </w:pPr>
                  <w:r>
                    <w:rPr>
                      <w:b/>
                      <w:bCs/>
                      <w:szCs w:val="21"/>
                    </w:rPr>
                    <w:t>标准名称及级（类）别</w:t>
                  </w:r>
                </w:p>
              </w:tc>
              <w:tc>
                <w:tcPr>
                  <w:tcW w:w="1083" w:type="dxa"/>
                  <w:tcBorders>
                    <w:bottom w:val="single" w:color="auto" w:sz="8" w:space="0"/>
                  </w:tcBorders>
                  <w:vAlign w:val="center"/>
                </w:tcPr>
                <w:p>
                  <w:pPr>
                    <w:jc w:val="center"/>
                    <w:rPr>
                      <w:b/>
                      <w:bCs/>
                      <w:szCs w:val="21"/>
                    </w:rPr>
                  </w:pPr>
                  <w:r>
                    <w:rPr>
                      <w:b/>
                      <w:bCs/>
                      <w:szCs w:val="21"/>
                    </w:rPr>
                    <w:t>污染因子</w:t>
                  </w:r>
                </w:p>
              </w:tc>
              <w:tc>
                <w:tcPr>
                  <w:tcW w:w="3751" w:type="dxa"/>
                  <w:tcBorders>
                    <w:bottom w:val="single" w:color="auto" w:sz="8" w:space="0"/>
                  </w:tcBorders>
                  <w:vAlign w:val="center"/>
                </w:tcPr>
                <w:p>
                  <w:pPr>
                    <w:jc w:val="center"/>
                    <w:rPr>
                      <w:b/>
                      <w:bCs/>
                      <w:szCs w:val="21"/>
                    </w:rPr>
                  </w:pPr>
                  <w:r>
                    <w:rPr>
                      <w:b/>
                      <w:bCs/>
                      <w:szCs w:val="21"/>
                    </w:rPr>
                    <w:t>标准限值</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975" w:type="dxa"/>
                  <w:vMerge w:val="restart"/>
                  <w:tcBorders>
                    <w:top w:val="single" w:color="auto" w:sz="8" w:space="0"/>
                  </w:tcBorders>
                  <w:vAlign w:val="center"/>
                </w:tcPr>
                <w:p>
                  <w:pPr>
                    <w:jc w:val="center"/>
                    <w:rPr>
                      <w:szCs w:val="21"/>
                    </w:rPr>
                  </w:pPr>
                  <w:r>
                    <w:rPr>
                      <w:szCs w:val="21"/>
                    </w:rPr>
                    <w:t>废气</w:t>
                  </w:r>
                </w:p>
              </w:tc>
              <w:tc>
                <w:tcPr>
                  <w:tcW w:w="2695" w:type="dxa"/>
                  <w:tcBorders>
                    <w:top w:val="single" w:color="auto" w:sz="8" w:space="0"/>
                  </w:tcBorders>
                  <w:vAlign w:val="center"/>
                </w:tcPr>
                <w:p>
                  <w:pPr>
                    <w:jc w:val="center"/>
                    <w:rPr>
                      <w:szCs w:val="21"/>
                    </w:rPr>
                  </w:pPr>
                  <w:r>
                    <w:rPr>
                      <w:color w:val="000000"/>
                      <w:szCs w:val="21"/>
                    </w:rPr>
                    <w:t>《大气污染物综合排放标准》（GB16297-1996）中新污染源表2二级</w:t>
                  </w:r>
                </w:p>
              </w:tc>
              <w:tc>
                <w:tcPr>
                  <w:tcW w:w="1083" w:type="dxa"/>
                  <w:vMerge w:val="restart"/>
                  <w:tcBorders>
                    <w:top w:val="single" w:color="auto" w:sz="8" w:space="0"/>
                  </w:tcBorders>
                  <w:vAlign w:val="center"/>
                </w:tcPr>
                <w:p>
                  <w:pPr>
                    <w:jc w:val="center"/>
                    <w:rPr>
                      <w:szCs w:val="21"/>
                    </w:rPr>
                  </w:pPr>
                  <w:r>
                    <w:rPr>
                      <w:szCs w:val="21"/>
                    </w:rPr>
                    <w:t>颗粒物</w:t>
                  </w:r>
                </w:p>
              </w:tc>
              <w:tc>
                <w:tcPr>
                  <w:tcW w:w="3751" w:type="dxa"/>
                  <w:tcBorders>
                    <w:top w:val="single" w:color="auto" w:sz="8" w:space="0"/>
                  </w:tcBorders>
                  <w:vAlign w:val="center"/>
                </w:tcPr>
                <w:p>
                  <w:pPr>
                    <w:jc w:val="center"/>
                    <w:rPr>
                      <w:szCs w:val="21"/>
                    </w:rPr>
                  </w:pPr>
                  <w:r>
                    <w:rPr>
                      <w:szCs w:val="21"/>
                    </w:rPr>
                    <w:t>颗粒物：15m排气筒排放速率3.5kg/h、排放浓度120mg/m</w:t>
                  </w:r>
                  <w:r>
                    <w:rPr>
                      <w:szCs w:val="21"/>
                      <w:vertAlign w:val="superscript"/>
                    </w:rPr>
                    <w:t>3</w:t>
                  </w:r>
                  <w:r>
                    <w:rPr>
                      <w:szCs w:val="21"/>
                    </w:rPr>
                    <w:t>、无组织排放监控浓度限值1.0mg/m</w:t>
                  </w:r>
                  <w:r>
                    <w:rPr>
                      <w:szCs w:val="21"/>
                      <w:vertAlign w:val="superscript"/>
                    </w:rPr>
                    <w:t>3</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975" w:type="dxa"/>
                  <w:vMerge w:val="continue"/>
                  <w:vAlign w:val="center"/>
                </w:tcPr>
                <w:p>
                  <w:pPr>
                    <w:jc w:val="center"/>
                    <w:rPr>
                      <w:szCs w:val="21"/>
                    </w:rPr>
                  </w:pPr>
                </w:p>
              </w:tc>
              <w:tc>
                <w:tcPr>
                  <w:tcW w:w="2695" w:type="dxa"/>
                  <w:tcBorders>
                    <w:top w:val="single" w:color="auto" w:sz="8" w:space="0"/>
                  </w:tcBorders>
                  <w:vAlign w:val="center"/>
                </w:tcPr>
                <w:p>
                  <w:pPr>
                    <w:jc w:val="center"/>
                    <w:rPr>
                      <w:rFonts w:hint="default" w:eastAsia="宋体"/>
                      <w:color w:val="000000"/>
                      <w:szCs w:val="21"/>
                      <w:lang w:val="en-US" w:eastAsia="zh-CN"/>
                    </w:rPr>
                  </w:pPr>
                  <w:r>
                    <w:rPr>
                      <w:rFonts w:hint="eastAsia"/>
                      <w:color w:val="000000"/>
                      <w:szCs w:val="21"/>
                      <w:lang w:val="en-US" w:eastAsia="zh-CN"/>
                    </w:rPr>
                    <w:t>2020年7月31日《新乡市生态环境局关于进一步规范工业颗粒物排放限值的通知》</w:t>
                  </w:r>
                </w:p>
              </w:tc>
              <w:tc>
                <w:tcPr>
                  <w:tcW w:w="1083" w:type="dxa"/>
                  <w:vMerge w:val="continue"/>
                  <w:vAlign w:val="center"/>
                </w:tcPr>
                <w:p>
                  <w:pPr>
                    <w:jc w:val="center"/>
                    <w:rPr>
                      <w:szCs w:val="21"/>
                    </w:rPr>
                  </w:pPr>
                </w:p>
              </w:tc>
              <w:tc>
                <w:tcPr>
                  <w:tcW w:w="3751" w:type="dxa"/>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eastAsia="zh-CN"/>
                    </w:rPr>
                  </w:pPr>
                  <w:r>
                    <w:rPr>
                      <w:rFonts w:hint="eastAsia"/>
                      <w:lang w:eastAsia="zh-CN"/>
                    </w:rPr>
                    <w:t>排放口颗粒物排放浓度不高于</w:t>
                  </w:r>
                  <w:r>
                    <w:rPr>
                      <w:rFonts w:hint="eastAsia"/>
                      <w:lang w:val="en-US" w:eastAsia="zh-CN"/>
                    </w:rPr>
                    <w:t>10</w:t>
                  </w:r>
                  <w:r>
                    <w:t>mg/m</w:t>
                  </w:r>
                  <w:r>
                    <w:rPr>
                      <w:vertAlign w:val="superscript"/>
                    </w:rPr>
                    <w:t>3</w:t>
                  </w:r>
                  <w:r>
                    <w:rPr>
                      <w:rFonts w:hint="eastAsia"/>
                      <w:lang w:eastAsia="zh-CN"/>
                    </w:rPr>
                    <w:t>、</w:t>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lang w:val="en-US" w:eastAsia="zh-CN"/>
                    </w:rPr>
                  </w:pPr>
                  <w:r>
                    <w:rPr>
                      <w:rFonts w:hint="eastAsia" w:ascii="Times New Roman" w:hAnsi="Times New Roman" w:eastAsia="宋体" w:cs="Times New Roman"/>
                      <w:kern w:val="2"/>
                      <w:sz w:val="21"/>
                      <w:szCs w:val="24"/>
                      <w:lang w:val="en-US" w:eastAsia="zh-CN" w:bidi="ar-SA"/>
                    </w:rPr>
                    <w:t>厂界颗粒物排放浓度不高于0.5mg/m</w:t>
                  </w:r>
                  <w:r>
                    <w:rPr>
                      <w:rFonts w:hint="eastAsia" w:ascii="Times New Roman" w:hAnsi="Times New Roman" w:eastAsia="宋体" w:cs="Times New Roman"/>
                      <w:kern w:val="2"/>
                      <w:sz w:val="21"/>
                      <w:szCs w:val="24"/>
                      <w:vertAlign w:val="superscript"/>
                      <w:lang w:val="en-US" w:eastAsia="zh-CN" w:bidi="ar-SA"/>
                    </w:rPr>
                    <w:t>3</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975" w:type="dxa"/>
                  <w:vAlign w:val="center"/>
                </w:tcPr>
                <w:p>
                  <w:pPr>
                    <w:jc w:val="center"/>
                    <w:rPr>
                      <w:szCs w:val="21"/>
                    </w:rPr>
                  </w:pPr>
                  <w:r>
                    <w:rPr>
                      <w:szCs w:val="21"/>
                    </w:rPr>
                    <w:t>噪声</w:t>
                  </w:r>
                </w:p>
              </w:tc>
              <w:tc>
                <w:tcPr>
                  <w:tcW w:w="2695" w:type="dxa"/>
                  <w:vAlign w:val="center"/>
                </w:tcPr>
                <w:p>
                  <w:pPr>
                    <w:jc w:val="center"/>
                    <w:rPr>
                      <w:szCs w:val="21"/>
                    </w:rPr>
                  </w:pPr>
                  <w:r>
                    <w:rPr>
                      <w:szCs w:val="21"/>
                    </w:rPr>
                    <w:t>《工业企业厂界环境噪声排放标准》</w:t>
                  </w:r>
                  <w:r>
                    <w:rPr>
                      <w:rFonts w:hint="eastAsia"/>
                      <w:szCs w:val="21"/>
                      <w:lang w:val="en-US" w:eastAsia="zh-CN"/>
                    </w:rPr>
                    <w:t>(</w:t>
                  </w:r>
                  <w:r>
                    <w:rPr>
                      <w:szCs w:val="21"/>
                    </w:rPr>
                    <w:t>GB12348-2008</w:t>
                  </w:r>
                  <w:r>
                    <w:rPr>
                      <w:rFonts w:hint="eastAsia"/>
                      <w:szCs w:val="21"/>
                      <w:lang w:val="en-US" w:eastAsia="zh-CN"/>
                    </w:rPr>
                    <w:t>)</w:t>
                  </w:r>
                  <w:r>
                    <w:rPr>
                      <w:rFonts w:hint="eastAsia"/>
                      <w:szCs w:val="21"/>
                    </w:rPr>
                    <w:t>2</w:t>
                  </w:r>
                  <w:r>
                    <w:rPr>
                      <w:szCs w:val="21"/>
                    </w:rPr>
                    <w:t>类</w:t>
                  </w:r>
                </w:p>
              </w:tc>
              <w:tc>
                <w:tcPr>
                  <w:tcW w:w="1083" w:type="dxa"/>
                  <w:vAlign w:val="center"/>
                </w:tcPr>
                <w:p>
                  <w:pPr>
                    <w:jc w:val="center"/>
                    <w:rPr>
                      <w:szCs w:val="21"/>
                    </w:rPr>
                  </w:pPr>
                  <w:r>
                    <w:rPr>
                      <w:szCs w:val="21"/>
                    </w:rPr>
                    <w:t>噪声[dB(A)]</w:t>
                  </w:r>
                </w:p>
              </w:tc>
              <w:tc>
                <w:tcPr>
                  <w:tcW w:w="3751" w:type="dxa"/>
                  <w:vAlign w:val="center"/>
                </w:tcPr>
                <w:p>
                  <w:pPr>
                    <w:jc w:val="center"/>
                    <w:rPr>
                      <w:szCs w:val="21"/>
                    </w:rPr>
                  </w:pPr>
                  <w:r>
                    <w:rPr>
                      <w:szCs w:val="21"/>
                    </w:rPr>
                    <w:t>昼间6</w:t>
                  </w:r>
                  <w:r>
                    <w:rPr>
                      <w:rFonts w:hint="eastAsia"/>
                      <w:szCs w:val="21"/>
                    </w:rPr>
                    <w:t>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975" w:type="dxa"/>
                  <w:vAlign w:val="center"/>
                </w:tcPr>
                <w:p>
                  <w:pPr>
                    <w:jc w:val="center"/>
                    <w:rPr>
                      <w:szCs w:val="21"/>
                    </w:rPr>
                  </w:pPr>
                  <w:r>
                    <w:rPr>
                      <w:szCs w:val="21"/>
                    </w:rPr>
                    <w:t>固废</w:t>
                  </w:r>
                </w:p>
              </w:tc>
              <w:tc>
                <w:tcPr>
                  <w:tcW w:w="7529" w:type="dxa"/>
                  <w:gridSpan w:val="3"/>
                  <w:vAlign w:val="center"/>
                </w:tcPr>
                <w:p>
                  <w:pPr>
                    <w:rPr>
                      <w:szCs w:val="21"/>
                    </w:rPr>
                  </w:pPr>
                  <w:r>
                    <w:rPr>
                      <w:szCs w:val="21"/>
                    </w:rPr>
                    <w:t>一般固体废物执行《一般工业固体废物贮存、处置场污染控制标准》（GB18599-2001）及其2013修改单要求进行。</w:t>
                  </w:r>
                </w:p>
              </w:tc>
            </w:tr>
          </w:tbl>
          <w:p>
            <w:pPr>
              <w:pStyle w:val="2"/>
              <w:ind w:left="0" w:leftChars="0" w:firstLine="0" w:firstLineChars="0"/>
              <w:rPr>
                <w:rFonts w:hint="default" w:eastAsia="宋体"/>
                <w:color w:val="FF0000"/>
                <w:sz w:val="24"/>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3" w:hRule="atLeast"/>
          <w:jc w:val="center"/>
        </w:trPr>
        <w:tc>
          <w:tcPr>
            <w:tcW w:w="456" w:type="dxa"/>
            <w:vAlign w:val="center"/>
          </w:tcPr>
          <w:p>
            <w:pPr>
              <w:spacing w:line="360" w:lineRule="exact"/>
              <w:jc w:val="center"/>
              <w:rPr>
                <w:sz w:val="24"/>
              </w:rPr>
            </w:pPr>
            <w:r>
              <w:rPr>
                <w:sz w:val="24"/>
              </w:rPr>
              <w:t>总</w:t>
            </w:r>
          </w:p>
          <w:p>
            <w:pPr>
              <w:spacing w:line="360" w:lineRule="exact"/>
              <w:jc w:val="center"/>
              <w:rPr>
                <w:sz w:val="24"/>
              </w:rPr>
            </w:pPr>
            <w:r>
              <w:rPr>
                <w:sz w:val="24"/>
              </w:rPr>
              <w:t>量</w:t>
            </w:r>
          </w:p>
          <w:p>
            <w:pPr>
              <w:spacing w:line="360" w:lineRule="exact"/>
              <w:jc w:val="center"/>
              <w:rPr>
                <w:sz w:val="24"/>
              </w:rPr>
            </w:pPr>
            <w:r>
              <w:rPr>
                <w:sz w:val="24"/>
              </w:rPr>
              <w:t>控</w:t>
            </w:r>
          </w:p>
          <w:p>
            <w:pPr>
              <w:spacing w:line="360" w:lineRule="exact"/>
              <w:jc w:val="center"/>
              <w:rPr>
                <w:sz w:val="24"/>
              </w:rPr>
            </w:pPr>
            <w:r>
              <w:rPr>
                <w:sz w:val="24"/>
              </w:rPr>
              <w:t>制</w:t>
            </w:r>
          </w:p>
          <w:p>
            <w:pPr>
              <w:spacing w:line="360" w:lineRule="exact"/>
              <w:jc w:val="center"/>
              <w:rPr>
                <w:sz w:val="24"/>
              </w:rPr>
            </w:pPr>
            <w:r>
              <w:rPr>
                <w:sz w:val="24"/>
              </w:rPr>
              <w:t>指</w:t>
            </w:r>
          </w:p>
          <w:p>
            <w:pPr>
              <w:spacing w:line="360" w:lineRule="exact"/>
              <w:jc w:val="center"/>
              <w:rPr>
                <w:sz w:val="24"/>
              </w:rPr>
            </w:pPr>
            <w:r>
              <w:rPr>
                <w:sz w:val="24"/>
              </w:rPr>
              <w:t>标</w:t>
            </w:r>
          </w:p>
        </w:tc>
        <w:tc>
          <w:tcPr>
            <w:tcW w:w="8786" w:type="dxa"/>
            <w:vAlign w:val="center"/>
          </w:tcPr>
          <w:p>
            <w:pPr>
              <w:spacing w:line="440" w:lineRule="exact"/>
              <w:ind w:firstLine="480" w:firstLineChars="200"/>
              <w:rPr>
                <w:color w:val="000000"/>
                <w:sz w:val="24"/>
              </w:rPr>
            </w:pPr>
            <w:r>
              <w:rPr>
                <w:color w:val="000000"/>
                <w:sz w:val="24"/>
              </w:rPr>
              <w:t>抛光机生产过程中产生的粉尘经集气罩收集后</w:t>
            </w:r>
            <w:r>
              <w:rPr>
                <w:rFonts w:hint="eastAsia"/>
                <w:color w:val="000000"/>
                <w:sz w:val="24"/>
              </w:rPr>
              <w:t>经</w:t>
            </w:r>
            <w:r>
              <w:rPr>
                <w:color w:val="000000"/>
                <w:sz w:val="24"/>
              </w:rPr>
              <w:t>1</w:t>
            </w:r>
            <w:r>
              <w:rPr>
                <w:rFonts w:hint="eastAsia"/>
                <w:color w:val="000000"/>
                <w:sz w:val="24"/>
              </w:rPr>
              <w:t>台</w:t>
            </w:r>
            <w:r>
              <w:rPr>
                <w:color w:val="000000"/>
                <w:sz w:val="24"/>
              </w:rPr>
              <w:t>袋式除尘器治理，尾气经15m排气筒排放</w:t>
            </w:r>
            <w:r>
              <w:rPr>
                <w:rFonts w:hint="eastAsia"/>
                <w:color w:val="000000"/>
                <w:sz w:val="24"/>
              </w:rPr>
              <w:t>。</w:t>
            </w:r>
            <w:r>
              <w:rPr>
                <w:color w:val="000000"/>
                <w:sz w:val="24"/>
              </w:rPr>
              <w:t>无生产废水产生，生活</w:t>
            </w:r>
            <w:r>
              <w:rPr>
                <w:rFonts w:hint="eastAsia"/>
                <w:color w:val="000000"/>
                <w:sz w:val="24"/>
                <w:lang w:eastAsia="zh-CN"/>
              </w:rPr>
              <w:t>污</w:t>
            </w:r>
            <w:r>
              <w:rPr>
                <w:color w:val="000000"/>
                <w:sz w:val="24"/>
              </w:rPr>
              <w:t>水经防渗漏化粪池处理后定期清运，本项目不涉及总量控制指标。</w:t>
            </w:r>
          </w:p>
          <w:p>
            <w:pPr>
              <w:pStyle w:val="2"/>
              <w:spacing w:after="0" w:line="440" w:lineRule="exact"/>
              <w:ind w:left="0" w:leftChars="0" w:firstLine="480" w:firstLineChars="200"/>
              <w:rPr>
                <w:color w:val="000000"/>
                <w:sz w:val="24"/>
              </w:rPr>
            </w:pPr>
            <w:r>
              <w:rPr>
                <w:color w:val="000000"/>
                <w:sz w:val="24"/>
              </w:rPr>
              <w:t>根据《新乡市生态环境局关于贯彻落实&lt;河南省生态环境厅办公室关于深化环评“放管服”改革及实施环评审批正面清单的通知&gt;的意见》新环【2020】37号</w:t>
            </w:r>
            <w:r>
              <w:rPr>
                <w:rFonts w:hint="eastAsia"/>
                <w:color w:val="000000"/>
                <w:sz w:val="24"/>
              </w:rPr>
              <w:t>，</w:t>
            </w:r>
            <w:r>
              <w:rPr>
                <w:color w:val="000000"/>
                <w:sz w:val="24"/>
              </w:rPr>
              <w:t>对不新增重点污染物（化学需氧量、氨氮、二氧化硫、氮氧化物、挥发性有机物，重金属铅、铬、镉、汞、砷10类）</w:t>
            </w:r>
            <w:r>
              <w:rPr>
                <w:rFonts w:hint="eastAsia"/>
                <w:color w:val="000000"/>
                <w:sz w:val="24"/>
              </w:rPr>
              <w:t>排放量的项目</w:t>
            </w:r>
            <w:r>
              <w:rPr>
                <w:color w:val="000000"/>
                <w:sz w:val="24"/>
              </w:rPr>
              <w:t>，不再进行总量审核。本项目属于新建项目，本项目污染物排放量为COD0t/a、NH</w:t>
            </w:r>
            <w:r>
              <w:rPr>
                <w:color w:val="000000"/>
                <w:sz w:val="24"/>
                <w:vertAlign w:val="subscript"/>
              </w:rPr>
              <w:t>3</w:t>
            </w:r>
            <w:r>
              <w:rPr>
                <w:color w:val="000000"/>
                <w:sz w:val="24"/>
              </w:rPr>
              <w:t>-N0t/a、SO</w:t>
            </w:r>
            <w:r>
              <w:rPr>
                <w:color w:val="000000"/>
                <w:sz w:val="24"/>
                <w:vertAlign w:val="subscript"/>
              </w:rPr>
              <w:t>2</w:t>
            </w:r>
            <w:r>
              <w:rPr>
                <w:color w:val="000000"/>
                <w:sz w:val="24"/>
              </w:rPr>
              <w:t>0t/a、NO</w:t>
            </w:r>
            <w:r>
              <w:rPr>
                <w:color w:val="000000"/>
                <w:sz w:val="24"/>
                <w:vertAlign w:val="subscript"/>
              </w:rPr>
              <w:t>X</w:t>
            </w:r>
            <w:r>
              <w:rPr>
                <w:color w:val="000000"/>
                <w:sz w:val="24"/>
              </w:rPr>
              <w:t>0t/a、VOCs0t/a、铅0t/a、铬0t/a、镉0t/a、汞0t/a、砷0t/a，</w:t>
            </w:r>
            <w:r>
              <w:rPr>
                <w:rFonts w:hint="eastAsia"/>
                <w:color w:val="000000"/>
                <w:sz w:val="24"/>
                <w:lang w:eastAsia="zh-CN"/>
              </w:rPr>
              <w:t>本项目</w:t>
            </w:r>
            <w:r>
              <w:rPr>
                <w:color w:val="000000"/>
                <w:sz w:val="24"/>
              </w:rPr>
              <w:t>不新增重点污染物</w:t>
            </w:r>
            <w:r>
              <w:rPr>
                <w:rFonts w:hint="eastAsia"/>
                <w:color w:val="000000"/>
                <w:sz w:val="24"/>
              </w:rPr>
              <w:t>，</w:t>
            </w:r>
            <w:r>
              <w:rPr>
                <w:color w:val="000000"/>
                <w:sz w:val="24"/>
              </w:rPr>
              <w:t>不再进行总量审核。</w:t>
            </w:r>
          </w:p>
          <w:p>
            <w:pPr>
              <w:pStyle w:val="2"/>
              <w:ind w:firstLine="538"/>
              <w:rPr>
                <w:rFonts w:ascii="宋体" w:hAnsi="宋体"/>
              </w:rPr>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firstLine="538"/>
            </w:pPr>
          </w:p>
          <w:p>
            <w:pPr>
              <w:pStyle w:val="2"/>
              <w:ind w:left="0" w:leftChars="0" w:firstLine="0" w:firstLineChars="0"/>
            </w:pPr>
          </w:p>
          <w:p>
            <w:pPr>
              <w:adjustRightInd w:val="0"/>
              <w:snapToGrid w:val="0"/>
              <w:rPr>
                <w:b/>
                <w:sz w:val="10"/>
                <w:szCs w:val="10"/>
                <w:u w:val="single"/>
              </w:rPr>
            </w:pPr>
          </w:p>
        </w:tc>
      </w:tr>
    </w:tbl>
    <w:p>
      <w:pPr>
        <w:spacing w:line="500" w:lineRule="exact"/>
        <w:outlineLvl w:val="0"/>
        <w:rPr>
          <w:b/>
          <w:sz w:val="32"/>
          <w:szCs w:val="32"/>
        </w:rPr>
      </w:pPr>
      <w:r>
        <w:rPr>
          <w:rFonts w:hint="eastAsia" w:hAnsi="宋体"/>
          <w:b/>
          <w:sz w:val="32"/>
          <w:szCs w:val="32"/>
        </w:rPr>
        <w:t>建设项目工程分析</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909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38" w:hRule="atLeast"/>
          <w:jc w:val="center"/>
        </w:trPr>
        <w:tc>
          <w:tcPr>
            <w:tcW w:w="9097" w:type="dxa"/>
            <w:tcBorders>
              <w:bottom w:val="single" w:color="auto" w:sz="6" w:space="0"/>
            </w:tcBorders>
          </w:tcPr>
          <w:p>
            <w:pPr>
              <w:adjustRightInd w:val="0"/>
              <w:snapToGrid w:val="0"/>
              <w:spacing w:line="520" w:lineRule="exact"/>
              <w:ind w:firstLine="482" w:firstLineChars="200"/>
              <w:rPr>
                <w:rFonts w:asciiTheme="minorEastAsia" w:hAnsiTheme="minorEastAsia" w:eastAsiaTheme="minorEastAsia"/>
                <w:b/>
                <w:bCs/>
                <w:sz w:val="24"/>
              </w:rPr>
            </w:pPr>
            <w:r>
              <w:rPr>
                <w:rFonts w:asciiTheme="minorEastAsia" w:hAnsiTheme="minorEastAsia" w:eastAsiaTheme="minorEastAsia"/>
                <w:b/>
                <w:bCs/>
                <w:sz w:val="24"/>
              </w:rPr>
              <w:t>运营期工艺流程简述(图示)：</w:t>
            </w:r>
          </w:p>
          <w:p>
            <w:pPr>
              <w:spacing w:line="480" w:lineRule="exact"/>
              <w:ind w:firstLine="480" w:firstLineChars="200"/>
              <w:rPr>
                <w:color w:val="000000"/>
                <w:sz w:val="24"/>
              </w:rPr>
            </w:pPr>
            <w:r>
              <w:rPr>
                <w:color w:val="000000"/>
                <w:sz w:val="24"/>
              </w:rPr>
              <w:t>本项目产品为</w:t>
            </w:r>
            <w:r>
              <w:rPr>
                <w:rFonts w:hint="eastAsia"/>
                <w:color w:val="000000"/>
                <w:sz w:val="24"/>
              </w:rPr>
              <w:t>铁钉</w:t>
            </w:r>
            <w:r>
              <w:rPr>
                <w:color w:val="000000"/>
                <w:sz w:val="24"/>
              </w:rPr>
              <w:t>，原材料为拔丝后的盘圆，其生产工艺不涉及热处理、电镀、酸洗、喷漆等工艺。产品工艺流程见图</w:t>
            </w:r>
            <w:r>
              <w:rPr>
                <w:rFonts w:hint="eastAsia"/>
                <w:color w:val="000000"/>
                <w:sz w:val="24"/>
              </w:rPr>
              <w:t>4</w:t>
            </w:r>
            <w:r>
              <w:rPr>
                <w:color w:val="000000"/>
                <w:sz w:val="24"/>
              </w:rPr>
              <w:t>：</w:t>
            </w:r>
          </w:p>
          <w:p>
            <w:pPr>
              <w:spacing w:line="480" w:lineRule="exact"/>
              <w:rPr>
                <w:color w:val="000000"/>
                <w:sz w:val="24"/>
              </w:rPr>
            </w:pPr>
            <w:r>
              <w:rPr>
                <w:rFonts w:ascii="Calibri" w:hAnsi="Calibri" w:eastAsia="宋体" w:cs="Times New Roman"/>
                <w:kern w:val="2"/>
                <w:sz w:val="24"/>
                <w:szCs w:val="24"/>
                <w:lang w:val="en-US" w:eastAsia="zh-CN" w:bidi="ar-SA"/>
              </w:rPr>
              <w:pict>
                <v:group id="_x0000_s2358" o:spid="_x0000_s2358" o:spt="203" style="position:absolute;left:0pt;margin-left:6.5pt;margin-top:8.3pt;height:131.2pt;width:438.1pt;z-index:251705344;mso-width-relative:page;mso-height-relative:page;" coordorigin="6806,329445" coordsize="8762,2624">
                  <o:lock v:ext="edit" aspectratio="f"/>
                  <v:rect id="_x0000_s2359" o:spid="_x0000_s2359" o:spt="1" style="position:absolute;left:9102;top:329466;height:559;width:1233;" filled="f" stroked="f" coordsize="21600,21600">
                    <v:path/>
                    <v:fill on="f" focussize="0,0"/>
                    <v:stroke on="f"/>
                    <v:imagedata o:title=""/>
                    <o:lock v:ext="edit" aspectratio="f"/>
                    <v:textbox>
                      <w:txbxContent>
                        <w:p>
                          <w:pPr>
                            <w:jc w:val="cente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噪声</w:t>
                          </w:r>
                        </w:p>
                      </w:txbxContent>
                    </v:textbox>
                  </v:rect>
                  <v:line id="_x0000_s2360" o:spid="_x0000_s2360" o:spt="20" style="position:absolute;left:9718;top:329875;flip:y;height:453;width:1;" filled="f" stroked="t" coordsize="21600,21600">
                    <v:path arrowok="t"/>
                    <v:fill on="f" focussize="0,0"/>
                    <v:stroke dashstyle="dash" endarrow="open"/>
                    <v:imagedata o:title=""/>
                    <o:lock v:ext="edit" aspectratio="f"/>
                  </v:line>
                  <v:rect id="_x0000_s2361" o:spid="_x0000_s2361" o:spt="1" style="position:absolute;left:10801;top:329445;height:559;width:1233;" filled="f" stroked="f" coordsize="21600,21600">
                    <v:path/>
                    <v:fill on="f" focussize="0,0"/>
                    <v:stroke on="f"/>
                    <v:imagedata o:title=""/>
                    <o:lock v:ext="edit" aspectratio="f"/>
                    <v:textbox>
                      <w:txbxContent>
                        <w:p>
                          <w:pPr>
                            <w:jc w:val="cente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噪声</w:t>
                          </w:r>
                        </w:p>
                      </w:txbxContent>
                    </v:textbox>
                  </v:rect>
                  <v:line id="_x0000_s2362" o:spid="_x0000_s2362" o:spt="20" style="position:absolute;left:11428;top:329843;flip:y;height:453;width:1;" filled="f" stroked="t" coordsize="21600,21600">
                    <v:path arrowok="t"/>
                    <v:fill on="f" focussize="0,0"/>
                    <v:stroke dashstyle="dash" endarrow="open"/>
                    <v:imagedata o:title=""/>
                    <o:lock v:ext="edit" aspectratio="f"/>
                  </v:line>
                  <v:rect id="_x0000_s2363" o:spid="_x0000_s2363" o:spt="1" style="position:absolute;left:12245;top:329518;height:559;width:1638;" filled="f" stroked="f" coordsize="21600,21600">
                    <v:path/>
                    <v:fill on="f" focussize="0,0"/>
                    <v:stroke on="f"/>
                    <v:imagedata o:title=""/>
                    <o:lock v:ext="edit" aspectratio="f"/>
                    <v:textbox>
                      <w:txbxContent>
                        <w:p>
                          <w:pPr>
                            <w:jc w:val="cente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废气、噪声</w:t>
                          </w:r>
                        </w:p>
                      </w:txbxContent>
                    </v:textbox>
                  </v:rect>
                  <v:line id="_x0000_s2364" o:spid="_x0000_s2364" o:spt="20" style="position:absolute;left:13168;top:329937;flip:y;height:453;width:1;" filled="f" stroked="t" coordsize="21600,21600">
                    <v:path arrowok="t"/>
                    <v:fill on="f" focussize="0,0"/>
                    <v:stroke dashstyle="dash" endarrow="open"/>
                    <v:imagedata o:title=""/>
                    <o:lock v:ext="edit" aspectratio="f"/>
                  </v:line>
                  <v:rect id="_x0000_s2365" o:spid="_x0000_s2365" o:spt="1" style="position:absolute;left:6806;top:329461;height:2608;width:8762;" filled="f" stroked="t" coordsize="21600,21600">
                    <v:path/>
                    <v:fill on="f" focussize="0,0"/>
                    <v:stroke weight="1.5pt" joinstyle="miter"/>
                    <v:imagedata o:title=""/>
                    <o:lock v:ext="edit" aspectratio="f"/>
                  </v:rect>
                  <v:rect id="_x0000_s2366" o:spid="_x0000_s2366" o:spt="1" style="position:absolute;left:9092;top:330293;height:559;width:1233;" fillcolor="#FFFFFF" filled="t" stroked="t" coordsize="21600,21600">
                    <v:path/>
                    <v:fill on="t" color2="#FFFFFF" focussize="0,0"/>
                    <v:stroke joinstyle="miter"/>
                    <v:imagedata o:title=""/>
                    <o:lock v:ext="edit" aspectratio="f"/>
                    <v:textbox>
                      <w:txbxContent>
                        <w:p>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t>拉丝</w:t>
                          </w:r>
                        </w:p>
                      </w:txbxContent>
                    </v:textbox>
                  </v:rect>
                  <v:rect id="_x0000_s2367" o:spid="_x0000_s2367" o:spt="1" style="position:absolute;left:10802;top:330295;height:559;width:1233;" fillcolor="#FFFFFF" filled="t" stroked="t" coordsize="21600,21600">
                    <v:path/>
                    <v:fill on="t" color2="#FFFFFF" focussize="0,0"/>
                    <v:stroke joinstyle="miter"/>
                    <v:imagedata o:title=""/>
                    <o:lock v:ext="edit" aspectratio="f"/>
                    <v:textbox>
                      <w:txbxContent>
                        <w:p>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t>制</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钉</w:t>
                          </w:r>
                        </w:p>
                      </w:txbxContent>
                    </v:textbox>
                  </v:rect>
                  <v:rect id="_x0000_s2368" o:spid="_x0000_s2368" o:spt="1" style="position:absolute;left:12507;top:330283;height:559;width:1233;" fillcolor="#FFFFFF" filled="t" stroked="t" coordsize="21600,21600">
                    <v:path/>
                    <v:fill on="t" color2="#FFFFFF" focussize="0,0"/>
                    <v:stroke joinstyle="miter"/>
                    <v:imagedata o:title=""/>
                    <o:lock v:ext="edit" aspectratio="f"/>
                    <v:textbox>
                      <w:txbxContent>
                        <w:p>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t>抛</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光</w:t>
                          </w:r>
                        </w:p>
                      </w:txbxContent>
                    </v:textbox>
                  </v:rect>
                  <v:rect id="_x0000_s2369" o:spid="_x0000_s2369" o:spt="1" style="position:absolute;left:14249;top:330286;height:559;width:1233;" fillcolor="#FFFFFF" filled="t" stroked="t" coordsize="21600,21600">
                    <v:path/>
                    <v:fill on="t" color2="#FFFFFF" focussize="0,0"/>
                    <v:stroke joinstyle="miter"/>
                    <v:imagedata o:title=""/>
                    <o:lock v:ext="edit" aspectratio="f"/>
                    <v:textbox>
                      <w:txbxContent>
                        <w:p>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t>成</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品</w:t>
                          </w:r>
                        </w:p>
                      </w:txbxContent>
                    </v:textbox>
                  </v:rect>
                  <v:rect id="_x0000_s2370" o:spid="_x0000_s2370" o:spt="1" style="position:absolute;left:7258;top:330279;height:559;width:1305;" fillcolor="#FFFFFF" filled="t" stroked="t" coordsize="21600,21600">
                    <v:path/>
                    <v:fill on="t" color2="#FFFFFF" focussize="0,0"/>
                    <v:stroke joinstyle="miter"/>
                    <v:imagedata o:title=""/>
                    <o:lock v:ext="edit" aspectratio="f"/>
                    <v:textbox>
                      <w:txbxContent>
                        <w:p>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t>盘</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圆</w:t>
                          </w:r>
                        </w:p>
                      </w:txbxContent>
                    </v:textbox>
                  </v:rect>
                  <v:line id="_x0000_s2371" o:spid="_x0000_s2371" o:spt="20" style="position:absolute;left:9734;top:330814;height:522;width:1;" filled="f" stroked="t" coordsize="21600,21600">
                    <v:path arrowok="t"/>
                    <v:fill on="f" focussize="0,0"/>
                    <v:stroke dashstyle="dash" endarrow="open"/>
                    <v:imagedata o:title=""/>
                    <o:lock v:ext="edit" aspectratio="f"/>
                  </v:line>
                  <v:line id="_x0000_s2372" o:spid="_x0000_s2372" o:spt="20" style="position:absolute;left:10341;top:330548;height:1;width:488;" filled="f" stroked="t" coordsize="21600,21600">
                    <v:path arrowok="t"/>
                    <v:fill on="f" focussize="0,0"/>
                    <v:stroke endarrow="open"/>
                    <v:imagedata o:title=""/>
                    <o:lock v:ext="edit" aspectratio="f"/>
                  </v:line>
                  <v:line id="_x0000_s2373" o:spid="_x0000_s2373" o:spt="20" style="position:absolute;left:11421;top:330850;height:522;width:1;" filled="f" stroked="t" coordsize="21600,21600">
                    <v:path arrowok="t"/>
                    <v:fill on="f" focussize="0,0"/>
                    <v:stroke dashstyle="dash" endarrow="open"/>
                    <v:imagedata o:title=""/>
                    <o:lock v:ext="edit" aspectratio="f"/>
                  </v:line>
                  <v:line id="_x0000_s2374" o:spid="_x0000_s2374" o:spt="20" style="position:absolute;left:12039;top:330584;height:1;width:488;" filled="f" stroked="t" coordsize="21600,21600">
                    <v:path arrowok="t"/>
                    <v:fill on="f" focussize="0,0"/>
                    <v:stroke endarrow="open"/>
                    <v:imagedata o:title=""/>
                    <o:lock v:ext="edit" aspectratio="f"/>
                  </v:line>
                  <v:line id="_x0000_s2375" o:spid="_x0000_s2375" o:spt="20" style="position:absolute;left:13134;top:330814;height:522;width:1;" filled="f" stroked="t" coordsize="21600,21600">
                    <v:path arrowok="t"/>
                    <v:fill on="f" focussize="0,0"/>
                    <v:stroke dashstyle="dash" endarrow="open"/>
                    <v:imagedata o:title=""/>
                    <o:lock v:ext="edit" aspectratio="f"/>
                  </v:line>
                  <v:line id="_x0000_s2376" o:spid="_x0000_s2376" o:spt="20" style="position:absolute;left:13768;top:330528;height:1;width:488;" filled="f" stroked="t" coordsize="21600,21600">
                    <v:path arrowok="t"/>
                    <v:fill on="f" focussize="0,0"/>
                    <v:stroke endarrow="open"/>
                    <v:imagedata o:title=""/>
                    <o:lock v:ext="edit" aspectratio="f"/>
                  </v:line>
                  <v:line id="_x0000_s2377" o:spid="_x0000_s2377" o:spt="20" style="position:absolute;left:8568;top:330536;height:1;width:488;" filled="f" stroked="t" coordsize="21600,21600">
                    <v:path arrowok="t"/>
                    <v:fill on="f" focussize="0,0"/>
                    <v:stroke endarrow="open"/>
                    <v:imagedata o:title=""/>
                    <o:lock v:ext="edit" aspectratio="f"/>
                  </v:line>
                  <v:rect id="_x0000_s2378" o:spid="_x0000_s2378" o:spt="1" style="position:absolute;left:9320;top:331209;height:559;width:840;" filled="f" stroked="f" coordsize="21600,21600">
                    <v:path/>
                    <v:fill on="f" focussize="0,0"/>
                    <v:stroke on="f"/>
                    <v:imagedata o:title=""/>
                    <o:lock v:ext="edit" aspectratio="f"/>
                    <v:textbox>
                      <w:txbxContent>
                        <w:p>
                          <w:pPr>
                            <w:jc w:val="cente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固废</w:t>
                          </w:r>
                        </w:p>
                      </w:txbxContent>
                    </v:textbox>
                  </v:rect>
                  <v:rect id="_x0000_s2379" o:spid="_x0000_s2379" o:spt="1" style="position:absolute;left:10995;top:331292;height:559;width:840;" filled="f" stroked="f" coordsize="21600,21600">
                    <v:path/>
                    <v:fill on="f" focussize="0,0"/>
                    <v:stroke on="f"/>
                    <v:imagedata o:title=""/>
                    <o:lock v:ext="edit" aspectratio="f"/>
                    <v:textbox>
                      <w:txbxContent>
                        <w:p>
                          <w:pPr>
                            <w:jc w:val="cente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固废</w:t>
                          </w:r>
                        </w:p>
                      </w:txbxContent>
                    </v:textbox>
                  </v:rect>
                  <v:rect id="_x0000_s2380" o:spid="_x0000_s2380" o:spt="1" style="position:absolute;left:12710;top:331197;height:559;width:840;" filled="f" stroked="f" coordsize="21600,21600">
                    <v:path/>
                    <v:fill on="f" focussize="0,0"/>
                    <v:stroke on="f"/>
                    <v:imagedata o:title=""/>
                    <o:lock v:ext="edit" aspectratio="f"/>
                    <v:textbox>
                      <w:txbxContent>
                        <w:p>
                          <w:pPr>
                            <w:jc w:val="cente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固废</w:t>
                          </w:r>
                        </w:p>
                      </w:txbxContent>
                    </v:textbox>
                  </v:rect>
                </v:group>
              </w:pict>
            </w:r>
          </w:p>
          <w:p>
            <w:pPr>
              <w:spacing w:line="480" w:lineRule="exact"/>
              <w:ind w:firstLine="480" w:firstLineChars="200"/>
              <w:rPr>
                <w:color w:val="000000"/>
                <w:sz w:val="24"/>
              </w:rPr>
            </w:pPr>
          </w:p>
          <w:p>
            <w:pPr>
              <w:spacing w:line="480" w:lineRule="exact"/>
              <w:ind w:firstLine="480" w:firstLineChars="200"/>
              <w:rPr>
                <w:color w:val="000000"/>
                <w:sz w:val="24"/>
              </w:rPr>
            </w:pPr>
          </w:p>
          <w:p>
            <w:pPr>
              <w:spacing w:line="480" w:lineRule="exact"/>
              <w:ind w:firstLine="480" w:firstLineChars="200"/>
              <w:rPr>
                <w:color w:val="000000"/>
                <w:sz w:val="24"/>
              </w:rPr>
            </w:pPr>
          </w:p>
          <w:p>
            <w:pPr>
              <w:spacing w:line="480" w:lineRule="exact"/>
              <w:ind w:firstLine="480" w:firstLineChars="200"/>
              <w:rPr>
                <w:color w:val="000000"/>
                <w:sz w:val="24"/>
              </w:rPr>
            </w:pPr>
          </w:p>
          <w:p>
            <w:pPr>
              <w:spacing w:line="480" w:lineRule="exact"/>
              <w:ind w:firstLine="480" w:firstLineChars="200"/>
              <w:rPr>
                <w:color w:val="000000"/>
                <w:sz w:val="24"/>
              </w:rPr>
            </w:pPr>
          </w:p>
          <w:p>
            <w:pPr>
              <w:spacing w:afterLines="100" w:line="480" w:lineRule="exact"/>
              <w:ind w:firstLine="2168" w:firstLineChars="900"/>
              <w:rPr>
                <w:b/>
                <w:bCs/>
                <w:color w:val="000000"/>
                <w:sz w:val="24"/>
              </w:rPr>
            </w:pPr>
            <w:r>
              <w:rPr>
                <w:b/>
                <w:bCs/>
                <w:color w:val="000000"/>
                <w:sz w:val="24"/>
              </w:rPr>
              <w:t>图</w:t>
            </w:r>
            <w:r>
              <w:rPr>
                <w:rFonts w:hint="eastAsia"/>
                <w:b/>
                <w:bCs/>
                <w:color w:val="000000"/>
                <w:sz w:val="24"/>
              </w:rPr>
              <w:t>4</w:t>
            </w:r>
            <w:r>
              <w:rPr>
                <w:b/>
                <w:bCs/>
                <w:color w:val="000000"/>
                <w:sz w:val="24"/>
              </w:rPr>
              <w:t xml:space="preserve">    工艺流程及产污环节示意图</w:t>
            </w:r>
          </w:p>
          <w:p>
            <w:pPr>
              <w:spacing w:line="460" w:lineRule="exact"/>
              <w:ind w:firstLine="482" w:firstLineChars="200"/>
              <w:rPr>
                <w:b/>
                <w:bCs/>
                <w:color w:val="000000"/>
                <w:sz w:val="24"/>
              </w:rPr>
            </w:pPr>
            <w:r>
              <w:rPr>
                <w:b/>
                <w:bCs/>
                <w:color w:val="000000"/>
                <w:sz w:val="24"/>
              </w:rPr>
              <w:t>工艺流程简述：</w:t>
            </w:r>
          </w:p>
          <w:p>
            <w:pPr>
              <w:spacing w:line="460" w:lineRule="exact"/>
              <w:ind w:firstLine="482" w:firstLineChars="200"/>
              <w:rPr>
                <w:color w:val="000000"/>
                <w:sz w:val="24"/>
              </w:rPr>
            </w:pPr>
            <w:r>
              <w:rPr>
                <w:rFonts w:hint="eastAsia"/>
                <w:b/>
                <w:bCs/>
                <w:color w:val="000000"/>
                <w:sz w:val="24"/>
              </w:rPr>
              <w:t>拉丝</w:t>
            </w:r>
            <w:r>
              <w:rPr>
                <w:b/>
                <w:bCs/>
                <w:color w:val="000000"/>
                <w:sz w:val="24"/>
              </w:rPr>
              <w:t>工序：</w:t>
            </w:r>
            <w:r>
              <w:rPr>
                <w:color w:val="000000"/>
                <w:sz w:val="24"/>
              </w:rPr>
              <w:t>根据客户的需求，将外购的铁丝（冷拔丝）（Φ6.5mm）在拔丝机上拔丝至所需规格（Φ2.2mm-4.0mm）。拔丝机组流程为：先将冷拔丝穿过拉拔模孔，再在拔丝机上拔丝</w:t>
            </w:r>
            <w:r>
              <w:rPr>
                <w:rFonts w:hint="eastAsia"/>
                <w:color w:val="000000"/>
                <w:sz w:val="24"/>
              </w:rPr>
              <w:t>（先干拔再湿拔）</w:t>
            </w:r>
            <w:r>
              <w:rPr>
                <w:color w:val="000000"/>
                <w:sz w:val="24"/>
              </w:rPr>
              <w:t>，根据客户需求调整拔丝机的目数反复拔丝，直到合格目数。在拔丝工序用拔丝粉作为润滑剂，拔丝粉粉盒下侧设收集装置，循环利用。另外在拔丝机下方应设置收集槽，用于收集拔丝过程产生的废氧化铁屑。冷拔丝工段会产生废氧化铁屑、废铁丝，同时有一定噪声产生。</w:t>
            </w:r>
          </w:p>
          <w:p>
            <w:pPr>
              <w:spacing w:line="460" w:lineRule="exact"/>
              <w:ind w:firstLine="482" w:firstLineChars="200"/>
              <w:rPr>
                <w:color w:val="000000"/>
                <w:sz w:val="24"/>
              </w:rPr>
            </w:pPr>
            <w:r>
              <w:rPr>
                <w:b/>
                <w:bCs/>
                <w:color w:val="000000"/>
                <w:sz w:val="24"/>
              </w:rPr>
              <w:t>制钉工序：</w:t>
            </w:r>
            <w:r>
              <w:rPr>
                <w:color w:val="000000"/>
                <w:sz w:val="24"/>
              </w:rPr>
              <w:t>将铁丝穿入制钉机，制钉机开始制钉，其主要工艺过程： ① 校直钢丝。并按节拍要求间歇地输送到装夹工位。</w:t>
            </w:r>
            <w:r>
              <w:rPr>
                <w:color w:val="000000"/>
                <w:sz w:val="24"/>
              </w:rPr>
              <w:fldChar w:fldCharType="begin"/>
            </w:r>
            <w:r>
              <w:rPr>
                <w:color w:val="000000"/>
                <w:sz w:val="24"/>
              </w:rPr>
              <w:instrText xml:space="preserve"> = 2 \* GB3 \* MERGEFORMAT </w:instrText>
            </w:r>
            <w:r>
              <w:rPr>
                <w:color w:val="000000"/>
                <w:sz w:val="24"/>
              </w:rPr>
              <w:fldChar w:fldCharType="separate"/>
            </w:r>
            <w:r>
              <w:rPr>
                <w:color w:val="000000"/>
                <w:sz w:val="24"/>
              </w:rPr>
              <w:t>②</w:t>
            </w:r>
            <w:r>
              <w:rPr>
                <w:color w:val="000000"/>
                <w:sz w:val="24"/>
              </w:rPr>
              <w:fldChar w:fldCharType="end"/>
            </w:r>
            <w:r>
              <w:rPr>
                <w:color w:val="000000"/>
                <w:sz w:val="24"/>
              </w:rPr>
              <w:t>冷镦钉帽，在此前夹紧钢丝。 </w:t>
            </w:r>
            <w:r>
              <w:rPr>
                <w:color w:val="000000"/>
                <w:sz w:val="24"/>
              </w:rPr>
              <w:fldChar w:fldCharType="begin"/>
            </w:r>
            <w:r>
              <w:rPr>
                <w:color w:val="000000"/>
                <w:sz w:val="24"/>
              </w:rPr>
              <w:instrText xml:space="preserve"> = 3 \* GB3 \* MERGEFORMAT </w:instrText>
            </w:r>
            <w:r>
              <w:rPr>
                <w:color w:val="000000"/>
                <w:sz w:val="24"/>
              </w:rPr>
              <w:fldChar w:fldCharType="separate"/>
            </w:r>
            <w:r>
              <w:rPr>
                <w:color w:val="000000"/>
                <w:sz w:val="24"/>
              </w:rPr>
              <w:t>③</w:t>
            </w:r>
            <w:r>
              <w:rPr>
                <w:color w:val="000000"/>
                <w:sz w:val="24"/>
              </w:rPr>
              <w:fldChar w:fldCharType="end"/>
            </w:r>
            <w:r>
              <w:rPr>
                <w:color w:val="000000"/>
                <w:sz w:val="24"/>
              </w:rPr>
              <w:t>冷挤钉尖。 </w:t>
            </w:r>
            <w:r>
              <w:rPr>
                <w:color w:val="000000"/>
                <w:sz w:val="24"/>
              </w:rPr>
              <w:fldChar w:fldCharType="begin"/>
            </w:r>
            <w:r>
              <w:rPr>
                <w:color w:val="000000"/>
                <w:sz w:val="24"/>
              </w:rPr>
              <w:instrText xml:space="preserve"> = 4 \* GB3 \* MERGEFORMAT </w:instrText>
            </w:r>
            <w:r>
              <w:rPr>
                <w:color w:val="000000"/>
                <w:sz w:val="24"/>
              </w:rPr>
              <w:fldChar w:fldCharType="separate"/>
            </w:r>
            <w:r>
              <w:rPr>
                <w:color w:val="000000"/>
                <w:sz w:val="24"/>
              </w:rPr>
              <w:t>④</w:t>
            </w:r>
            <w:r>
              <w:rPr>
                <w:color w:val="000000"/>
                <w:sz w:val="24"/>
              </w:rPr>
              <w:fldChar w:fldCharType="end"/>
            </w:r>
            <w:r>
              <w:rPr>
                <w:color w:val="000000"/>
                <w:sz w:val="24"/>
              </w:rPr>
              <w:t>剪断钢丝。 送丝机构重新送丝，工序重复，实现自动制钉的目的。制钉工段产生废铁丝、废</w:t>
            </w:r>
            <w:r>
              <w:rPr>
                <w:rFonts w:hint="eastAsia"/>
                <w:color w:val="000000"/>
                <w:sz w:val="24"/>
              </w:rPr>
              <w:t>铁钉</w:t>
            </w:r>
            <w:r>
              <w:rPr>
                <w:color w:val="000000"/>
                <w:sz w:val="24"/>
              </w:rPr>
              <w:t>等边角废料，同时有一定噪声产生。</w:t>
            </w:r>
          </w:p>
          <w:p>
            <w:pPr>
              <w:pStyle w:val="122"/>
              <w:adjustRightInd w:val="0"/>
              <w:snapToGrid w:val="0"/>
              <w:spacing w:line="440" w:lineRule="exact"/>
              <w:ind w:firstLine="482"/>
              <w:rPr>
                <w:color w:val="000000"/>
                <w:kern w:val="0"/>
                <w:sz w:val="24"/>
              </w:rPr>
            </w:pPr>
            <w:r>
              <w:rPr>
                <w:b/>
                <w:bCs/>
                <w:color w:val="000000"/>
                <w:sz w:val="24"/>
              </w:rPr>
              <w:t>抛光工序：</w:t>
            </w:r>
            <w:r>
              <w:rPr>
                <w:color w:val="000000"/>
                <w:sz w:val="24"/>
              </w:rPr>
              <w:t>制好的</w:t>
            </w:r>
            <w:r>
              <w:rPr>
                <w:rFonts w:hint="eastAsia"/>
                <w:color w:val="000000"/>
                <w:sz w:val="24"/>
              </w:rPr>
              <w:t>铁钉</w:t>
            </w:r>
            <w:r>
              <w:rPr>
                <w:color w:val="000000"/>
                <w:sz w:val="24"/>
              </w:rPr>
              <w:t>在滚筒抛光机内进行抛光（</w:t>
            </w:r>
            <w:r>
              <w:rPr>
                <w:rFonts w:hint="eastAsia"/>
                <w:color w:val="000000"/>
                <w:sz w:val="24"/>
              </w:rPr>
              <w:t>铁钉</w:t>
            </w:r>
            <w:r>
              <w:rPr>
                <w:color w:val="000000"/>
                <w:sz w:val="24"/>
              </w:rPr>
              <w:t>与锯末混合摩擦使</w:t>
            </w:r>
            <w:r>
              <w:rPr>
                <w:rFonts w:hint="eastAsia"/>
                <w:color w:val="000000"/>
                <w:sz w:val="24"/>
              </w:rPr>
              <w:t>铁钉</w:t>
            </w:r>
            <w:r>
              <w:rPr>
                <w:color w:val="000000"/>
                <w:sz w:val="24"/>
              </w:rPr>
              <w:t>表面光滑明亮），抛光后的</w:t>
            </w:r>
            <w:r>
              <w:rPr>
                <w:rFonts w:hint="eastAsia"/>
                <w:color w:val="000000"/>
                <w:sz w:val="24"/>
              </w:rPr>
              <w:t>铁钉</w:t>
            </w:r>
            <w:r>
              <w:rPr>
                <w:color w:val="000000"/>
                <w:sz w:val="24"/>
              </w:rPr>
              <w:t>即为成品。抛光工段有一定量的粉尘产生，同时有一定噪声产生</w:t>
            </w:r>
            <w:r>
              <w:rPr>
                <w:rFonts w:hint="eastAsia"/>
                <w:color w:val="000000"/>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097" w:type="dxa"/>
            <w:tcBorders>
              <w:bottom w:val="single" w:color="auto" w:sz="6" w:space="0"/>
            </w:tcBorders>
          </w:tcPr>
          <w:p>
            <w:pPr>
              <w:pStyle w:val="85"/>
              <w:spacing w:line="440" w:lineRule="exact"/>
              <w:ind w:firstLine="482" w:firstLineChars="200"/>
              <w:rPr>
                <w:b/>
                <w:bCs/>
                <w:sz w:val="24"/>
              </w:rPr>
            </w:pPr>
            <w:r>
              <w:rPr>
                <w:b/>
                <w:bCs/>
                <w:sz w:val="24"/>
              </w:rPr>
              <w:t>主要污染工序：</w:t>
            </w:r>
          </w:p>
          <w:p>
            <w:pPr>
              <w:pStyle w:val="85"/>
              <w:spacing w:line="440" w:lineRule="exact"/>
              <w:ind w:firstLine="480" w:firstLineChars="200"/>
              <w:rPr>
                <w:rFonts w:ascii="Times New Roman" w:hAnsi="Times New Roman"/>
                <w:sz w:val="24"/>
              </w:rPr>
            </w:pPr>
            <w:r>
              <w:rPr>
                <w:rFonts w:hint="eastAsia" w:ascii="Times New Roman" w:hAnsi="Times New Roman"/>
                <w:sz w:val="24"/>
                <w:lang w:eastAsia="zh-CN"/>
              </w:rPr>
              <w:t>本</w:t>
            </w:r>
            <w:r>
              <w:rPr>
                <w:rFonts w:ascii="Times New Roman" w:hAnsi="Times New Roman"/>
                <w:sz w:val="24"/>
              </w:rPr>
              <w:t>项目营运期产污环节见</w:t>
            </w:r>
            <w:r>
              <w:rPr>
                <w:rFonts w:hint="eastAsia" w:ascii="Times New Roman" w:hAnsi="Times New Roman"/>
                <w:sz w:val="24"/>
              </w:rPr>
              <w:t>下</w:t>
            </w:r>
            <w:r>
              <w:rPr>
                <w:rFonts w:ascii="Times New Roman" w:hAnsi="Times New Roman"/>
                <w:sz w:val="24"/>
              </w:rPr>
              <w:t>表：</w:t>
            </w:r>
          </w:p>
          <w:p>
            <w:pPr>
              <w:spacing w:line="440" w:lineRule="exact"/>
              <w:ind w:firstLine="420" w:firstLineChars="200"/>
            </w:pPr>
          </w:p>
          <w:p>
            <w:pPr>
              <w:spacing w:line="440" w:lineRule="exact"/>
              <w:ind w:firstLine="420" w:firstLineChars="200"/>
            </w:pPr>
          </w:p>
          <w:p>
            <w:pPr>
              <w:spacing w:line="440" w:lineRule="exact"/>
              <w:ind w:firstLine="480" w:firstLineChars="200"/>
              <w:rPr>
                <w:rFonts w:eastAsia="黑体"/>
                <w:color w:val="000000"/>
                <w:sz w:val="24"/>
              </w:rPr>
            </w:pPr>
          </w:p>
          <w:p>
            <w:pPr>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23</w:t>
            </w:r>
            <w:r>
              <w:rPr>
                <w:rFonts w:eastAsia="黑体"/>
                <w:color w:val="000000"/>
                <w:sz w:val="24"/>
              </w:rPr>
              <w:t xml:space="preserve">                 产污环节一览表</w:t>
            </w:r>
          </w:p>
          <w:tbl>
            <w:tblPr>
              <w:tblStyle w:val="24"/>
              <w:tblW w:w="4931"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2144"/>
              <w:gridCol w:w="1377"/>
              <w:gridCol w:w="431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04" w:type="pct"/>
                  <w:tcBorders>
                    <w:bottom w:val="single" w:color="auto" w:sz="8" w:space="0"/>
                  </w:tcBorders>
                  <w:vAlign w:val="center"/>
                </w:tcPr>
                <w:p>
                  <w:pPr>
                    <w:adjustRightInd w:val="0"/>
                    <w:snapToGrid w:val="0"/>
                    <w:jc w:val="center"/>
                    <w:textAlignment w:val="baseline"/>
                    <w:rPr>
                      <w:b/>
                      <w:bCs/>
                      <w:szCs w:val="21"/>
                    </w:rPr>
                  </w:pPr>
                  <w:r>
                    <w:rPr>
                      <w:b/>
                      <w:bCs/>
                      <w:szCs w:val="21"/>
                    </w:rPr>
                    <w:t>污染因素</w:t>
                  </w:r>
                </w:p>
              </w:tc>
              <w:tc>
                <w:tcPr>
                  <w:tcW w:w="1202" w:type="pct"/>
                  <w:tcBorders>
                    <w:bottom w:val="single" w:color="auto" w:sz="8" w:space="0"/>
                  </w:tcBorders>
                  <w:vAlign w:val="center"/>
                </w:tcPr>
                <w:p>
                  <w:pPr>
                    <w:adjustRightInd w:val="0"/>
                    <w:snapToGrid w:val="0"/>
                    <w:jc w:val="center"/>
                    <w:textAlignment w:val="baseline"/>
                    <w:rPr>
                      <w:b/>
                      <w:bCs/>
                      <w:szCs w:val="21"/>
                    </w:rPr>
                  </w:pPr>
                  <w:r>
                    <w:rPr>
                      <w:b/>
                      <w:bCs/>
                      <w:szCs w:val="21"/>
                    </w:rPr>
                    <w:t>产污环节</w:t>
                  </w:r>
                </w:p>
              </w:tc>
              <w:tc>
                <w:tcPr>
                  <w:tcW w:w="772" w:type="pct"/>
                  <w:tcBorders>
                    <w:bottom w:val="single" w:color="auto" w:sz="8" w:space="0"/>
                  </w:tcBorders>
                  <w:vAlign w:val="center"/>
                </w:tcPr>
                <w:p>
                  <w:pPr>
                    <w:adjustRightInd w:val="0"/>
                    <w:snapToGrid w:val="0"/>
                    <w:jc w:val="center"/>
                    <w:textAlignment w:val="baseline"/>
                    <w:rPr>
                      <w:b/>
                      <w:bCs/>
                      <w:szCs w:val="21"/>
                    </w:rPr>
                  </w:pPr>
                  <w:r>
                    <w:rPr>
                      <w:b/>
                      <w:bCs/>
                      <w:szCs w:val="21"/>
                    </w:rPr>
                    <w:t>污染物</w:t>
                  </w:r>
                </w:p>
              </w:tc>
              <w:tc>
                <w:tcPr>
                  <w:tcW w:w="2420" w:type="pct"/>
                  <w:tcBorders>
                    <w:bottom w:val="single" w:color="auto" w:sz="8" w:space="0"/>
                  </w:tcBorders>
                  <w:vAlign w:val="center"/>
                </w:tcPr>
                <w:p>
                  <w:pPr>
                    <w:adjustRightInd w:val="0"/>
                    <w:snapToGrid w:val="0"/>
                    <w:jc w:val="center"/>
                    <w:textAlignment w:val="baseline"/>
                    <w:rPr>
                      <w:b/>
                      <w:bCs/>
                      <w:szCs w:val="21"/>
                    </w:rPr>
                  </w:pPr>
                  <w:r>
                    <w:rPr>
                      <w:b/>
                      <w:bCs/>
                      <w:szCs w:val="21"/>
                    </w:rPr>
                    <w:t>防治措施</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604" w:type="pct"/>
                  <w:vMerge w:val="restart"/>
                  <w:tcBorders>
                    <w:top w:val="single" w:color="auto" w:sz="8" w:space="0"/>
                  </w:tcBorders>
                  <w:vAlign w:val="center"/>
                </w:tcPr>
                <w:p>
                  <w:pPr>
                    <w:adjustRightInd w:val="0"/>
                    <w:snapToGrid w:val="0"/>
                    <w:jc w:val="center"/>
                    <w:textAlignment w:val="baseline"/>
                    <w:rPr>
                      <w:szCs w:val="21"/>
                    </w:rPr>
                  </w:pPr>
                  <w:r>
                    <w:rPr>
                      <w:szCs w:val="21"/>
                    </w:rPr>
                    <w:t>废气</w:t>
                  </w:r>
                </w:p>
              </w:tc>
              <w:tc>
                <w:tcPr>
                  <w:tcW w:w="1202" w:type="pct"/>
                  <w:tcBorders>
                    <w:top w:val="single" w:color="auto" w:sz="8" w:space="0"/>
                  </w:tcBorders>
                  <w:vAlign w:val="center"/>
                </w:tcPr>
                <w:p>
                  <w:pPr>
                    <w:adjustRightInd w:val="0"/>
                    <w:snapToGrid w:val="0"/>
                    <w:jc w:val="center"/>
                    <w:textAlignment w:val="baseline"/>
                    <w:rPr>
                      <w:szCs w:val="21"/>
                    </w:rPr>
                  </w:pPr>
                  <w:r>
                    <w:rPr>
                      <w:szCs w:val="21"/>
                    </w:rPr>
                    <w:t>抛光</w:t>
                  </w:r>
                  <w:r>
                    <w:rPr>
                      <w:rFonts w:hint="eastAsia"/>
                      <w:szCs w:val="21"/>
                    </w:rPr>
                    <w:t>工序（有组织）</w:t>
                  </w:r>
                </w:p>
              </w:tc>
              <w:tc>
                <w:tcPr>
                  <w:tcW w:w="772" w:type="pct"/>
                  <w:tcBorders>
                    <w:top w:val="single" w:color="auto" w:sz="8" w:space="0"/>
                  </w:tcBorders>
                  <w:vAlign w:val="center"/>
                </w:tcPr>
                <w:p>
                  <w:pPr>
                    <w:adjustRightInd w:val="0"/>
                    <w:snapToGrid w:val="0"/>
                    <w:jc w:val="center"/>
                    <w:textAlignment w:val="baseline"/>
                    <w:rPr>
                      <w:szCs w:val="21"/>
                    </w:rPr>
                  </w:pPr>
                  <w:r>
                    <w:rPr>
                      <w:szCs w:val="21"/>
                    </w:rPr>
                    <w:t>粉尘</w:t>
                  </w:r>
                </w:p>
              </w:tc>
              <w:tc>
                <w:tcPr>
                  <w:tcW w:w="2420" w:type="pct"/>
                  <w:tcBorders>
                    <w:top w:val="single" w:color="auto" w:sz="8" w:space="0"/>
                  </w:tcBorders>
                  <w:vAlign w:val="center"/>
                </w:tcPr>
                <w:p>
                  <w:pPr>
                    <w:adjustRightInd w:val="0"/>
                    <w:snapToGrid w:val="0"/>
                    <w:textAlignment w:val="baseline"/>
                    <w:rPr>
                      <w:szCs w:val="21"/>
                    </w:rPr>
                  </w:pPr>
                  <w:r>
                    <w:rPr>
                      <w:szCs w:val="21"/>
                    </w:rPr>
                    <w:t>抛光机生产过程中产生的粉尘经集气罩收集后</w:t>
                  </w:r>
                  <w:r>
                    <w:rPr>
                      <w:rFonts w:hint="eastAsia"/>
                      <w:szCs w:val="21"/>
                    </w:rPr>
                    <w:t>经</w:t>
                  </w:r>
                  <w:r>
                    <w:rPr>
                      <w:szCs w:val="21"/>
                    </w:rPr>
                    <w:t>1</w:t>
                  </w:r>
                  <w:r>
                    <w:rPr>
                      <w:rFonts w:hint="eastAsia"/>
                      <w:szCs w:val="21"/>
                    </w:rPr>
                    <w:t>台</w:t>
                  </w:r>
                  <w:r>
                    <w:rPr>
                      <w:szCs w:val="21"/>
                    </w:rPr>
                    <w:t>袋式除尘器治理，尾气经15m排气筒排放</w:t>
                  </w:r>
                  <w:r>
                    <w:rPr>
                      <w:rFonts w:hint="eastAsia"/>
                      <w:szCs w:val="21"/>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04" w:type="pct"/>
                  <w:vMerge w:val="continue"/>
                  <w:vAlign w:val="center"/>
                </w:tcPr>
                <w:p>
                  <w:pPr>
                    <w:adjustRightInd w:val="0"/>
                    <w:snapToGrid w:val="0"/>
                    <w:jc w:val="center"/>
                    <w:textAlignment w:val="baseline"/>
                    <w:rPr>
                      <w:szCs w:val="21"/>
                    </w:rPr>
                  </w:pPr>
                </w:p>
              </w:tc>
              <w:tc>
                <w:tcPr>
                  <w:tcW w:w="1202" w:type="pct"/>
                  <w:vAlign w:val="center"/>
                </w:tcPr>
                <w:p>
                  <w:pPr>
                    <w:adjustRightInd w:val="0"/>
                    <w:snapToGrid w:val="0"/>
                    <w:jc w:val="center"/>
                    <w:textAlignment w:val="baseline"/>
                    <w:rPr>
                      <w:szCs w:val="21"/>
                    </w:rPr>
                  </w:pPr>
                  <w:r>
                    <w:rPr>
                      <w:szCs w:val="21"/>
                    </w:rPr>
                    <w:t>抛光</w:t>
                  </w:r>
                  <w:r>
                    <w:rPr>
                      <w:rFonts w:hint="eastAsia"/>
                      <w:szCs w:val="21"/>
                    </w:rPr>
                    <w:t>工序（无组织）</w:t>
                  </w:r>
                </w:p>
              </w:tc>
              <w:tc>
                <w:tcPr>
                  <w:tcW w:w="772" w:type="pct"/>
                  <w:vAlign w:val="center"/>
                </w:tcPr>
                <w:p>
                  <w:pPr>
                    <w:adjustRightInd w:val="0"/>
                    <w:snapToGrid w:val="0"/>
                    <w:jc w:val="center"/>
                    <w:textAlignment w:val="baseline"/>
                    <w:rPr>
                      <w:szCs w:val="21"/>
                    </w:rPr>
                  </w:pPr>
                  <w:r>
                    <w:rPr>
                      <w:rFonts w:hint="eastAsia"/>
                      <w:szCs w:val="21"/>
                    </w:rPr>
                    <w:t>粉尘</w:t>
                  </w:r>
                </w:p>
              </w:tc>
              <w:tc>
                <w:tcPr>
                  <w:tcW w:w="2420" w:type="pct"/>
                  <w:vAlign w:val="center"/>
                </w:tcPr>
                <w:p>
                  <w:pPr>
                    <w:adjustRightInd w:val="0"/>
                    <w:snapToGrid w:val="0"/>
                    <w:jc w:val="center"/>
                    <w:textAlignment w:val="baseline"/>
                    <w:rPr>
                      <w:szCs w:val="21"/>
                    </w:rPr>
                  </w:pPr>
                  <w:r>
                    <w:rPr>
                      <w:rFonts w:hint="eastAsia"/>
                      <w:szCs w:val="21"/>
                    </w:rPr>
                    <w:t>抛光车间进行密闭；</w:t>
                  </w:r>
                  <w:r>
                    <w:rPr>
                      <w:szCs w:val="21"/>
                    </w:rPr>
                    <w:t>加强车间内的地面清扫等措施减少粉尘排放；厂区道路应进行硬化，裸露土地全部绿化</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04" w:type="pct"/>
                  <w:vAlign w:val="center"/>
                </w:tcPr>
                <w:p>
                  <w:pPr>
                    <w:adjustRightInd w:val="0"/>
                    <w:snapToGrid w:val="0"/>
                    <w:jc w:val="center"/>
                    <w:textAlignment w:val="baseline"/>
                    <w:rPr>
                      <w:szCs w:val="21"/>
                    </w:rPr>
                  </w:pPr>
                  <w:r>
                    <w:rPr>
                      <w:szCs w:val="21"/>
                    </w:rPr>
                    <w:t>噪 声</w:t>
                  </w:r>
                </w:p>
              </w:tc>
              <w:tc>
                <w:tcPr>
                  <w:tcW w:w="1202" w:type="pct"/>
                  <w:vAlign w:val="center"/>
                </w:tcPr>
                <w:p>
                  <w:pPr>
                    <w:adjustRightInd w:val="0"/>
                    <w:snapToGrid w:val="0"/>
                    <w:jc w:val="center"/>
                    <w:textAlignment w:val="baseline"/>
                    <w:rPr>
                      <w:szCs w:val="21"/>
                    </w:rPr>
                  </w:pPr>
                  <w:r>
                    <w:rPr>
                      <w:rFonts w:hint="eastAsia"/>
                      <w:szCs w:val="21"/>
                    </w:rPr>
                    <w:t>拔丝机、制钉机、空压面、抛光机</w:t>
                  </w:r>
                  <w:r>
                    <w:rPr>
                      <w:szCs w:val="21"/>
                    </w:rPr>
                    <w:t>等</w:t>
                  </w:r>
                </w:p>
              </w:tc>
              <w:tc>
                <w:tcPr>
                  <w:tcW w:w="772" w:type="pct"/>
                  <w:vAlign w:val="center"/>
                </w:tcPr>
                <w:p>
                  <w:pPr>
                    <w:adjustRightInd w:val="0"/>
                    <w:snapToGrid w:val="0"/>
                    <w:jc w:val="center"/>
                    <w:textAlignment w:val="baseline"/>
                    <w:rPr>
                      <w:szCs w:val="21"/>
                    </w:rPr>
                  </w:pPr>
                  <w:r>
                    <w:rPr>
                      <w:szCs w:val="21"/>
                    </w:rPr>
                    <w:t>噪声</w:t>
                  </w:r>
                </w:p>
              </w:tc>
              <w:tc>
                <w:tcPr>
                  <w:tcW w:w="2420" w:type="pct"/>
                  <w:vAlign w:val="center"/>
                </w:tcPr>
                <w:p>
                  <w:pPr>
                    <w:adjustRightInd w:val="0"/>
                    <w:snapToGrid w:val="0"/>
                    <w:jc w:val="center"/>
                    <w:textAlignment w:val="baseline"/>
                    <w:rPr>
                      <w:szCs w:val="21"/>
                    </w:rPr>
                  </w:pPr>
                  <w:r>
                    <w:rPr>
                      <w:szCs w:val="21"/>
                    </w:rPr>
                    <w:t>密闭隔声、厂距衰减等</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04" w:type="pct"/>
                  <w:vMerge w:val="restart"/>
                  <w:vAlign w:val="center"/>
                </w:tcPr>
                <w:p>
                  <w:pPr>
                    <w:adjustRightInd w:val="0"/>
                    <w:snapToGrid w:val="0"/>
                    <w:jc w:val="center"/>
                    <w:textAlignment w:val="baseline"/>
                    <w:rPr>
                      <w:szCs w:val="21"/>
                    </w:rPr>
                  </w:pPr>
                  <w:r>
                    <w:rPr>
                      <w:szCs w:val="21"/>
                    </w:rPr>
                    <w:t>固废</w:t>
                  </w:r>
                </w:p>
              </w:tc>
              <w:tc>
                <w:tcPr>
                  <w:tcW w:w="1202" w:type="pct"/>
                  <w:vAlign w:val="center"/>
                </w:tcPr>
                <w:p>
                  <w:pPr>
                    <w:adjustRightInd w:val="0"/>
                    <w:snapToGrid w:val="0"/>
                    <w:jc w:val="center"/>
                    <w:textAlignment w:val="baseline"/>
                    <w:rPr>
                      <w:szCs w:val="21"/>
                    </w:rPr>
                  </w:pPr>
                  <w:r>
                    <w:rPr>
                      <w:rFonts w:hint="eastAsia"/>
                      <w:szCs w:val="21"/>
                    </w:rPr>
                    <w:t>拔丝、</w:t>
                  </w:r>
                  <w:r>
                    <w:rPr>
                      <w:szCs w:val="21"/>
                    </w:rPr>
                    <w:t>制钉</w:t>
                  </w:r>
                  <w:r>
                    <w:rPr>
                      <w:rFonts w:hint="eastAsia"/>
                      <w:szCs w:val="21"/>
                    </w:rPr>
                    <w:t>工序</w:t>
                  </w:r>
                </w:p>
              </w:tc>
              <w:tc>
                <w:tcPr>
                  <w:tcW w:w="772" w:type="pct"/>
                  <w:vAlign w:val="center"/>
                </w:tcPr>
                <w:p>
                  <w:pPr>
                    <w:adjustRightInd w:val="0"/>
                    <w:snapToGrid w:val="0"/>
                    <w:jc w:val="center"/>
                    <w:textAlignment w:val="baseline"/>
                    <w:rPr>
                      <w:szCs w:val="21"/>
                    </w:rPr>
                  </w:pPr>
                  <w:r>
                    <w:rPr>
                      <w:rFonts w:hint="eastAsia"/>
                      <w:szCs w:val="21"/>
                    </w:rPr>
                    <w:t>废铁丝、废铁钉、废氧化皮</w:t>
                  </w:r>
                </w:p>
              </w:tc>
              <w:tc>
                <w:tcPr>
                  <w:tcW w:w="2420" w:type="pct"/>
                  <w:vMerge w:val="restart"/>
                  <w:vAlign w:val="center"/>
                </w:tcPr>
                <w:p>
                  <w:pPr>
                    <w:adjustRightInd w:val="0"/>
                    <w:snapToGrid w:val="0"/>
                    <w:jc w:val="center"/>
                    <w:textAlignment w:val="baseline"/>
                    <w:rPr>
                      <w:szCs w:val="21"/>
                    </w:rPr>
                  </w:pPr>
                  <w:r>
                    <w:rPr>
                      <w:szCs w:val="21"/>
                    </w:rPr>
                    <w:t>收集后出售</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04" w:type="pct"/>
                  <w:vMerge w:val="continue"/>
                  <w:vAlign w:val="center"/>
                </w:tcPr>
                <w:p>
                  <w:pPr>
                    <w:adjustRightInd w:val="0"/>
                    <w:snapToGrid w:val="0"/>
                    <w:jc w:val="center"/>
                    <w:textAlignment w:val="baseline"/>
                    <w:rPr>
                      <w:szCs w:val="21"/>
                    </w:rPr>
                  </w:pPr>
                </w:p>
              </w:tc>
              <w:tc>
                <w:tcPr>
                  <w:tcW w:w="1202" w:type="pct"/>
                  <w:vAlign w:val="center"/>
                </w:tcPr>
                <w:p>
                  <w:pPr>
                    <w:adjustRightInd w:val="0"/>
                    <w:snapToGrid w:val="0"/>
                    <w:jc w:val="center"/>
                    <w:textAlignment w:val="baseline"/>
                    <w:rPr>
                      <w:szCs w:val="21"/>
                    </w:rPr>
                  </w:pPr>
                  <w:r>
                    <w:rPr>
                      <w:rFonts w:hint="eastAsia"/>
                      <w:szCs w:val="21"/>
                    </w:rPr>
                    <w:t>抛光工序</w:t>
                  </w:r>
                </w:p>
              </w:tc>
              <w:tc>
                <w:tcPr>
                  <w:tcW w:w="772" w:type="pct"/>
                  <w:vAlign w:val="center"/>
                </w:tcPr>
                <w:p>
                  <w:pPr>
                    <w:adjustRightInd w:val="0"/>
                    <w:snapToGrid w:val="0"/>
                    <w:jc w:val="center"/>
                    <w:textAlignment w:val="baseline"/>
                    <w:rPr>
                      <w:szCs w:val="21"/>
                    </w:rPr>
                  </w:pPr>
                  <w:r>
                    <w:rPr>
                      <w:rFonts w:hint="eastAsia"/>
                      <w:szCs w:val="21"/>
                    </w:rPr>
                    <w:t>废锯末</w:t>
                  </w:r>
                </w:p>
              </w:tc>
              <w:tc>
                <w:tcPr>
                  <w:tcW w:w="2420" w:type="pct"/>
                  <w:vMerge w:val="continue"/>
                  <w:vAlign w:val="center"/>
                </w:tcPr>
                <w:p>
                  <w:pPr>
                    <w:adjustRightInd w:val="0"/>
                    <w:snapToGrid w:val="0"/>
                    <w:jc w:val="center"/>
                    <w:textAlignment w:val="baseline"/>
                    <w:rPr>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04" w:type="pct"/>
                  <w:vMerge w:val="continue"/>
                  <w:vAlign w:val="center"/>
                </w:tcPr>
                <w:p>
                  <w:pPr>
                    <w:adjustRightInd w:val="0"/>
                    <w:snapToGrid w:val="0"/>
                    <w:jc w:val="center"/>
                    <w:textAlignment w:val="baseline"/>
                    <w:rPr>
                      <w:szCs w:val="21"/>
                    </w:rPr>
                  </w:pPr>
                </w:p>
              </w:tc>
              <w:tc>
                <w:tcPr>
                  <w:tcW w:w="1202" w:type="pct"/>
                  <w:vAlign w:val="center"/>
                </w:tcPr>
                <w:p>
                  <w:pPr>
                    <w:adjustRightInd w:val="0"/>
                    <w:snapToGrid w:val="0"/>
                    <w:jc w:val="center"/>
                    <w:textAlignment w:val="baseline"/>
                    <w:rPr>
                      <w:szCs w:val="21"/>
                    </w:rPr>
                  </w:pPr>
                  <w:r>
                    <w:rPr>
                      <w:rFonts w:hint="eastAsia"/>
                      <w:szCs w:val="21"/>
                    </w:rPr>
                    <w:t>湿拉工序</w:t>
                  </w:r>
                </w:p>
              </w:tc>
              <w:tc>
                <w:tcPr>
                  <w:tcW w:w="772" w:type="pct"/>
                  <w:vAlign w:val="center"/>
                </w:tcPr>
                <w:p>
                  <w:pPr>
                    <w:adjustRightInd w:val="0"/>
                    <w:snapToGrid w:val="0"/>
                    <w:jc w:val="center"/>
                    <w:textAlignment w:val="baseline"/>
                    <w:rPr>
                      <w:szCs w:val="21"/>
                    </w:rPr>
                  </w:pPr>
                  <w:r>
                    <w:rPr>
                      <w:rFonts w:hint="eastAsia"/>
                      <w:szCs w:val="21"/>
                    </w:rPr>
                    <w:t>废渣</w:t>
                  </w:r>
                </w:p>
              </w:tc>
              <w:tc>
                <w:tcPr>
                  <w:tcW w:w="2420" w:type="pct"/>
                  <w:vMerge w:val="continue"/>
                  <w:vAlign w:val="center"/>
                </w:tcPr>
                <w:p>
                  <w:pPr>
                    <w:adjustRightInd w:val="0"/>
                    <w:snapToGrid w:val="0"/>
                    <w:jc w:val="center"/>
                    <w:textAlignment w:val="baseline"/>
                    <w:rPr>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04" w:type="pct"/>
                  <w:vMerge w:val="continue"/>
                  <w:vAlign w:val="center"/>
                </w:tcPr>
                <w:p>
                  <w:pPr>
                    <w:adjustRightInd w:val="0"/>
                    <w:snapToGrid w:val="0"/>
                    <w:jc w:val="center"/>
                    <w:textAlignment w:val="baseline"/>
                    <w:rPr>
                      <w:szCs w:val="21"/>
                    </w:rPr>
                  </w:pPr>
                </w:p>
              </w:tc>
              <w:tc>
                <w:tcPr>
                  <w:tcW w:w="1202" w:type="pct"/>
                  <w:vAlign w:val="center"/>
                </w:tcPr>
                <w:p>
                  <w:pPr>
                    <w:adjustRightInd w:val="0"/>
                    <w:snapToGrid w:val="0"/>
                    <w:jc w:val="center"/>
                    <w:textAlignment w:val="baseline"/>
                    <w:rPr>
                      <w:szCs w:val="21"/>
                    </w:rPr>
                  </w:pPr>
                  <w:r>
                    <w:rPr>
                      <w:rFonts w:hint="eastAsia"/>
                      <w:szCs w:val="21"/>
                    </w:rPr>
                    <w:t>袋式除尘器</w:t>
                  </w:r>
                </w:p>
              </w:tc>
              <w:tc>
                <w:tcPr>
                  <w:tcW w:w="772" w:type="pct"/>
                  <w:vAlign w:val="center"/>
                </w:tcPr>
                <w:p>
                  <w:pPr>
                    <w:adjustRightInd w:val="0"/>
                    <w:snapToGrid w:val="0"/>
                    <w:jc w:val="center"/>
                    <w:textAlignment w:val="baseline"/>
                    <w:rPr>
                      <w:szCs w:val="21"/>
                    </w:rPr>
                  </w:pPr>
                  <w:r>
                    <w:rPr>
                      <w:szCs w:val="21"/>
                    </w:rPr>
                    <w:t>粉尘</w:t>
                  </w:r>
                </w:p>
              </w:tc>
              <w:tc>
                <w:tcPr>
                  <w:tcW w:w="2420" w:type="pct"/>
                  <w:vMerge w:val="continue"/>
                  <w:vAlign w:val="center"/>
                </w:tcPr>
                <w:p>
                  <w:pPr>
                    <w:adjustRightInd w:val="0"/>
                    <w:snapToGrid w:val="0"/>
                    <w:jc w:val="center"/>
                    <w:textAlignment w:val="baseline"/>
                    <w:rPr>
                      <w:szCs w:val="21"/>
                    </w:rPr>
                  </w:pPr>
                </w:p>
              </w:tc>
            </w:tr>
          </w:tbl>
          <w:p>
            <w:pPr>
              <w:pStyle w:val="85"/>
              <w:spacing w:line="440" w:lineRule="exact"/>
              <w:ind w:firstLine="560" w:firstLineChars="200"/>
            </w:pPr>
            <w:r>
              <w:rPr>
                <w:rFonts w:hint="eastAsia"/>
              </w:rPr>
              <w:t>　　　　　　　　</w:t>
            </w:r>
            <w:r>
              <w:t xml:space="preserve"> </w:t>
            </w:r>
            <w:r>
              <w:rPr>
                <w:rFonts w:hint="eastAsia"/>
              </w:rPr>
              <w:t xml:space="preserve"> </w:t>
            </w:r>
            <w:r>
              <w:t xml:space="preserve"> </w:t>
            </w: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pStyle w:val="85"/>
              <w:spacing w:line="440" w:lineRule="exact"/>
              <w:ind w:firstLine="560" w:firstLineChars="200"/>
            </w:pPr>
          </w:p>
          <w:p>
            <w:pPr>
              <w:spacing w:line="520" w:lineRule="exact"/>
              <w:textAlignment w:val="baseline"/>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left="0" w:leftChars="0" w:firstLine="0" w:firstLineChars="0"/>
              <w:rPr>
                <w:color w:val="FF0000"/>
                <w:sz w:val="24"/>
              </w:rPr>
            </w:pPr>
          </w:p>
        </w:tc>
      </w:tr>
    </w:tbl>
    <w:p>
      <w:pPr>
        <w:spacing w:line="500" w:lineRule="exact"/>
        <w:jc w:val="left"/>
        <w:outlineLvl w:val="0"/>
        <w:rPr>
          <w:rFonts w:hAnsi="宋体"/>
          <w:b/>
          <w:sz w:val="32"/>
          <w:szCs w:val="32"/>
        </w:rPr>
      </w:pPr>
      <w:r>
        <w:rPr>
          <w:rFonts w:hint="eastAsia" w:hAnsi="宋体"/>
          <w:b/>
          <w:sz w:val="32"/>
          <w:szCs w:val="32"/>
        </w:rPr>
        <w:t>项目主要污染物产生及预计排放情况</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1453"/>
        <w:gridCol w:w="1300"/>
        <w:gridCol w:w="2459"/>
        <w:gridCol w:w="2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1023" w:type="dxa"/>
            <w:vAlign w:val="center"/>
          </w:tcPr>
          <w:p>
            <w:pPr>
              <w:jc w:val="center"/>
              <w:rPr>
                <w:b/>
                <w:bCs/>
                <w:sz w:val="24"/>
              </w:rPr>
            </w:pPr>
            <w:r>
              <w:rPr>
                <w:sz w:val="24"/>
              </w:rPr>
              <w:pict>
                <v:line id="_x0000_s2130" o:spid="_x0000_s2130" o:spt="20" style="position:absolute;left:0pt;margin-left:-4.5pt;margin-top:1.65pt;height:45pt;width:51pt;z-index:251648000;mso-width-relative:page;mso-height-relative:page;" coordsize="21600,21600">
                  <v:path arrowok="t"/>
                  <v:fill focussize="0,0"/>
                  <v:stroke/>
                  <v:imagedata o:title=""/>
                  <o:lock v:ext="edit"/>
                </v:line>
              </w:pict>
            </w:r>
            <w:r>
              <w:rPr>
                <w:b/>
                <w:bCs/>
                <w:sz w:val="24"/>
              </w:rPr>
              <w:t xml:space="preserve">  内容</w:t>
            </w:r>
          </w:p>
          <w:p>
            <w:pPr>
              <w:jc w:val="center"/>
              <w:rPr>
                <w:b/>
                <w:bCs/>
                <w:sz w:val="24"/>
              </w:rPr>
            </w:pPr>
          </w:p>
          <w:p>
            <w:pPr>
              <w:rPr>
                <w:b/>
                <w:bCs/>
                <w:sz w:val="24"/>
              </w:rPr>
            </w:pPr>
            <w:r>
              <w:rPr>
                <w:b/>
                <w:bCs/>
                <w:sz w:val="24"/>
              </w:rPr>
              <w:t>类型</w:t>
            </w:r>
          </w:p>
        </w:tc>
        <w:tc>
          <w:tcPr>
            <w:tcW w:w="1453" w:type="dxa"/>
            <w:vAlign w:val="center"/>
          </w:tcPr>
          <w:p>
            <w:pPr>
              <w:jc w:val="center"/>
              <w:rPr>
                <w:b/>
                <w:bCs/>
                <w:sz w:val="24"/>
              </w:rPr>
            </w:pPr>
            <w:r>
              <w:rPr>
                <w:b/>
                <w:bCs/>
                <w:sz w:val="24"/>
              </w:rPr>
              <w:t>排放源</w:t>
            </w:r>
          </w:p>
          <w:p>
            <w:pPr>
              <w:jc w:val="center"/>
              <w:rPr>
                <w:b/>
                <w:bCs/>
                <w:sz w:val="24"/>
              </w:rPr>
            </w:pPr>
            <w:r>
              <w:rPr>
                <w:b/>
                <w:bCs/>
                <w:sz w:val="24"/>
              </w:rPr>
              <w:t>（编号）</w:t>
            </w:r>
          </w:p>
        </w:tc>
        <w:tc>
          <w:tcPr>
            <w:tcW w:w="1300" w:type="dxa"/>
            <w:vAlign w:val="center"/>
          </w:tcPr>
          <w:p>
            <w:pPr>
              <w:jc w:val="center"/>
              <w:rPr>
                <w:b/>
                <w:bCs/>
                <w:sz w:val="24"/>
              </w:rPr>
            </w:pPr>
            <w:r>
              <w:rPr>
                <w:b/>
                <w:bCs/>
                <w:sz w:val="24"/>
              </w:rPr>
              <w:t>污染物</w:t>
            </w:r>
          </w:p>
          <w:p>
            <w:pPr>
              <w:jc w:val="center"/>
              <w:rPr>
                <w:b/>
                <w:bCs/>
                <w:sz w:val="24"/>
              </w:rPr>
            </w:pPr>
            <w:r>
              <w:rPr>
                <w:b/>
                <w:bCs/>
                <w:sz w:val="24"/>
              </w:rPr>
              <w:t>名称</w:t>
            </w:r>
          </w:p>
        </w:tc>
        <w:tc>
          <w:tcPr>
            <w:tcW w:w="2459" w:type="dxa"/>
            <w:vAlign w:val="center"/>
          </w:tcPr>
          <w:p>
            <w:pPr>
              <w:jc w:val="center"/>
              <w:rPr>
                <w:b/>
                <w:bCs/>
                <w:sz w:val="24"/>
              </w:rPr>
            </w:pPr>
            <w:r>
              <w:rPr>
                <w:color w:val="000000"/>
                <w:sz w:val="24"/>
              </w:rPr>
              <w:t>处理前产生浓度及产生量（单位）</w:t>
            </w:r>
          </w:p>
        </w:tc>
        <w:tc>
          <w:tcPr>
            <w:tcW w:w="2905" w:type="dxa"/>
            <w:vAlign w:val="center"/>
          </w:tcPr>
          <w:p>
            <w:pPr>
              <w:jc w:val="center"/>
              <w:rPr>
                <w:color w:val="000000"/>
                <w:sz w:val="24"/>
              </w:rPr>
            </w:pPr>
            <w:r>
              <w:rPr>
                <w:color w:val="000000"/>
                <w:sz w:val="24"/>
              </w:rPr>
              <w:t>排放浓度及排放量</w:t>
            </w:r>
          </w:p>
          <w:p>
            <w:pPr>
              <w:jc w:val="center"/>
              <w:rPr>
                <w:b/>
                <w:bCs/>
                <w:sz w:val="24"/>
              </w:rPr>
            </w:pPr>
            <w:r>
              <w:rPr>
                <w:color w:val="000000"/>
                <w:sz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jc w:val="center"/>
        </w:trPr>
        <w:tc>
          <w:tcPr>
            <w:tcW w:w="1023" w:type="dxa"/>
            <w:vMerge w:val="restart"/>
            <w:vAlign w:val="center"/>
          </w:tcPr>
          <w:p>
            <w:pPr>
              <w:spacing w:line="300" w:lineRule="exact"/>
              <w:jc w:val="center"/>
              <w:rPr>
                <w:b/>
                <w:bCs/>
                <w:sz w:val="24"/>
              </w:rPr>
            </w:pPr>
            <w:r>
              <w:rPr>
                <w:b/>
                <w:bCs/>
                <w:sz w:val="24"/>
              </w:rPr>
              <w:t>大</w:t>
            </w:r>
          </w:p>
          <w:p>
            <w:pPr>
              <w:spacing w:line="300" w:lineRule="exact"/>
              <w:jc w:val="center"/>
              <w:rPr>
                <w:b/>
                <w:bCs/>
                <w:sz w:val="24"/>
              </w:rPr>
            </w:pPr>
            <w:r>
              <w:rPr>
                <w:b/>
                <w:bCs/>
                <w:sz w:val="24"/>
              </w:rPr>
              <w:t>气</w:t>
            </w:r>
          </w:p>
          <w:p>
            <w:pPr>
              <w:spacing w:line="300" w:lineRule="exact"/>
              <w:jc w:val="center"/>
              <w:rPr>
                <w:b/>
                <w:bCs/>
                <w:sz w:val="24"/>
              </w:rPr>
            </w:pPr>
            <w:r>
              <w:rPr>
                <w:b/>
                <w:bCs/>
                <w:sz w:val="24"/>
              </w:rPr>
              <w:t>污</w:t>
            </w:r>
          </w:p>
          <w:p>
            <w:pPr>
              <w:spacing w:line="300" w:lineRule="exact"/>
              <w:jc w:val="center"/>
              <w:rPr>
                <w:b/>
                <w:bCs/>
                <w:sz w:val="24"/>
              </w:rPr>
            </w:pPr>
            <w:r>
              <w:rPr>
                <w:b/>
                <w:bCs/>
                <w:sz w:val="24"/>
              </w:rPr>
              <w:t>染</w:t>
            </w:r>
          </w:p>
          <w:p>
            <w:pPr>
              <w:spacing w:line="300" w:lineRule="exact"/>
              <w:jc w:val="center"/>
              <w:rPr>
                <w:b/>
                <w:bCs/>
                <w:sz w:val="24"/>
              </w:rPr>
            </w:pPr>
            <w:r>
              <w:rPr>
                <w:b/>
                <w:bCs/>
                <w:sz w:val="24"/>
              </w:rPr>
              <w:t>物</w:t>
            </w:r>
          </w:p>
        </w:tc>
        <w:tc>
          <w:tcPr>
            <w:tcW w:w="1453" w:type="dxa"/>
            <w:vAlign w:val="center"/>
          </w:tcPr>
          <w:p>
            <w:pPr>
              <w:jc w:val="center"/>
              <w:rPr>
                <w:color w:val="000000"/>
                <w:sz w:val="24"/>
              </w:rPr>
            </w:pPr>
            <w:r>
              <w:rPr>
                <w:rFonts w:hint="eastAsia"/>
                <w:color w:val="000000"/>
                <w:sz w:val="24"/>
              </w:rPr>
              <w:t>抛光工段</w:t>
            </w:r>
          </w:p>
          <w:p>
            <w:pPr>
              <w:adjustRightInd w:val="0"/>
              <w:snapToGrid w:val="0"/>
              <w:jc w:val="center"/>
              <w:rPr>
                <w:sz w:val="24"/>
              </w:rPr>
            </w:pPr>
            <w:r>
              <w:rPr>
                <w:rFonts w:hint="eastAsia"/>
                <w:color w:val="000000"/>
                <w:szCs w:val="21"/>
              </w:rPr>
              <w:t>(有组织排放)</w:t>
            </w:r>
          </w:p>
        </w:tc>
        <w:tc>
          <w:tcPr>
            <w:tcW w:w="1300" w:type="dxa"/>
            <w:vMerge w:val="restart"/>
            <w:vAlign w:val="center"/>
          </w:tcPr>
          <w:p>
            <w:pPr>
              <w:snapToGrid w:val="0"/>
              <w:jc w:val="center"/>
              <w:rPr>
                <w:sz w:val="24"/>
              </w:rPr>
            </w:pPr>
            <w:r>
              <w:rPr>
                <w:rFonts w:hint="eastAsia"/>
                <w:sz w:val="24"/>
              </w:rPr>
              <w:t>粉尘</w:t>
            </w:r>
          </w:p>
        </w:tc>
        <w:tc>
          <w:tcPr>
            <w:tcW w:w="2459" w:type="dxa"/>
            <w:vAlign w:val="center"/>
          </w:tcPr>
          <w:p>
            <w:pPr>
              <w:pStyle w:val="135"/>
              <w:spacing w:line="300" w:lineRule="exact"/>
              <w:rPr>
                <w:rFonts w:hAnsi="Times New Roman"/>
                <w:color w:val="000000"/>
                <w:sz w:val="24"/>
                <w:szCs w:val="24"/>
              </w:rPr>
            </w:pPr>
            <w:r>
              <w:rPr>
                <w:rFonts w:hint="eastAsia" w:hAnsi="Times New Roman"/>
                <w:color w:val="000000"/>
                <w:sz w:val="24"/>
                <w:szCs w:val="24"/>
                <w:lang w:val="en-US" w:eastAsia="zh-CN"/>
              </w:rPr>
              <w:t>2276</w:t>
            </w:r>
            <w:r>
              <w:rPr>
                <w:rFonts w:hAnsi="Times New Roman"/>
                <w:color w:val="000000"/>
                <w:sz w:val="24"/>
                <w:szCs w:val="24"/>
              </w:rPr>
              <w:t>mg/m</w:t>
            </w:r>
            <w:r>
              <w:rPr>
                <w:rFonts w:hAnsi="Times New Roman"/>
                <w:color w:val="000000"/>
                <w:sz w:val="24"/>
                <w:szCs w:val="24"/>
                <w:vertAlign w:val="superscript"/>
              </w:rPr>
              <w:t>3</w:t>
            </w:r>
            <w:r>
              <w:rPr>
                <w:rFonts w:hAnsi="Times New Roman"/>
                <w:color w:val="000000"/>
                <w:sz w:val="24"/>
                <w:szCs w:val="24"/>
              </w:rPr>
              <w:t>、</w:t>
            </w:r>
            <w:r>
              <w:rPr>
                <w:rFonts w:hint="eastAsia" w:hAnsi="Times New Roman"/>
                <w:color w:val="000000"/>
                <w:sz w:val="24"/>
                <w:szCs w:val="24"/>
              </w:rPr>
              <w:t>5.69</w:t>
            </w:r>
            <w:r>
              <w:rPr>
                <w:rFonts w:hAnsi="Times New Roman"/>
                <w:color w:val="000000"/>
                <w:sz w:val="24"/>
                <w:szCs w:val="24"/>
              </w:rPr>
              <w:t>kg/h</w:t>
            </w:r>
          </w:p>
          <w:p>
            <w:pPr>
              <w:snapToGrid w:val="0"/>
              <w:jc w:val="center"/>
              <w:rPr>
                <w:sz w:val="24"/>
              </w:rPr>
            </w:pPr>
            <w:r>
              <w:rPr>
                <w:rFonts w:hint="eastAsia"/>
                <w:color w:val="000000"/>
                <w:sz w:val="24"/>
              </w:rPr>
              <w:t>4.2675</w:t>
            </w:r>
            <w:r>
              <w:rPr>
                <w:color w:val="000000"/>
                <w:sz w:val="24"/>
              </w:rPr>
              <w:t>t/a</w:t>
            </w:r>
          </w:p>
        </w:tc>
        <w:tc>
          <w:tcPr>
            <w:tcW w:w="2905" w:type="dxa"/>
            <w:vAlign w:val="center"/>
          </w:tcPr>
          <w:p>
            <w:pPr>
              <w:pStyle w:val="135"/>
              <w:spacing w:line="300" w:lineRule="exact"/>
              <w:rPr>
                <w:rFonts w:hAnsi="Times New Roman"/>
                <w:color w:val="000000"/>
                <w:sz w:val="24"/>
                <w:szCs w:val="24"/>
              </w:rPr>
            </w:pPr>
            <w:r>
              <w:rPr>
                <w:rFonts w:hint="eastAsia" w:hAnsi="Times New Roman"/>
                <w:color w:val="000000"/>
                <w:sz w:val="24"/>
                <w:szCs w:val="24"/>
                <w:lang w:val="en-US" w:eastAsia="zh-CN"/>
              </w:rPr>
              <w:t>9.1</w:t>
            </w:r>
            <w:r>
              <w:rPr>
                <w:rFonts w:hAnsi="Times New Roman"/>
                <w:color w:val="000000"/>
                <w:sz w:val="24"/>
                <w:szCs w:val="24"/>
              </w:rPr>
              <w:t>mg/m</w:t>
            </w:r>
            <w:r>
              <w:rPr>
                <w:rFonts w:hAnsi="Times New Roman"/>
                <w:color w:val="000000"/>
                <w:sz w:val="24"/>
                <w:szCs w:val="24"/>
                <w:vertAlign w:val="superscript"/>
              </w:rPr>
              <w:t>3</w:t>
            </w:r>
            <w:r>
              <w:rPr>
                <w:rFonts w:hAnsi="Times New Roman"/>
                <w:color w:val="000000"/>
                <w:sz w:val="24"/>
                <w:szCs w:val="24"/>
              </w:rPr>
              <w:t>、</w:t>
            </w:r>
            <w:r>
              <w:rPr>
                <w:rFonts w:hint="eastAsia" w:hAnsi="Times New Roman"/>
                <w:color w:val="000000"/>
                <w:sz w:val="24"/>
                <w:szCs w:val="24"/>
              </w:rPr>
              <w:t>0.0228</w:t>
            </w:r>
            <w:r>
              <w:rPr>
                <w:rFonts w:hAnsi="Times New Roman"/>
                <w:color w:val="000000"/>
                <w:sz w:val="24"/>
                <w:szCs w:val="24"/>
              </w:rPr>
              <w:t>kg/h</w:t>
            </w:r>
          </w:p>
          <w:p>
            <w:pPr>
              <w:snapToGrid w:val="0"/>
              <w:jc w:val="center"/>
              <w:rPr>
                <w:sz w:val="24"/>
              </w:rPr>
            </w:pPr>
            <w:r>
              <w:rPr>
                <w:rFonts w:hint="eastAsia"/>
                <w:color w:val="000000"/>
                <w:sz w:val="24"/>
              </w:rPr>
              <w:t>0.0171</w:t>
            </w:r>
            <w:r>
              <w:rPr>
                <w:color w:val="000000"/>
                <w:sz w:val="24"/>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1023" w:type="dxa"/>
            <w:vMerge w:val="continue"/>
            <w:vAlign w:val="center"/>
          </w:tcPr>
          <w:p>
            <w:pPr>
              <w:spacing w:line="300" w:lineRule="exact"/>
              <w:jc w:val="center"/>
              <w:rPr>
                <w:b/>
                <w:bCs/>
                <w:sz w:val="24"/>
              </w:rPr>
            </w:pPr>
          </w:p>
        </w:tc>
        <w:tc>
          <w:tcPr>
            <w:tcW w:w="1453" w:type="dxa"/>
            <w:vAlign w:val="center"/>
          </w:tcPr>
          <w:p>
            <w:pPr>
              <w:jc w:val="center"/>
              <w:rPr>
                <w:color w:val="000000"/>
                <w:sz w:val="24"/>
              </w:rPr>
            </w:pPr>
            <w:r>
              <w:rPr>
                <w:rFonts w:hint="eastAsia"/>
                <w:color w:val="000000"/>
                <w:sz w:val="24"/>
              </w:rPr>
              <w:t>抛光工段</w:t>
            </w:r>
          </w:p>
          <w:p>
            <w:pPr>
              <w:snapToGrid w:val="0"/>
              <w:jc w:val="center"/>
              <w:rPr>
                <w:sz w:val="24"/>
              </w:rPr>
            </w:pPr>
            <w:r>
              <w:rPr>
                <w:rFonts w:hint="eastAsia"/>
                <w:color w:val="000000"/>
                <w:szCs w:val="21"/>
              </w:rPr>
              <w:t>(无组织排放)</w:t>
            </w:r>
          </w:p>
        </w:tc>
        <w:tc>
          <w:tcPr>
            <w:tcW w:w="1300" w:type="dxa"/>
            <w:vMerge w:val="continue"/>
            <w:vAlign w:val="center"/>
          </w:tcPr>
          <w:p>
            <w:pPr>
              <w:snapToGrid w:val="0"/>
              <w:jc w:val="center"/>
              <w:rPr>
                <w:sz w:val="24"/>
              </w:rPr>
            </w:pPr>
          </w:p>
        </w:tc>
        <w:tc>
          <w:tcPr>
            <w:tcW w:w="2459" w:type="dxa"/>
            <w:vAlign w:val="center"/>
          </w:tcPr>
          <w:p>
            <w:pPr>
              <w:snapToGrid w:val="0"/>
              <w:jc w:val="center"/>
              <w:rPr>
                <w:sz w:val="24"/>
              </w:rPr>
            </w:pPr>
            <w:r>
              <w:rPr>
                <w:rFonts w:hint="eastAsia"/>
                <w:sz w:val="24"/>
              </w:rPr>
              <w:t>0.8535</w:t>
            </w:r>
            <w:r>
              <w:rPr>
                <w:color w:val="000000"/>
                <w:sz w:val="24"/>
              </w:rPr>
              <w:t>t/a</w:t>
            </w:r>
          </w:p>
        </w:tc>
        <w:tc>
          <w:tcPr>
            <w:tcW w:w="2905" w:type="dxa"/>
            <w:vAlign w:val="center"/>
          </w:tcPr>
          <w:p>
            <w:pPr>
              <w:snapToGrid w:val="0"/>
              <w:jc w:val="center"/>
              <w:rPr>
                <w:sz w:val="24"/>
              </w:rPr>
            </w:pPr>
            <w:r>
              <w:rPr>
                <w:rFonts w:hint="eastAsia"/>
                <w:color w:val="000000"/>
                <w:sz w:val="24"/>
              </w:rPr>
              <w:t>0.0854</w:t>
            </w:r>
            <w:r>
              <w:rPr>
                <w:color w:val="000000"/>
                <w:sz w:val="24"/>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1023" w:type="dxa"/>
            <w:vMerge w:val="restart"/>
            <w:tcBorders>
              <w:top w:val="single" w:color="auto" w:sz="4" w:space="0"/>
            </w:tcBorders>
            <w:vAlign w:val="center"/>
          </w:tcPr>
          <w:p>
            <w:pPr>
              <w:spacing w:line="300" w:lineRule="exact"/>
              <w:jc w:val="center"/>
              <w:rPr>
                <w:b/>
                <w:bCs/>
                <w:sz w:val="24"/>
              </w:rPr>
            </w:pPr>
            <w:r>
              <w:rPr>
                <w:rFonts w:hint="eastAsia"/>
                <w:b/>
                <w:bCs/>
                <w:sz w:val="24"/>
              </w:rPr>
              <w:t>水</w:t>
            </w:r>
          </w:p>
          <w:p>
            <w:pPr>
              <w:spacing w:line="300" w:lineRule="exact"/>
              <w:jc w:val="center"/>
              <w:rPr>
                <w:b/>
                <w:bCs/>
                <w:sz w:val="24"/>
              </w:rPr>
            </w:pPr>
            <w:r>
              <w:rPr>
                <w:b/>
                <w:bCs/>
                <w:sz w:val="24"/>
              </w:rPr>
              <w:t>污</w:t>
            </w:r>
          </w:p>
          <w:p>
            <w:pPr>
              <w:spacing w:line="300" w:lineRule="exact"/>
              <w:jc w:val="center"/>
              <w:rPr>
                <w:b/>
                <w:bCs/>
                <w:sz w:val="24"/>
              </w:rPr>
            </w:pPr>
            <w:r>
              <w:rPr>
                <w:b/>
                <w:bCs/>
                <w:sz w:val="24"/>
              </w:rPr>
              <w:t>染</w:t>
            </w:r>
          </w:p>
          <w:p>
            <w:pPr>
              <w:spacing w:line="300" w:lineRule="exact"/>
              <w:jc w:val="center"/>
            </w:pPr>
            <w:r>
              <w:rPr>
                <w:b/>
                <w:bCs/>
                <w:sz w:val="24"/>
              </w:rPr>
              <w:t>物</w:t>
            </w:r>
          </w:p>
        </w:tc>
        <w:tc>
          <w:tcPr>
            <w:tcW w:w="1453" w:type="dxa"/>
            <w:vMerge w:val="restart"/>
            <w:tcBorders>
              <w:top w:val="single" w:color="auto" w:sz="4" w:space="0"/>
            </w:tcBorders>
            <w:vAlign w:val="center"/>
          </w:tcPr>
          <w:p>
            <w:pPr>
              <w:jc w:val="center"/>
              <w:rPr>
                <w:sz w:val="24"/>
              </w:rPr>
            </w:pPr>
            <w:r>
              <w:rPr>
                <w:sz w:val="24"/>
              </w:rPr>
              <w:t>生活污水</w:t>
            </w:r>
          </w:p>
          <w:p>
            <w:pPr>
              <w:jc w:val="center"/>
            </w:pPr>
            <w:r>
              <w:rPr>
                <w:rFonts w:hint="eastAsia"/>
                <w:sz w:val="24"/>
              </w:rPr>
              <w:t>( 28.8t/a)</w:t>
            </w:r>
          </w:p>
        </w:tc>
        <w:tc>
          <w:tcPr>
            <w:tcW w:w="1300" w:type="dxa"/>
            <w:tcBorders>
              <w:top w:val="single" w:color="auto" w:sz="4" w:space="0"/>
            </w:tcBorders>
            <w:vAlign w:val="center"/>
          </w:tcPr>
          <w:p>
            <w:pPr>
              <w:jc w:val="center"/>
              <w:rPr>
                <w:sz w:val="24"/>
              </w:rPr>
            </w:pPr>
            <w:r>
              <w:rPr>
                <w:sz w:val="24"/>
              </w:rPr>
              <w:t>COD</w:t>
            </w:r>
          </w:p>
        </w:tc>
        <w:tc>
          <w:tcPr>
            <w:tcW w:w="2459" w:type="dxa"/>
            <w:tcBorders>
              <w:top w:val="single" w:color="auto" w:sz="4" w:space="0"/>
            </w:tcBorders>
            <w:vAlign w:val="center"/>
          </w:tcPr>
          <w:p>
            <w:pPr>
              <w:snapToGrid w:val="0"/>
              <w:jc w:val="center"/>
              <w:rPr>
                <w:sz w:val="24"/>
              </w:rPr>
            </w:pPr>
            <w:r>
              <w:rPr>
                <w:sz w:val="24"/>
              </w:rPr>
              <w:t>300mg/L</w:t>
            </w:r>
            <w:r>
              <w:rPr>
                <w:rFonts w:hint="eastAsia"/>
                <w:sz w:val="24"/>
              </w:rPr>
              <w:t>、</w:t>
            </w:r>
            <w:r>
              <w:rPr>
                <w:sz w:val="24"/>
              </w:rPr>
              <w:t>0.</w:t>
            </w:r>
            <w:r>
              <w:rPr>
                <w:rFonts w:hint="eastAsia"/>
                <w:sz w:val="24"/>
              </w:rPr>
              <w:t>0086</w:t>
            </w:r>
            <w:r>
              <w:rPr>
                <w:sz w:val="24"/>
              </w:rPr>
              <w:t>t/a</w:t>
            </w:r>
          </w:p>
        </w:tc>
        <w:tc>
          <w:tcPr>
            <w:tcW w:w="2905" w:type="dxa"/>
            <w:vMerge w:val="restart"/>
            <w:vAlign w:val="center"/>
          </w:tcPr>
          <w:p>
            <w:pPr>
              <w:snapToGrid w:val="0"/>
              <w:jc w:val="center"/>
              <w:rPr>
                <w:color w:val="FF0000"/>
                <w:sz w:val="24"/>
              </w:rPr>
            </w:pPr>
            <w:r>
              <w:rPr>
                <w:rFonts w:hint="eastAsia"/>
                <w:sz w:val="24"/>
              </w:rPr>
              <w:t>0</w:t>
            </w:r>
            <w:r>
              <w:rPr>
                <w:sz w:val="24"/>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023" w:type="dxa"/>
            <w:vMerge w:val="continue"/>
            <w:vAlign w:val="center"/>
          </w:tcPr>
          <w:p>
            <w:pPr>
              <w:adjustRightInd w:val="0"/>
              <w:snapToGrid w:val="0"/>
              <w:jc w:val="center"/>
              <w:rPr>
                <w:sz w:val="24"/>
              </w:rPr>
            </w:pPr>
          </w:p>
        </w:tc>
        <w:tc>
          <w:tcPr>
            <w:tcW w:w="1453" w:type="dxa"/>
            <w:vMerge w:val="continue"/>
            <w:vAlign w:val="center"/>
          </w:tcPr>
          <w:p>
            <w:pPr>
              <w:adjustRightInd w:val="0"/>
              <w:snapToGrid w:val="0"/>
              <w:jc w:val="center"/>
              <w:rPr>
                <w:sz w:val="24"/>
              </w:rPr>
            </w:pPr>
          </w:p>
        </w:tc>
        <w:tc>
          <w:tcPr>
            <w:tcW w:w="1300" w:type="dxa"/>
            <w:vAlign w:val="center"/>
          </w:tcPr>
          <w:p>
            <w:pPr>
              <w:jc w:val="center"/>
              <w:rPr>
                <w:sz w:val="24"/>
              </w:rPr>
            </w:pPr>
            <w:r>
              <w:rPr>
                <w:sz w:val="24"/>
              </w:rPr>
              <w:t>SS</w:t>
            </w:r>
          </w:p>
        </w:tc>
        <w:tc>
          <w:tcPr>
            <w:tcW w:w="2459" w:type="dxa"/>
            <w:vAlign w:val="center"/>
          </w:tcPr>
          <w:p>
            <w:pPr>
              <w:snapToGrid w:val="0"/>
              <w:jc w:val="center"/>
              <w:rPr>
                <w:sz w:val="24"/>
              </w:rPr>
            </w:pPr>
            <w:r>
              <w:rPr>
                <w:rFonts w:hint="eastAsia"/>
                <w:sz w:val="24"/>
              </w:rPr>
              <w:t>250</w:t>
            </w:r>
            <w:r>
              <w:rPr>
                <w:sz w:val="24"/>
              </w:rPr>
              <w:t>mg/L</w:t>
            </w:r>
            <w:r>
              <w:rPr>
                <w:rFonts w:hint="eastAsia"/>
                <w:sz w:val="24"/>
              </w:rPr>
              <w:t>、</w:t>
            </w:r>
            <w:r>
              <w:rPr>
                <w:sz w:val="24"/>
              </w:rPr>
              <w:t>0.</w:t>
            </w:r>
            <w:r>
              <w:rPr>
                <w:rFonts w:hint="eastAsia"/>
                <w:sz w:val="24"/>
              </w:rPr>
              <w:t>0072</w:t>
            </w:r>
            <w:r>
              <w:rPr>
                <w:sz w:val="24"/>
              </w:rPr>
              <w:t>t/a</w:t>
            </w:r>
          </w:p>
        </w:tc>
        <w:tc>
          <w:tcPr>
            <w:tcW w:w="2905" w:type="dxa"/>
            <w:vMerge w:val="continue"/>
            <w:vAlign w:val="center"/>
          </w:tcPr>
          <w:p>
            <w:pPr>
              <w:adjustRightInd w:val="0"/>
              <w:snapToGrid w:val="0"/>
              <w:jc w:val="center"/>
              <w:rPr>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1023" w:type="dxa"/>
            <w:vMerge w:val="continue"/>
            <w:vAlign w:val="center"/>
          </w:tcPr>
          <w:p>
            <w:pPr>
              <w:adjustRightInd w:val="0"/>
              <w:snapToGrid w:val="0"/>
              <w:jc w:val="center"/>
              <w:rPr>
                <w:sz w:val="24"/>
              </w:rPr>
            </w:pPr>
          </w:p>
        </w:tc>
        <w:tc>
          <w:tcPr>
            <w:tcW w:w="1453" w:type="dxa"/>
            <w:vMerge w:val="continue"/>
            <w:vAlign w:val="center"/>
          </w:tcPr>
          <w:p>
            <w:pPr>
              <w:adjustRightInd w:val="0"/>
              <w:snapToGrid w:val="0"/>
              <w:jc w:val="center"/>
              <w:rPr>
                <w:sz w:val="24"/>
              </w:rPr>
            </w:pPr>
          </w:p>
        </w:tc>
        <w:tc>
          <w:tcPr>
            <w:tcW w:w="1300" w:type="dxa"/>
            <w:vAlign w:val="center"/>
          </w:tcPr>
          <w:p>
            <w:pPr>
              <w:jc w:val="center"/>
              <w:rPr>
                <w:sz w:val="24"/>
              </w:rPr>
            </w:pPr>
            <w:r>
              <w:rPr>
                <w:sz w:val="24"/>
              </w:rPr>
              <w:t>NH</w:t>
            </w:r>
            <w:r>
              <w:rPr>
                <w:sz w:val="24"/>
                <w:vertAlign w:val="subscript"/>
              </w:rPr>
              <w:t>3</w:t>
            </w:r>
            <w:r>
              <w:rPr>
                <w:sz w:val="24"/>
              </w:rPr>
              <w:t>-N</w:t>
            </w:r>
          </w:p>
        </w:tc>
        <w:tc>
          <w:tcPr>
            <w:tcW w:w="2459" w:type="dxa"/>
            <w:vAlign w:val="center"/>
          </w:tcPr>
          <w:p>
            <w:pPr>
              <w:snapToGrid w:val="0"/>
              <w:jc w:val="center"/>
              <w:rPr>
                <w:sz w:val="24"/>
              </w:rPr>
            </w:pPr>
            <w:r>
              <w:rPr>
                <w:rFonts w:hint="eastAsia"/>
                <w:sz w:val="24"/>
              </w:rPr>
              <w:t>30</w:t>
            </w:r>
            <w:r>
              <w:rPr>
                <w:sz w:val="24"/>
              </w:rPr>
              <w:t>mg/L</w:t>
            </w:r>
            <w:r>
              <w:rPr>
                <w:rFonts w:hint="eastAsia"/>
                <w:sz w:val="24"/>
              </w:rPr>
              <w:t>、</w:t>
            </w:r>
            <w:r>
              <w:rPr>
                <w:sz w:val="24"/>
              </w:rPr>
              <w:t>0.0</w:t>
            </w:r>
            <w:r>
              <w:rPr>
                <w:rFonts w:hint="eastAsia"/>
                <w:sz w:val="24"/>
              </w:rPr>
              <w:t>009</w:t>
            </w:r>
            <w:r>
              <w:rPr>
                <w:sz w:val="24"/>
              </w:rPr>
              <w:t>t/a</w:t>
            </w:r>
          </w:p>
        </w:tc>
        <w:tc>
          <w:tcPr>
            <w:tcW w:w="2905" w:type="dxa"/>
            <w:vMerge w:val="continue"/>
            <w:vAlign w:val="center"/>
          </w:tcPr>
          <w:p>
            <w:pPr>
              <w:adjustRightInd w:val="0"/>
              <w:snapToGrid w:val="0"/>
              <w:jc w:val="center"/>
              <w:rPr>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1023" w:type="dxa"/>
            <w:vMerge w:val="continue"/>
            <w:vAlign w:val="center"/>
          </w:tcPr>
          <w:p>
            <w:pPr>
              <w:adjustRightInd w:val="0"/>
              <w:snapToGrid w:val="0"/>
              <w:jc w:val="center"/>
              <w:rPr>
                <w:sz w:val="24"/>
              </w:rPr>
            </w:pPr>
          </w:p>
        </w:tc>
        <w:tc>
          <w:tcPr>
            <w:tcW w:w="1453" w:type="dxa"/>
            <w:vMerge w:val="continue"/>
            <w:vAlign w:val="center"/>
          </w:tcPr>
          <w:p>
            <w:pPr>
              <w:adjustRightInd w:val="0"/>
              <w:snapToGrid w:val="0"/>
              <w:jc w:val="center"/>
              <w:rPr>
                <w:sz w:val="24"/>
              </w:rPr>
            </w:pPr>
          </w:p>
        </w:tc>
        <w:tc>
          <w:tcPr>
            <w:tcW w:w="1300" w:type="dxa"/>
            <w:vAlign w:val="center"/>
          </w:tcPr>
          <w:p>
            <w:pPr>
              <w:jc w:val="center"/>
              <w:rPr>
                <w:sz w:val="24"/>
              </w:rPr>
            </w:pPr>
            <w:r>
              <w:rPr>
                <w:color w:val="000000"/>
                <w:sz w:val="24"/>
              </w:rPr>
              <w:t>TP</w:t>
            </w:r>
          </w:p>
        </w:tc>
        <w:tc>
          <w:tcPr>
            <w:tcW w:w="2459" w:type="dxa"/>
            <w:vAlign w:val="center"/>
          </w:tcPr>
          <w:p>
            <w:pPr>
              <w:snapToGrid w:val="0"/>
              <w:jc w:val="center"/>
              <w:rPr>
                <w:sz w:val="24"/>
              </w:rPr>
            </w:pPr>
            <w:r>
              <w:rPr>
                <w:rFonts w:hint="eastAsia"/>
                <w:color w:val="000000"/>
                <w:sz w:val="24"/>
              </w:rPr>
              <w:t>5</w:t>
            </w:r>
            <w:r>
              <w:rPr>
                <w:color w:val="000000"/>
                <w:sz w:val="24"/>
              </w:rPr>
              <w:t>mg/L</w:t>
            </w:r>
            <w:r>
              <w:rPr>
                <w:rFonts w:hint="eastAsia"/>
                <w:color w:val="000000"/>
                <w:sz w:val="24"/>
              </w:rPr>
              <w:t>、</w:t>
            </w:r>
            <w:r>
              <w:rPr>
                <w:color w:val="000000"/>
                <w:sz w:val="24"/>
              </w:rPr>
              <w:t>0.00</w:t>
            </w:r>
            <w:r>
              <w:rPr>
                <w:rFonts w:hint="eastAsia"/>
                <w:color w:val="000000"/>
                <w:sz w:val="24"/>
              </w:rPr>
              <w:t>014</w:t>
            </w:r>
            <w:r>
              <w:rPr>
                <w:color w:val="000000"/>
                <w:sz w:val="24"/>
              </w:rPr>
              <w:t>t/a</w:t>
            </w:r>
          </w:p>
        </w:tc>
        <w:tc>
          <w:tcPr>
            <w:tcW w:w="2905" w:type="dxa"/>
            <w:vMerge w:val="continue"/>
            <w:vAlign w:val="center"/>
          </w:tcPr>
          <w:p>
            <w:pPr>
              <w:adjustRightInd w:val="0"/>
              <w:snapToGrid w:val="0"/>
              <w:jc w:val="center"/>
              <w:rPr>
                <w:color w:val="FF0000"/>
                <w:sz w:val="24"/>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1023" w:type="dxa"/>
            <w:vMerge w:val="continue"/>
            <w:vAlign w:val="center"/>
          </w:tcPr>
          <w:p>
            <w:pPr>
              <w:adjustRightInd w:val="0"/>
              <w:snapToGrid w:val="0"/>
              <w:jc w:val="center"/>
              <w:rPr>
                <w:sz w:val="24"/>
              </w:rPr>
            </w:pPr>
          </w:p>
        </w:tc>
        <w:tc>
          <w:tcPr>
            <w:tcW w:w="1453" w:type="dxa"/>
            <w:vMerge w:val="continue"/>
            <w:vAlign w:val="center"/>
          </w:tcPr>
          <w:p>
            <w:pPr>
              <w:adjustRightInd w:val="0"/>
              <w:snapToGrid w:val="0"/>
              <w:jc w:val="center"/>
              <w:rPr>
                <w:sz w:val="24"/>
              </w:rPr>
            </w:pPr>
          </w:p>
        </w:tc>
        <w:tc>
          <w:tcPr>
            <w:tcW w:w="1300" w:type="dxa"/>
            <w:vAlign w:val="center"/>
          </w:tcPr>
          <w:p>
            <w:pPr>
              <w:jc w:val="center"/>
              <w:rPr>
                <w:color w:val="000000"/>
                <w:sz w:val="24"/>
              </w:rPr>
            </w:pPr>
            <w:r>
              <w:rPr>
                <w:rFonts w:hint="eastAsia"/>
                <w:color w:val="000000"/>
                <w:sz w:val="24"/>
              </w:rPr>
              <w:t>TN</w:t>
            </w:r>
          </w:p>
        </w:tc>
        <w:tc>
          <w:tcPr>
            <w:tcW w:w="2459" w:type="dxa"/>
            <w:vAlign w:val="center"/>
          </w:tcPr>
          <w:p>
            <w:pPr>
              <w:snapToGrid w:val="0"/>
              <w:jc w:val="center"/>
              <w:rPr>
                <w:color w:val="000000"/>
                <w:sz w:val="24"/>
              </w:rPr>
            </w:pPr>
            <w:r>
              <w:rPr>
                <w:rFonts w:hint="eastAsia"/>
                <w:color w:val="000000"/>
                <w:sz w:val="24"/>
              </w:rPr>
              <w:t>30</w:t>
            </w:r>
            <w:r>
              <w:rPr>
                <w:color w:val="000000"/>
                <w:sz w:val="24"/>
              </w:rPr>
              <w:t xml:space="preserve"> mg/L</w:t>
            </w:r>
            <w:r>
              <w:rPr>
                <w:rFonts w:hint="eastAsia"/>
                <w:color w:val="000000"/>
                <w:sz w:val="24"/>
              </w:rPr>
              <w:t>、0.0009</w:t>
            </w:r>
            <w:r>
              <w:rPr>
                <w:color w:val="000000"/>
                <w:sz w:val="24"/>
              </w:rPr>
              <w:t xml:space="preserve"> t/a</w:t>
            </w:r>
          </w:p>
        </w:tc>
        <w:tc>
          <w:tcPr>
            <w:tcW w:w="2905" w:type="dxa"/>
            <w:vMerge w:val="continue"/>
            <w:vAlign w:val="center"/>
          </w:tcPr>
          <w:p>
            <w:pPr>
              <w:adjustRightInd w:val="0"/>
              <w:snapToGrid w:val="0"/>
              <w:jc w:val="center"/>
              <w:rPr>
                <w:color w:val="FF0000"/>
                <w:sz w:val="24"/>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8" w:hRule="atLeast"/>
          <w:jc w:val="center"/>
        </w:trPr>
        <w:tc>
          <w:tcPr>
            <w:tcW w:w="1023" w:type="dxa"/>
            <w:vMerge w:val="restart"/>
            <w:vAlign w:val="center"/>
          </w:tcPr>
          <w:p>
            <w:pPr>
              <w:spacing w:line="240" w:lineRule="atLeast"/>
              <w:jc w:val="center"/>
              <w:rPr>
                <w:b/>
                <w:bCs/>
                <w:sz w:val="24"/>
              </w:rPr>
            </w:pPr>
            <w:r>
              <w:rPr>
                <w:b/>
                <w:bCs/>
                <w:sz w:val="24"/>
              </w:rPr>
              <w:t>固</w:t>
            </w:r>
          </w:p>
          <w:p>
            <w:pPr>
              <w:spacing w:line="240" w:lineRule="atLeast"/>
              <w:jc w:val="center"/>
              <w:rPr>
                <w:b/>
                <w:bCs/>
                <w:sz w:val="24"/>
              </w:rPr>
            </w:pPr>
            <w:r>
              <w:rPr>
                <w:b/>
                <w:bCs/>
                <w:sz w:val="24"/>
              </w:rPr>
              <w:t>体</w:t>
            </w:r>
          </w:p>
          <w:p>
            <w:pPr>
              <w:spacing w:line="240" w:lineRule="atLeast"/>
              <w:jc w:val="center"/>
              <w:rPr>
                <w:b/>
                <w:bCs/>
                <w:sz w:val="24"/>
              </w:rPr>
            </w:pPr>
            <w:r>
              <w:rPr>
                <w:b/>
                <w:bCs/>
                <w:sz w:val="24"/>
              </w:rPr>
              <w:t>废</w:t>
            </w:r>
          </w:p>
          <w:p>
            <w:pPr>
              <w:spacing w:line="240" w:lineRule="atLeast"/>
              <w:jc w:val="center"/>
              <w:rPr>
                <w:b/>
                <w:bCs/>
                <w:sz w:val="24"/>
              </w:rPr>
            </w:pPr>
            <w:r>
              <w:rPr>
                <w:b/>
                <w:bCs/>
                <w:sz w:val="24"/>
              </w:rPr>
              <w:t>物</w:t>
            </w:r>
          </w:p>
        </w:tc>
        <w:tc>
          <w:tcPr>
            <w:tcW w:w="1453" w:type="dxa"/>
            <w:vAlign w:val="center"/>
          </w:tcPr>
          <w:p>
            <w:pPr>
              <w:pStyle w:val="12"/>
              <w:autoSpaceDE w:val="0"/>
              <w:autoSpaceDN w:val="0"/>
              <w:adjustRightInd w:val="0"/>
              <w:snapToGrid/>
              <w:spacing w:line="240" w:lineRule="auto"/>
              <w:ind w:left="0" w:right="0" w:firstLine="0"/>
              <w:jc w:val="center"/>
              <w:rPr>
                <w:szCs w:val="24"/>
              </w:rPr>
            </w:pPr>
            <w:r>
              <w:rPr>
                <w:rFonts w:hint="eastAsia"/>
                <w:szCs w:val="24"/>
              </w:rPr>
              <w:t>制钉工序</w:t>
            </w:r>
          </w:p>
        </w:tc>
        <w:tc>
          <w:tcPr>
            <w:tcW w:w="1300" w:type="dxa"/>
            <w:vAlign w:val="center"/>
          </w:tcPr>
          <w:p>
            <w:pPr>
              <w:adjustRightInd w:val="0"/>
              <w:snapToGrid w:val="0"/>
              <w:jc w:val="center"/>
              <w:textAlignment w:val="baseline"/>
              <w:rPr>
                <w:sz w:val="24"/>
              </w:rPr>
            </w:pPr>
            <w:r>
              <w:rPr>
                <w:rFonts w:hint="eastAsia"/>
                <w:sz w:val="24"/>
              </w:rPr>
              <w:t>废铁丝、废铁钉、废氧化皮</w:t>
            </w:r>
          </w:p>
        </w:tc>
        <w:tc>
          <w:tcPr>
            <w:tcW w:w="2459" w:type="dxa"/>
            <w:vAlign w:val="center"/>
          </w:tcPr>
          <w:p>
            <w:pPr>
              <w:snapToGrid w:val="0"/>
              <w:jc w:val="center"/>
              <w:rPr>
                <w:sz w:val="24"/>
              </w:rPr>
            </w:pPr>
            <w:r>
              <w:rPr>
                <w:rFonts w:hint="eastAsia"/>
                <w:sz w:val="24"/>
              </w:rPr>
              <w:t>10</w:t>
            </w:r>
            <w:r>
              <w:rPr>
                <w:sz w:val="24"/>
              </w:rPr>
              <w:t>t/a</w:t>
            </w:r>
          </w:p>
        </w:tc>
        <w:tc>
          <w:tcPr>
            <w:tcW w:w="2905" w:type="dxa"/>
            <w:vMerge w:val="restart"/>
            <w:vAlign w:val="center"/>
          </w:tcPr>
          <w:p>
            <w:pPr>
              <w:jc w:val="center"/>
              <w:rPr>
                <w:sz w:val="24"/>
              </w:rPr>
            </w:pPr>
            <w:r>
              <w:rPr>
                <w:sz w:val="24"/>
              </w:rPr>
              <w:t>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jc w:val="center"/>
        </w:trPr>
        <w:tc>
          <w:tcPr>
            <w:tcW w:w="1023" w:type="dxa"/>
            <w:vMerge w:val="continue"/>
            <w:vAlign w:val="center"/>
          </w:tcPr>
          <w:p>
            <w:pPr>
              <w:spacing w:line="240" w:lineRule="atLeast"/>
              <w:jc w:val="center"/>
              <w:rPr>
                <w:b/>
                <w:bCs/>
                <w:sz w:val="24"/>
              </w:rPr>
            </w:pPr>
          </w:p>
        </w:tc>
        <w:tc>
          <w:tcPr>
            <w:tcW w:w="1453" w:type="dxa"/>
            <w:vAlign w:val="center"/>
          </w:tcPr>
          <w:p>
            <w:pPr>
              <w:pStyle w:val="12"/>
              <w:autoSpaceDE w:val="0"/>
              <w:autoSpaceDN w:val="0"/>
              <w:adjustRightInd w:val="0"/>
              <w:snapToGrid/>
              <w:spacing w:line="240" w:lineRule="auto"/>
              <w:ind w:left="0" w:right="0" w:firstLine="0"/>
              <w:jc w:val="center"/>
              <w:rPr>
                <w:szCs w:val="24"/>
              </w:rPr>
            </w:pPr>
            <w:r>
              <w:rPr>
                <w:rFonts w:hint="eastAsia"/>
                <w:szCs w:val="24"/>
              </w:rPr>
              <w:t>抛光工序</w:t>
            </w:r>
          </w:p>
        </w:tc>
        <w:tc>
          <w:tcPr>
            <w:tcW w:w="1300" w:type="dxa"/>
            <w:vAlign w:val="center"/>
          </w:tcPr>
          <w:p>
            <w:pPr>
              <w:adjustRightInd w:val="0"/>
              <w:snapToGrid w:val="0"/>
              <w:jc w:val="center"/>
              <w:textAlignment w:val="baseline"/>
              <w:rPr>
                <w:sz w:val="24"/>
              </w:rPr>
            </w:pPr>
            <w:r>
              <w:rPr>
                <w:rFonts w:hint="eastAsia"/>
                <w:sz w:val="24"/>
              </w:rPr>
              <w:t>废锯末</w:t>
            </w:r>
          </w:p>
        </w:tc>
        <w:tc>
          <w:tcPr>
            <w:tcW w:w="2459" w:type="dxa"/>
            <w:vAlign w:val="center"/>
          </w:tcPr>
          <w:p>
            <w:pPr>
              <w:snapToGrid w:val="0"/>
              <w:jc w:val="center"/>
              <w:rPr>
                <w:sz w:val="24"/>
              </w:rPr>
            </w:pPr>
            <w:r>
              <w:rPr>
                <w:rFonts w:hint="eastAsia"/>
                <w:sz w:val="24"/>
              </w:rPr>
              <w:t>2.4</w:t>
            </w:r>
            <w:r>
              <w:rPr>
                <w:sz w:val="24"/>
              </w:rPr>
              <w:t>t/a</w:t>
            </w:r>
          </w:p>
        </w:tc>
        <w:tc>
          <w:tcPr>
            <w:tcW w:w="2905"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jc w:val="center"/>
        </w:trPr>
        <w:tc>
          <w:tcPr>
            <w:tcW w:w="1023" w:type="dxa"/>
            <w:vMerge w:val="continue"/>
            <w:vAlign w:val="center"/>
          </w:tcPr>
          <w:p>
            <w:pPr>
              <w:spacing w:line="240" w:lineRule="atLeast"/>
              <w:jc w:val="center"/>
              <w:rPr>
                <w:b/>
                <w:bCs/>
                <w:sz w:val="24"/>
              </w:rPr>
            </w:pPr>
          </w:p>
        </w:tc>
        <w:tc>
          <w:tcPr>
            <w:tcW w:w="1453" w:type="dxa"/>
            <w:vAlign w:val="center"/>
          </w:tcPr>
          <w:p>
            <w:pPr>
              <w:pStyle w:val="12"/>
              <w:autoSpaceDE w:val="0"/>
              <w:autoSpaceDN w:val="0"/>
              <w:adjustRightInd w:val="0"/>
              <w:snapToGrid/>
              <w:spacing w:line="240" w:lineRule="auto"/>
              <w:ind w:left="0" w:right="0" w:firstLine="0"/>
              <w:jc w:val="center"/>
              <w:rPr>
                <w:szCs w:val="24"/>
              </w:rPr>
            </w:pPr>
            <w:r>
              <w:rPr>
                <w:rFonts w:hint="eastAsia"/>
                <w:szCs w:val="24"/>
              </w:rPr>
              <w:t>湿拉工序</w:t>
            </w:r>
          </w:p>
        </w:tc>
        <w:tc>
          <w:tcPr>
            <w:tcW w:w="1300" w:type="dxa"/>
            <w:vAlign w:val="center"/>
          </w:tcPr>
          <w:p>
            <w:pPr>
              <w:adjustRightInd w:val="0"/>
              <w:snapToGrid w:val="0"/>
              <w:jc w:val="center"/>
              <w:textAlignment w:val="baseline"/>
              <w:rPr>
                <w:sz w:val="24"/>
              </w:rPr>
            </w:pPr>
            <w:r>
              <w:rPr>
                <w:rFonts w:hint="eastAsia"/>
                <w:sz w:val="24"/>
              </w:rPr>
              <w:t>废渣</w:t>
            </w:r>
          </w:p>
        </w:tc>
        <w:tc>
          <w:tcPr>
            <w:tcW w:w="2459" w:type="dxa"/>
            <w:vAlign w:val="center"/>
          </w:tcPr>
          <w:p>
            <w:pPr>
              <w:snapToGrid w:val="0"/>
              <w:jc w:val="center"/>
              <w:rPr>
                <w:sz w:val="24"/>
              </w:rPr>
            </w:pPr>
            <w:r>
              <w:rPr>
                <w:rFonts w:hint="eastAsia"/>
                <w:sz w:val="24"/>
              </w:rPr>
              <w:t>0.2</w:t>
            </w:r>
            <w:r>
              <w:rPr>
                <w:sz w:val="24"/>
              </w:rPr>
              <w:t>t/a</w:t>
            </w:r>
          </w:p>
        </w:tc>
        <w:tc>
          <w:tcPr>
            <w:tcW w:w="2905"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jc w:val="center"/>
        </w:trPr>
        <w:tc>
          <w:tcPr>
            <w:tcW w:w="1023" w:type="dxa"/>
            <w:vMerge w:val="continue"/>
            <w:vAlign w:val="center"/>
          </w:tcPr>
          <w:p>
            <w:pPr>
              <w:spacing w:line="240" w:lineRule="atLeast"/>
              <w:jc w:val="center"/>
              <w:rPr>
                <w:b/>
                <w:bCs/>
                <w:sz w:val="24"/>
              </w:rPr>
            </w:pPr>
          </w:p>
        </w:tc>
        <w:tc>
          <w:tcPr>
            <w:tcW w:w="1453" w:type="dxa"/>
            <w:vAlign w:val="center"/>
          </w:tcPr>
          <w:p>
            <w:pPr>
              <w:pStyle w:val="12"/>
              <w:autoSpaceDE w:val="0"/>
              <w:autoSpaceDN w:val="0"/>
              <w:adjustRightInd w:val="0"/>
              <w:snapToGrid/>
              <w:spacing w:line="240" w:lineRule="auto"/>
              <w:ind w:left="0" w:right="0" w:firstLine="0"/>
              <w:jc w:val="center"/>
              <w:rPr>
                <w:szCs w:val="24"/>
              </w:rPr>
            </w:pPr>
            <w:r>
              <w:rPr>
                <w:rFonts w:hint="eastAsia"/>
                <w:szCs w:val="24"/>
              </w:rPr>
              <w:t>袋式除尘器</w:t>
            </w:r>
          </w:p>
        </w:tc>
        <w:tc>
          <w:tcPr>
            <w:tcW w:w="1300" w:type="dxa"/>
            <w:vAlign w:val="center"/>
          </w:tcPr>
          <w:p>
            <w:pPr>
              <w:adjustRightInd w:val="0"/>
              <w:snapToGrid w:val="0"/>
              <w:jc w:val="center"/>
              <w:textAlignment w:val="baseline"/>
              <w:rPr>
                <w:sz w:val="24"/>
              </w:rPr>
            </w:pPr>
            <w:r>
              <w:rPr>
                <w:rFonts w:hint="eastAsia"/>
                <w:sz w:val="24"/>
              </w:rPr>
              <w:t>粉尘</w:t>
            </w:r>
          </w:p>
        </w:tc>
        <w:tc>
          <w:tcPr>
            <w:tcW w:w="2459" w:type="dxa"/>
            <w:vAlign w:val="center"/>
          </w:tcPr>
          <w:p>
            <w:pPr>
              <w:snapToGrid w:val="0"/>
              <w:jc w:val="center"/>
              <w:rPr>
                <w:sz w:val="24"/>
              </w:rPr>
            </w:pPr>
            <w:r>
              <w:rPr>
                <w:rFonts w:hint="eastAsia"/>
                <w:sz w:val="24"/>
              </w:rPr>
              <w:t>3.3969</w:t>
            </w:r>
            <w:r>
              <w:rPr>
                <w:sz w:val="24"/>
              </w:rPr>
              <w:t>t/a</w:t>
            </w:r>
          </w:p>
        </w:tc>
        <w:tc>
          <w:tcPr>
            <w:tcW w:w="2905"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3" w:type="dxa"/>
            <w:vAlign w:val="center"/>
          </w:tcPr>
          <w:p>
            <w:pPr>
              <w:spacing w:line="440" w:lineRule="exact"/>
              <w:jc w:val="center"/>
              <w:rPr>
                <w:b/>
                <w:bCs/>
                <w:sz w:val="24"/>
              </w:rPr>
            </w:pPr>
            <w:r>
              <w:rPr>
                <w:b/>
                <w:bCs/>
                <w:sz w:val="24"/>
              </w:rPr>
              <w:t>噪</w:t>
            </w:r>
          </w:p>
          <w:p>
            <w:pPr>
              <w:spacing w:line="440" w:lineRule="exact"/>
              <w:jc w:val="center"/>
              <w:rPr>
                <w:b/>
                <w:bCs/>
                <w:sz w:val="24"/>
              </w:rPr>
            </w:pPr>
            <w:r>
              <w:rPr>
                <w:b/>
                <w:bCs/>
                <w:sz w:val="24"/>
              </w:rPr>
              <w:t>声</w:t>
            </w:r>
          </w:p>
        </w:tc>
        <w:tc>
          <w:tcPr>
            <w:tcW w:w="8117" w:type="dxa"/>
            <w:gridSpan w:val="4"/>
            <w:vAlign w:val="center"/>
          </w:tcPr>
          <w:p>
            <w:pPr>
              <w:spacing w:line="500" w:lineRule="exact"/>
              <w:ind w:firstLine="480" w:firstLineChars="200"/>
              <w:jc w:val="left"/>
              <w:rPr>
                <w:sz w:val="24"/>
              </w:rPr>
            </w:pPr>
            <w:r>
              <w:rPr>
                <w:rFonts w:hAnsi="宋体"/>
                <w:sz w:val="24"/>
              </w:rPr>
              <w:t>本项目噪声主要是</w:t>
            </w:r>
            <w:r>
              <w:rPr>
                <w:rFonts w:hAnsi="宋体"/>
                <w:color w:val="000000"/>
                <w:sz w:val="24"/>
              </w:rPr>
              <w:t>拔丝机、</w:t>
            </w:r>
            <w:r>
              <w:rPr>
                <w:rFonts w:hint="eastAsia" w:hAnsi="宋体"/>
                <w:color w:val="000000"/>
                <w:sz w:val="24"/>
              </w:rPr>
              <w:t>空压机、制钉</w:t>
            </w:r>
            <w:r>
              <w:rPr>
                <w:rFonts w:hAnsi="宋体"/>
                <w:color w:val="000000"/>
                <w:sz w:val="24"/>
              </w:rPr>
              <w:t>机</w:t>
            </w:r>
            <w:r>
              <w:rPr>
                <w:rFonts w:hint="eastAsia" w:hAnsi="宋体"/>
                <w:color w:val="000000"/>
                <w:sz w:val="24"/>
              </w:rPr>
              <w:t>、抛光机</w:t>
            </w:r>
            <w:r>
              <w:rPr>
                <w:rFonts w:hAnsi="宋体"/>
                <w:color w:val="000000"/>
                <w:sz w:val="24"/>
              </w:rPr>
              <w:t>等</w:t>
            </w:r>
            <w:r>
              <w:rPr>
                <w:rFonts w:hAnsi="宋体"/>
                <w:sz w:val="24"/>
              </w:rPr>
              <w:t>运行时产生的噪声，噪声源强在</w:t>
            </w:r>
            <w:r>
              <w:rPr>
                <w:rFonts w:hint="eastAsia"/>
                <w:sz w:val="24"/>
              </w:rPr>
              <w:t>70-90</w:t>
            </w:r>
            <w:r>
              <w:rPr>
                <w:sz w:val="24"/>
              </w:rPr>
              <w:t>dB(A)</w:t>
            </w:r>
            <w:r>
              <w:rPr>
                <w:rFonts w:hAnsi="宋体"/>
                <w:sz w:val="24"/>
              </w:rPr>
              <w:t>之间。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67" w:hRule="atLeast"/>
          <w:jc w:val="center"/>
        </w:trPr>
        <w:tc>
          <w:tcPr>
            <w:tcW w:w="1023" w:type="dxa"/>
            <w:vAlign w:val="center"/>
          </w:tcPr>
          <w:p>
            <w:pPr>
              <w:jc w:val="center"/>
              <w:rPr>
                <w:b/>
                <w:bCs/>
                <w:color w:val="000000"/>
                <w:sz w:val="24"/>
              </w:rPr>
            </w:pPr>
            <w:r>
              <w:rPr>
                <w:b/>
                <w:bCs/>
                <w:color w:val="000000"/>
                <w:sz w:val="24"/>
              </w:rPr>
              <w:t>其他</w:t>
            </w:r>
          </w:p>
        </w:tc>
        <w:tc>
          <w:tcPr>
            <w:tcW w:w="8117" w:type="dxa"/>
            <w:gridSpan w:val="4"/>
            <w:vAlign w:val="center"/>
          </w:tcPr>
          <w:p>
            <w:pPr>
              <w:ind w:firstLine="3480" w:firstLineChars="1450"/>
              <w:rPr>
                <w:color w:val="000000"/>
                <w:sz w:val="24"/>
              </w:rPr>
            </w:pPr>
            <w:r>
              <w:rPr>
                <w:color w:val="000000"/>
                <w:sz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140" w:type="dxa"/>
            <w:gridSpan w:val="5"/>
            <w:vAlign w:val="center"/>
          </w:tcPr>
          <w:p>
            <w:pPr>
              <w:spacing w:line="360" w:lineRule="auto"/>
              <w:jc w:val="left"/>
              <w:rPr>
                <w:rFonts w:ascii="宋体" w:hAnsi="宋体"/>
                <w:b/>
                <w:bCs/>
                <w:color w:val="000000"/>
                <w:sz w:val="24"/>
              </w:rPr>
            </w:pPr>
            <w:r>
              <w:rPr>
                <w:rFonts w:ascii="宋体" w:hAnsi="宋体"/>
                <w:b/>
                <w:bCs/>
                <w:color w:val="000000"/>
                <w:sz w:val="24"/>
              </w:rPr>
              <w:t>主要生态影响：</w:t>
            </w:r>
          </w:p>
          <w:p>
            <w:pPr>
              <w:spacing w:line="520" w:lineRule="exact"/>
              <w:ind w:firstLine="420"/>
              <w:jc w:val="left"/>
              <w:rPr>
                <w:rFonts w:ascii="宋体" w:hAnsi="宋体"/>
                <w:sz w:val="24"/>
              </w:rPr>
            </w:pPr>
            <w:r>
              <w:rPr>
                <w:rFonts w:ascii="宋体" w:hAnsi="宋体"/>
                <w:sz w:val="24"/>
              </w:rPr>
              <w:t>本项目运营期各污染物得到有效处理，不会对生态造成明显的影响，项目实施后，随着绿化措施的实施，区域生物量损失将得到一定补偿，起到美化环境、降尘、降噪的作用。</w:t>
            </w:r>
          </w:p>
          <w:p>
            <w:pPr>
              <w:pStyle w:val="40"/>
            </w:pPr>
          </w:p>
          <w:p>
            <w:pPr>
              <w:pStyle w:val="45"/>
              <w:ind w:firstLine="420"/>
              <w:rPr>
                <w:lang w:val="en-US"/>
              </w:rPr>
            </w:pPr>
          </w:p>
          <w:p>
            <w:pPr>
              <w:pStyle w:val="45"/>
              <w:ind w:firstLine="420"/>
              <w:rPr>
                <w:lang w:val="en-US"/>
              </w:rPr>
            </w:pPr>
          </w:p>
          <w:p>
            <w:pPr>
              <w:pStyle w:val="45"/>
              <w:ind w:firstLine="420"/>
              <w:rPr>
                <w:lang w:val="en-US"/>
              </w:rPr>
            </w:pPr>
          </w:p>
          <w:p>
            <w:pPr>
              <w:pStyle w:val="45"/>
              <w:ind w:firstLine="420"/>
              <w:rPr>
                <w:lang w:val="en-US"/>
              </w:rPr>
            </w:pPr>
          </w:p>
          <w:p>
            <w:pPr>
              <w:pStyle w:val="45"/>
              <w:ind w:firstLine="0" w:firstLineChars="0"/>
              <w:rPr>
                <w:lang w:val="en-US"/>
              </w:rPr>
            </w:pPr>
          </w:p>
          <w:p>
            <w:pPr>
              <w:pStyle w:val="45"/>
              <w:ind w:firstLine="420"/>
              <w:rPr>
                <w:lang w:val="en-US"/>
              </w:rPr>
            </w:pPr>
          </w:p>
        </w:tc>
      </w:tr>
    </w:tbl>
    <w:p>
      <w:pPr>
        <w:spacing w:line="500" w:lineRule="exact"/>
        <w:outlineLvl w:val="0"/>
        <w:rPr>
          <w:b/>
          <w:sz w:val="32"/>
          <w:szCs w:val="32"/>
        </w:rPr>
      </w:pPr>
      <w:r>
        <w:rPr>
          <w:rFonts w:hint="eastAsia" w:hAnsi="宋体"/>
          <w:b/>
          <w:sz w:val="32"/>
          <w:szCs w:val="32"/>
        </w:rPr>
        <w:t>环境影响分析</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57" w:type="dxa"/>
          <w:bottom w:w="0" w:type="dxa"/>
          <w:right w:w="57" w:type="dxa"/>
        </w:tblCellMar>
      </w:tblPr>
      <w:tblGrid>
        <w:gridCol w:w="91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5042" w:hRule="atLeast"/>
          <w:jc w:val="center"/>
        </w:trPr>
        <w:tc>
          <w:tcPr>
            <w:tcW w:w="9044" w:type="dxa"/>
          </w:tcPr>
          <w:p>
            <w:pPr>
              <w:adjustRightInd w:val="0"/>
              <w:snapToGrid w:val="0"/>
              <w:spacing w:line="440" w:lineRule="exact"/>
              <w:rPr>
                <w:rFonts w:asciiTheme="minorEastAsia" w:hAnsiTheme="minorEastAsia" w:eastAsiaTheme="minorEastAsia"/>
                <w:b/>
                <w:sz w:val="24"/>
              </w:rPr>
            </w:pPr>
            <w:r>
              <w:rPr>
                <w:rFonts w:asciiTheme="minorEastAsia" w:hAnsiTheme="minorEastAsia" w:eastAsiaTheme="minorEastAsia"/>
                <w:b/>
                <w:sz w:val="24"/>
              </w:rPr>
              <w:t>施工期环境影响分析：</w:t>
            </w:r>
          </w:p>
          <w:p>
            <w:pPr>
              <w:pStyle w:val="50"/>
              <w:spacing w:line="440" w:lineRule="exact"/>
              <w:ind w:firstLine="480"/>
              <w:rPr>
                <w:rFonts w:asciiTheme="minorEastAsia" w:hAnsiTheme="minorEastAsia" w:eastAsiaTheme="minorEastAsia"/>
                <w:szCs w:val="24"/>
              </w:rPr>
            </w:pPr>
            <w:r>
              <w:rPr>
                <w:rFonts w:asciiTheme="minorEastAsia" w:hAnsiTheme="minorEastAsia" w:eastAsiaTheme="minorEastAsia"/>
                <w:szCs w:val="24"/>
              </w:rPr>
              <w:t>本</w:t>
            </w:r>
            <w:r>
              <w:rPr>
                <w:rFonts w:hint="eastAsia" w:asciiTheme="minorEastAsia" w:hAnsiTheme="minorEastAsia" w:eastAsiaTheme="minorEastAsia"/>
                <w:szCs w:val="24"/>
              </w:rPr>
              <w:t>项目租赁现有厂房生产</w:t>
            </w:r>
            <w:r>
              <w:rPr>
                <w:rFonts w:asciiTheme="minorEastAsia" w:hAnsiTheme="minorEastAsia" w:eastAsiaTheme="minorEastAsia"/>
                <w:szCs w:val="24"/>
              </w:rPr>
              <w:t>，不涉及到建筑物的施工建设，只需要安装设备，故本评价不对施工期</w:t>
            </w:r>
            <w:r>
              <w:rPr>
                <w:rFonts w:hint="eastAsia" w:asciiTheme="minorEastAsia" w:hAnsiTheme="minorEastAsia" w:eastAsiaTheme="minorEastAsia"/>
                <w:szCs w:val="24"/>
              </w:rPr>
              <w:t>环境影响</w:t>
            </w:r>
            <w:r>
              <w:rPr>
                <w:rFonts w:asciiTheme="minorEastAsia" w:hAnsiTheme="minorEastAsia" w:eastAsiaTheme="minorEastAsia"/>
                <w:szCs w:val="24"/>
              </w:rPr>
              <w:t>进行分析。</w:t>
            </w:r>
          </w:p>
          <w:p>
            <w:pPr>
              <w:spacing w:line="440" w:lineRule="exact"/>
              <w:rPr>
                <w:rFonts w:eastAsiaTheme="minorEastAsia"/>
                <w:b/>
                <w:sz w:val="24"/>
              </w:rPr>
            </w:pPr>
            <w:r>
              <w:rPr>
                <w:rFonts w:eastAsiaTheme="minorEastAsia"/>
                <w:b/>
                <w:sz w:val="24"/>
              </w:rPr>
              <w:pict>
                <v:shape id="自选图形 140" o:spid="_x0000_s2117" o:spt="32" type="#_x0000_t32" style="position:absolute;left:0pt;margin-left:-3.2pt;margin-top:4.4pt;height:0pt;width:459.5pt;z-index:251646976;mso-width-relative:page;mso-height-relative:page;" filled="f" coordsize="21600,21600">
                  <v:path arrowok="t"/>
                  <v:fill on="f" focussize="0,0"/>
                  <v:stroke/>
                  <v:imagedata o:title=""/>
                  <o:lock v:ext="edit"/>
                </v:shape>
              </w:pict>
            </w:r>
            <w:r>
              <w:rPr>
                <w:rFonts w:hAnsiTheme="minorEastAsia" w:eastAsiaTheme="minorEastAsia"/>
                <w:b/>
                <w:sz w:val="24"/>
              </w:rPr>
              <w:t>营运期环境影响分析：</w:t>
            </w:r>
          </w:p>
          <w:p>
            <w:pPr>
              <w:snapToGrid w:val="0"/>
              <w:spacing w:line="440" w:lineRule="exact"/>
              <w:ind w:firstLine="480" w:firstLineChars="200"/>
              <w:contextualSpacing/>
              <w:textAlignment w:val="baseline"/>
              <w:rPr>
                <w:rFonts w:eastAsiaTheme="minorEastAsia"/>
                <w:sz w:val="24"/>
              </w:rPr>
            </w:pPr>
            <w:r>
              <w:rPr>
                <w:rFonts w:hAnsiTheme="minorEastAsia" w:eastAsiaTheme="minorEastAsia"/>
                <w:sz w:val="24"/>
              </w:rPr>
              <w:t>本项目营运期对环境的影响主要是生产过程中产生的</w:t>
            </w:r>
            <w:r>
              <w:rPr>
                <w:rFonts w:hint="eastAsia" w:hAnsiTheme="minorEastAsia" w:eastAsiaTheme="minorEastAsia"/>
                <w:sz w:val="24"/>
              </w:rPr>
              <w:t>废气、</w:t>
            </w:r>
            <w:r>
              <w:rPr>
                <w:rFonts w:hAnsiTheme="minorEastAsia" w:eastAsiaTheme="minorEastAsia"/>
                <w:sz w:val="24"/>
              </w:rPr>
              <w:t>废水、噪声、固废。</w:t>
            </w:r>
            <w:r>
              <w:rPr>
                <w:rFonts w:hAnsiTheme="minorEastAsia" w:eastAsiaTheme="minorEastAsia"/>
                <w:color w:val="000000"/>
                <w:sz w:val="24"/>
              </w:rPr>
              <w:t>现将该项目营运过程中对环境的影响分析如下：</w:t>
            </w:r>
          </w:p>
          <w:p>
            <w:pPr>
              <w:pStyle w:val="122"/>
              <w:adjustRightInd w:val="0"/>
              <w:snapToGrid w:val="0"/>
              <w:spacing w:line="440" w:lineRule="exact"/>
              <w:ind w:firstLine="482"/>
              <w:rPr>
                <w:rFonts w:eastAsiaTheme="minorEastAsia"/>
                <w:b/>
                <w:sz w:val="24"/>
              </w:rPr>
            </w:pPr>
            <w:r>
              <w:rPr>
                <w:rFonts w:hAnsiTheme="minorEastAsia" w:eastAsiaTheme="minorEastAsia"/>
                <w:b/>
                <w:sz w:val="24"/>
              </w:rPr>
              <w:t>一、废气</w:t>
            </w:r>
          </w:p>
          <w:p>
            <w:pPr>
              <w:spacing w:line="440" w:lineRule="exact"/>
              <w:ind w:firstLine="470" w:firstLineChars="196"/>
              <w:rPr>
                <w:bCs/>
                <w:color w:val="000000"/>
                <w:sz w:val="24"/>
              </w:rPr>
            </w:pPr>
            <w:r>
              <w:rPr>
                <w:bCs/>
                <w:color w:val="000000"/>
                <w:sz w:val="24"/>
              </w:rPr>
              <w:t>本项目生产过程中产生的废气主要为抛光过程产生的粉尘。</w:t>
            </w:r>
          </w:p>
          <w:p>
            <w:pPr>
              <w:adjustRightInd w:val="0"/>
              <w:snapToGrid w:val="0"/>
              <w:spacing w:line="440" w:lineRule="exact"/>
              <w:ind w:firstLine="482" w:firstLineChars="200"/>
              <w:textAlignment w:val="baseline"/>
              <w:rPr>
                <w:color w:val="000000"/>
                <w:sz w:val="24"/>
              </w:rPr>
            </w:pPr>
            <w:r>
              <w:rPr>
                <w:b/>
                <w:bCs/>
                <w:color w:val="000000"/>
                <w:sz w:val="24"/>
              </w:rPr>
              <w:t>1、</w:t>
            </w:r>
            <w:r>
              <w:rPr>
                <w:rFonts w:hint="eastAsia"/>
                <w:b/>
                <w:bCs/>
                <w:color w:val="000000"/>
                <w:sz w:val="24"/>
              </w:rPr>
              <w:t>废气产生源强分析</w:t>
            </w:r>
          </w:p>
          <w:p>
            <w:pPr>
              <w:spacing w:line="440" w:lineRule="exact"/>
              <w:ind w:firstLine="480" w:firstLineChars="200"/>
              <w:jc w:val="left"/>
              <w:rPr>
                <w:color w:val="000000"/>
                <w:sz w:val="24"/>
              </w:rPr>
            </w:pPr>
            <w:r>
              <w:rPr>
                <w:color w:val="000000"/>
                <w:sz w:val="24"/>
              </w:rPr>
              <w:t>（1）</w:t>
            </w:r>
            <w:r>
              <w:rPr>
                <w:rFonts w:hint="eastAsia"/>
                <w:b/>
                <w:bCs/>
                <w:color w:val="000000"/>
                <w:sz w:val="24"/>
              </w:rPr>
              <w:t>有组织排放</w:t>
            </w:r>
          </w:p>
          <w:p>
            <w:pPr>
              <w:pStyle w:val="134"/>
              <w:spacing w:after="0" w:line="500" w:lineRule="exact"/>
              <w:rPr>
                <w:rFonts w:hint="eastAsia" w:ascii="Times New Roman" w:hAnsi="Times New Roman"/>
                <w:color w:val="000000"/>
                <w:lang w:val="en-US" w:eastAsia="zh-CN"/>
              </w:rPr>
            </w:pPr>
            <w:r>
              <w:rPr>
                <w:rFonts w:ascii="Times New Roman" w:hAnsi="Times New Roman"/>
                <w:color w:val="000000"/>
              </w:rPr>
              <w:t>本项目采用</w:t>
            </w:r>
            <w:r>
              <w:rPr>
                <w:rFonts w:hint="eastAsia" w:ascii="Times New Roman" w:hAnsi="Times New Roman"/>
                <w:color w:val="000000"/>
              </w:rPr>
              <w:t>滚筒</w:t>
            </w:r>
            <w:r>
              <w:rPr>
                <w:rFonts w:ascii="Times New Roman" w:hAnsi="Times New Roman"/>
                <w:color w:val="000000"/>
              </w:rPr>
              <w:t>抛光机清理</w:t>
            </w:r>
            <w:r>
              <w:rPr>
                <w:rFonts w:hint="eastAsia" w:ascii="Times New Roman" w:hAnsi="Times New Roman"/>
                <w:color w:val="000000"/>
              </w:rPr>
              <w:t>铁钉</w:t>
            </w:r>
            <w:r>
              <w:rPr>
                <w:rFonts w:ascii="Times New Roman" w:hAnsi="Times New Roman"/>
                <w:color w:val="000000"/>
              </w:rPr>
              <w:t>表面（</w:t>
            </w:r>
            <w:r>
              <w:rPr>
                <w:rFonts w:hint="eastAsia" w:ascii="Times New Roman" w:hAnsi="Times New Roman"/>
                <w:color w:val="000000"/>
              </w:rPr>
              <w:t>铁钉</w:t>
            </w:r>
            <w:r>
              <w:rPr>
                <w:rFonts w:ascii="Times New Roman" w:hAnsi="Times New Roman"/>
                <w:color w:val="000000"/>
              </w:rPr>
              <w:t>与锯末混合摩擦使</w:t>
            </w:r>
            <w:r>
              <w:rPr>
                <w:rFonts w:hint="eastAsia" w:ascii="Times New Roman" w:hAnsi="Times New Roman"/>
                <w:color w:val="000000"/>
              </w:rPr>
              <w:t>铁钉</w:t>
            </w:r>
            <w:r>
              <w:rPr>
                <w:rFonts w:ascii="Times New Roman" w:hAnsi="Times New Roman"/>
                <w:color w:val="000000"/>
              </w:rPr>
              <w:t>表面光滑明亮），抛光时会有粉尘产</w:t>
            </w:r>
            <w:r>
              <w:rPr>
                <w:rFonts w:hint="eastAsia" w:ascii="Times New Roman" w:hAnsi="Times New Roman"/>
                <w:color w:val="000000"/>
                <w:lang w:eastAsia="zh-CN"/>
              </w:rPr>
              <w:t>生，由于本项目为新建项目，抛光工段无实测数据</w:t>
            </w:r>
            <w:r>
              <w:rPr>
                <w:rFonts w:ascii="Times New Roman" w:hAnsi="Times New Roman"/>
                <w:color w:val="000000"/>
              </w:rPr>
              <w:t>，</w:t>
            </w:r>
            <w:r>
              <w:rPr>
                <w:rFonts w:hint="eastAsia" w:ascii="Times New Roman" w:hAnsi="Times New Roman"/>
                <w:color w:val="000000"/>
                <w:lang w:eastAsia="zh-CN"/>
              </w:rPr>
              <w:t>因此，本次评价类比新乡县汇鑫建材有限责任公司年新增</w:t>
            </w:r>
            <w:r>
              <w:rPr>
                <w:rFonts w:hint="eastAsia" w:ascii="Times New Roman" w:hAnsi="Times New Roman"/>
                <w:color w:val="000000"/>
                <w:lang w:val="en-US" w:eastAsia="zh-CN"/>
              </w:rPr>
              <w:t>1000吨圆钉项目，该项目与本项目产能、原材料、生产工艺均相似，符合相同项目类比条件。</w:t>
            </w:r>
          </w:p>
          <w:p>
            <w:pPr>
              <w:pStyle w:val="134"/>
              <w:spacing w:after="0" w:line="500" w:lineRule="exact"/>
              <w:rPr>
                <w:rFonts w:ascii="Times New Roman"/>
                <w:szCs w:val="20"/>
              </w:rPr>
            </w:pPr>
            <w:r>
              <w:rPr>
                <w:rFonts w:ascii="Times New Roman"/>
                <w:kern w:val="2"/>
              </w:rPr>
              <w:t>新乡县</w:t>
            </w:r>
            <w:r>
              <w:rPr>
                <w:rFonts w:hint="eastAsia" w:ascii="Times New Roman"/>
                <w:kern w:val="2"/>
              </w:rPr>
              <w:t>汇鑫建材有限责任公司年新增1000吨圆钉项目</w:t>
            </w:r>
            <w:r>
              <w:rPr>
                <w:rFonts w:hint="eastAsia" w:ascii="Times New Roman"/>
                <w:kern w:val="2"/>
                <w:lang w:eastAsia="zh-CN"/>
              </w:rPr>
              <w:t>（</w:t>
            </w:r>
            <w:r>
              <w:rPr>
                <w:rFonts w:hint="eastAsia" w:ascii="Times New Roman"/>
                <w:kern w:val="2"/>
              </w:rPr>
              <w:t>恒检字20200104-01</w:t>
            </w:r>
            <w:r>
              <w:rPr>
                <w:rFonts w:hint="eastAsia" w:ascii="Times New Roman"/>
                <w:kern w:val="2"/>
                <w:lang w:eastAsia="zh-CN"/>
              </w:rPr>
              <w:t>）</w:t>
            </w:r>
            <w:r>
              <w:rPr>
                <w:rFonts w:hint="eastAsia" w:ascii="Times New Roman"/>
                <w:kern w:val="2"/>
              </w:rPr>
              <w:t>验收</w:t>
            </w:r>
            <w:r>
              <w:rPr>
                <w:rFonts w:ascii="Times New Roman"/>
                <w:kern w:val="2"/>
              </w:rPr>
              <w:t>监测数据</w:t>
            </w:r>
            <w:r>
              <w:rPr>
                <w:rFonts w:ascii="Times New Roman"/>
              </w:rPr>
              <w:t>，抛光工段</w:t>
            </w:r>
            <w:r>
              <w:rPr>
                <w:rFonts w:hint="eastAsia" w:ascii="Times New Roman"/>
              </w:rPr>
              <w:t>粉尘</w:t>
            </w:r>
            <w:r>
              <w:rPr>
                <w:rFonts w:ascii="Times New Roman"/>
              </w:rPr>
              <w:t>产生</w:t>
            </w:r>
            <w:r>
              <w:rPr>
                <w:rFonts w:hint="eastAsia" w:ascii="Times New Roman"/>
              </w:rPr>
              <w:t>速率为5.69</w:t>
            </w:r>
            <w:r>
              <w:rPr>
                <w:rFonts w:ascii="Times New Roman" w:hAnsi="Times New Roman"/>
                <w:szCs w:val="24"/>
              </w:rPr>
              <w:t>kg/h</w:t>
            </w:r>
            <w:r>
              <w:rPr>
                <w:rFonts w:ascii="Times New Roman"/>
                <w:szCs w:val="20"/>
              </w:rPr>
              <w:t>，</w:t>
            </w:r>
            <w:r>
              <w:rPr>
                <w:rFonts w:ascii="Times New Roman"/>
              </w:rPr>
              <w:t>不能满足</w:t>
            </w:r>
            <w:r>
              <w:rPr>
                <w:rFonts w:ascii="Times New Roman"/>
                <w:color w:val="000000"/>
                <w:szCs w:val="24"/>
              </w:rPr>
              <w:t>《大气污染物综合排放标准》（</w:t>
            </w:r>
            <w:r>
              <w:rPr>
                <w:rFonts w:ascii="Times New Roman" w:hAnsi="Times New Roman"/>
                <w:color w:val="000000"/>
                <w:szCs w:val="24"/>
              </w:rPr>
              <w:t>GB16279-1996</w:t>
            </w:r>
            <w:r>
              <w:rPr>
                <w:rFonts w:ascii="Times New Roman"/>
                <w:color w:val="000000"/>
                <w:szCs w:val="24"/>
              </w:rPr>
              <w:t>）</w:t>
            </w:r>
            <w:r>
              <w:rPr>
                <w:rFonts w:ascii="Times New Roman"/>
                <w:szCs w:val="24"/>
              </w:rPr>
              <w:t>表</w:t>
            </w:r>
            <w:r>
              <w:rPr>
                <w:rFonts w:ascii="Times New Roman" w:hAnsi="Times New Roman"/>
                <w:szCs w:val="24"/>
              </w:rPr>
              <w:t>2</w:t>
            </w:r>
            <w:r>
              <w:rPr>
                <w:rFonts w:ascii="Times New Roman"/>
                <w:szCs w:val="24"/>
              </w:rPr>
              <w:t>二级颗粒物</w:t>
            </w:r>
            <w:r>
              <w:rPr>
                <w:rFonts w:ascii="Times New Roman" w:hAnsi="Times New Roman"/>
                <w:szCs w:val="24"/>
              </w:rPr>
              <w:t>排放速率3.5kg/h</w:t>
            </w:r>
            <w:r>
              <w:rPr>
                <w:rFonts w:hint="eastAsia" w:ascii="Times New Roman" w:hAnsi="Times New Roman"/>
                <w:szCs w:val="24"/>
              </w:rPr>
              <w:t>的</w:t>
            </w:r>
            <w:r>
              <w:rPr>
                <w:rFonts w:ascii="Times New Roman"/>
                <w:szCs w:val="24"/>
              </w:rPr>
              <w:t>标准要求。</w:t>
            </w:r>
          </w:p>
          <w:p>
            <w:pPr>
              <w:pStyle w:val="134"/>
              <w:spacing w:after="0" w:line="500" w:lineRule="exact"/>
              <w:rPr>
                <w:rFonts w:hint="default" w:ascii="Times New Roman" w:hAnsi="Times New Roman" w:cs="Times New Roman"/>
                <w:szCs w:val="24"/>
              </w:rPr>
            </w:pPr>
            <w:r>
              <w:rPr>
                <w:rFonts w:hint="eastAsia"/>
                <w:bCs w:val="0"/>
                <w:szCs w:val="24"/>
              </w:rPr>
              <w:t>因此评价提出，对抛光工段进行密闭，</w:t>
            </w:r>
            <w:r>
              <w:rPr>
                <w:rFonts w:hint="eastAsia" w:ascii="Times New Roman"/>
                <w:szCs w:val="20"/>
              </w:rPr>
              <w:t>两台</w:t>
            </w:r>
            <w:r>
              <w:rPr>
                <w:rFonts w:ascii="Times New Roman"/>
                <w:szCs w:val="20"/>
              </w:rPr>
              <w:t>抛光机上方</w:t>
            </w:r>
            <w:r>
              <w:rPr>
                <w:rFonts w:hint="eastAsia" w:ascii="Times New Roman"/>
                <w:szCs w:val="20"/>
              </w:rPr>
              <w:t>分别</w:t>
            </w:r>
            <w:r>
              <w:rPr>
                <w:rFonts w:ascii="Times New Roman"/>
                <w:szCs w:val="20"/>
              </w:rPr>
              <w:t>安装集气罩</w:t>
            </w:r>
            <w:r>
              <w:rPr>
                <w:rFonts w:hint="eastAsia" w:ascii="Times New Roman"/>
                <w:szCs w:val="20"/>
              </w:rPr>
              <w:t>（收集效率</w:t>
            </w:r>
            <w:r>
              <w:rPr>
                <w:rFonts w:ascii="Times New Roman" w:hAnsi="Times New Roman"/>
                <w:szCs w:val="20"/>
              </w:rPr>
              <w:t>≥</w:t>
            </w:r>
            <w:r>
              <w:rPr>
                <w:rFonts w:hint="eastAsia" w:ascii="Times New Roman"/>
                <w:szCs w:val="20"/>
              </w:rPr>
              <w:t>80%）</w:t>
            </w:r>
            <w:r>
              <w:rPr>
                <w:rFonts w:ascii="Times New Roman"/>
                <w:szCs w:val="20"/>
              </w:rPr>
              <w:t>，并经</w:t>
            </w:r>
            <w:r>
              <w:rPr>
                <w:rFonts w:hint="eastAsia" w:ascii="Times New Roman"/>
                <w:szCs w:val="20"/>
              </w:rPr>
              <w:t>一台</w:t>
            </w:r>
            <w:r>
              <w:rPr>
                <w:rFonts w:ascii="Times New Roman"/>
                <w:szCs w:val="20"/>
              </w:rPr>
              <w:t>袋式除尘器（治理效率</w:t>
            </w:r>
            <w:r>
              <w:rPr>
                <w:rFonts w:ascii="Times New Roman" w:hAnsi="Times New Roman"/>
                <w:szCs w:val="20"/>
              </w:rPr>
              <w:t>≥99</w:t>
            </w:r>
            <w:r>
              <w:rPr>
                <w:rFonts w:hint="eastAsia" w:ascii="Times New Roman" w:hAnsi="Times New Roman"/>
                <w:szCs w:val="20"/>
              </w:rPr>
              <w:t>.5</w:t>
            </w:r>
            <w:r>
              <w:rPr>
                <w:rFonts w:ascii="Times New Roman" w:hAnsi="Times New Roman"/>
                <w:szCs w:val="20"/>
              </w:rPr>
              <w:t>%</w:t>
            </w:r>
            <w:r>
              <w:rPr>
                <w:rFonts w:hint="eastAsia" w:ascii="Times New Roman" w:hAnsi="Times New Roman"/>
                <w:szCs w:val="20"/>
              </w:rPr>
              <w:t>、风机风量</w:t>
            </w:r>
            <w:r>
              <w:rPr>
                <w:rFonts w:ascii="Times New Roman" w:hAnsi="Times New Roman"/>
                <w:szCs w:val="20"/>
              </w:rPr>
              <w:t>≥</w:t>
            </w:r>
            <w:r>
              <w:rPr>
                <w:rFonts w:hint="eastAsia" w:ascii="Times New Roman" w:hAnsi="Times New Roman"/>
                <w:szCs w:val="20"/>
              </w:rPr>
              <w:t>2</w:t>
            </w:r>
            <w:r>
              <w:rPr>
                <w:rFonts w:hint="eastAsia" w:ascii="Times New Roman" w:hAnsi="Times New Roman"/>
                <w:szCs w:val="20"/>
                <w:lang w:val="en-US" w:eastAsia="zh-CN"/>
              </w:rPr>
              <w:t>5</w:t>
            </w:r>
            <w:r>
              <w:rPr>
                <w:rFonts w:ascii="Times New Roman" w:hAnsi="Times New Roman"/>
                <w:szCs w:val="20"/>
              </w:rPr>
              <w:t>00</w:t>
            </w:r>
            <w:r>
              <w:rPr>
                <w:rFonts w:hint="eastAsia" w:ascii="Times New Roman" w:hAnsi="Times New Roman"/>
                <w:szCs w:val="20"/>
              </w:rPr>
              <w:t>m</w:t>
            </w:r>
            <w:r>
              <w:rPr>
                <w:rFonts w:hint="eastAsia" w:ascii="Times New Roman" w:hAnsi="Times New Roman"/>
                <w:szCs w:val="20"/>
                <w:vertAlign w:val="superscript"/>
              </w:rPr>
              <w:t>3</w:t>
            </w:r>
            <w:r>
              <w:rPr>
                <w:rFonts w:hint="eastAsia" w:ascii="Times New Roman" w:hAnsi="Times New Roman"/>
                <w:szCs w:val="20"/>
              </w:rPr>
              <w:t>/h</w:t>
            </w:r>
            <w:r>
              <w:rPr>
                <w:rFonts w:ascii="Times New Roman"/>
                <w:szCs w:val="20"/>
              </w:rPr>
              <w:t>）治理后，</w:t>
            </w:r>
            <w:r>
              <w:rPr>
                <w:rFonts w:hint="eastAsia" w:ascii="Times New Roman"/>
                <w:szCs w:val="20"/>
              </w:rPr>
              <w:t>粉尘</w:t>
            </w:r>
            <w:r>
              <w:rPr>
                <w:rFonts w:ascii="Times New Roman"/>
                <w:szCs w:val="20"/>
              </w:rPr>
              <w:t>通过不低于</w:t>
            </w:r>
            <w:r>
              <w:rPr>
                <w:rFonts w:ascii="Times New Roman" w:hAnsi="Times New Roman"/>
                <w:szCs w:val="20"/>
              </w:rPr>
              <w:t>15m</w:t>
            </w:r>
            <w:r>
              <w:rPr>
                <w:rFonts w:ascii="Times New Roman"/>
                <w:szCs w:val="20"/>
              </w:rPr>
              <w:t>高排气筒有组织排放</w:t>
            </w:r>
            <w:r>
              <w:rPr>
                <w:rFonts w:hint="eastAsia" w:ascii="Times New Roman"/>
                <w:szCs w:val="20"/>
              </w:rPr>
              <w:t>。治理后，粉尘排放浓度为</w:t>
            </w:r>
            <w:r>
              <w:rPr>
                <w:rFonts w:hint="eastAsia" w:ascii="Times New Roman"/>
                <w:szCs w:val="20"/>
                <w:lang w:val="en-US" w:eastAsia="zh-CN"/>
              </w:rPr>
              <w:t>9.1</w:t>
            </w:r>
            <w:r>
              <w:rPr>
                <w:rFonts w:ascii="Times New Roman" w:hAnsi="Times New Roman"/>
                <w:szCs w:val="20"/>
              </w:rPr>
              <w:t>mg/m</w:t>
            </w:r>
            <w:r>
              <w:rPr>
                <w:rFonts w:ascii="Times New Roman" w:hAnsi="Times New Roman"/>
                <w:szCs w:val="20"/>
                <w:vertAlign w:val="superscript"/>
              </w:rPr>
              <w:t>3</w:t>
            </w:r>
            <w:r>
              <w:rPr>
                <w:rFonts w:hint="eastAsia" w:ascii="Times New Roman" w:hAnsi="Times New Roman"/>
                <w:szCs w:val="20"/>
              </w:rPr>
              <w:t>、</w:t>
            </w:r>
            <w:r>
              <w:rPr>
                <w:rFonts w:hint="eastAsia" w:ascii="Times New Roman" w:hAnsi="Times New Roman"/>
                <w:szCs w:val="24"/>
              </w:rPr>
              <w:t>排放速率为0.0228</w:t>
            </w:r>
            <w:r>
              <w:rPr>
                <w:rFonts w:ascii="Times New Roman" w:hAnsi="Times New Roman"/>
                <w:szCs w:val="24"/>
              </w:rPr>
              <w:t>kg/h</w:t>
            </w:r>
            <w:r>
              <w:rPr>
                <w:rFonts w:hint="eastAsia" w:ascii="Times New Roman" w:hAnsi="Times New Roman"/>
                <w:szCs w:val="24"/>
              </w:rPr>
              <w:t>（工作时间750h/a），</w:t>
            </w:r>
            <w:r>
              <w:rPr>
                <w:rFonts w:hint="eastAsia" w:ascii="Times New Roman" w:hAnsi="Times New Roman"/>
                <w:szCs w:val="24"/>
                <w:lang w:eastAsia="zh-CN"/>
              </w:rPr>
              <w:t>排放速率</w:t>
            </w:r>
            <w:r>
              <w:rPr>
                <w:rFonts w:hint="eastAsia" w:ascii="Times New Roman" w:hAnsi="Times New Roman"/>
                <w:szCs w:val="24"/>
              </w:rPr>
              <w:t>能够达到</w:t>
            </w:r>
            <w:r>
              <w:rPr>
                <w:rFonts w:ascii="Times New Roman" w:hAnsi="Times New Roman"/>
                <w:color w:val="000000"/>
                <w:szCs w:val="24"/>
              </w:rPr>
              <w:t>《大气污染物综合排放标准》（GB16279-1996）</w:t>
            </w:r>
            <w:r>
              <w:rPr>
                <w:rFonts w:ascii="Times New Roman" w:hAnsi="Times New Roman"/>
                <w:szCs w:val="24"/>
              </w:rPr>
              <w:t>表2 二级排放速率3.5kg/h（15m排气筒）</w:t>
            </w:r>
            <w:r>
              <w:rPr>
                <w:rFonts w:hint="eastAsia" w:ascii="Times New Roman" w:hAnsi="Times New Roman"/>
                <w:szCs w:val="24"/>
                <w:lang w:eastAsia="zh-CN"/>
              </w:rPr>
              <w:t>、排放浓度能够达到</w:t>
            </w:r>
            <w:r>
              <w:rPr>
                <w:rFonts w:hint="default" w:ascii="Times New Roman" w:hAnsi="Times New Roman" w:cs="Times New Roman"/>
                <w:color w:val="000000"/>
                <w:szCs w:val="21"/>
                <w:lang w:val="en-US" w:eastAsia="zh-CN"/>
              </w:rPr>
              <w:t>2020年7月31日《新乡市生态环境局关于进一步规范工业颗粒物排放限值的通知》</w:t>
            </w:r>
            <w:r>
              <w:rPr>
                <w:rFonts w:hint="default" w:ascii="Times New Roman" w:hAnsi="Times New Roman" w:cs="Times New Roman"/>
                <w:lang w:eastAsia="zh-CN"/>
              </w:rPr>
              <w:t>排放口颗粒物排放浓度不高于</w:t>
            </w:r>
            <w:r>
              <w:rPr>
                <w:rFonts w:hint="default" w:ascii="Times New Roman" w:hAnsi="Times New Roman" w:cs="Times New Roman"/>
                <w:lang w:val="en-US" w:eastAsia="zh-CN"/>
              </w:rPr>
              <w:t>10</w:t>
            </w:r>
            <w:r>
              <w:rPr>
                <w:rFonts w:hint="default" w:ascii="Times New Roman" w:hAnsi="Times New Roman" w:cs="Times New Roman"/>
              </w:rPr>
              <w:t>mg/m</w:t>
            </w:r>
            <w:r>
              <w:rPr>
                <w:rFonts w:hint="default" w:ascii="Times New Roman" w:hAnsi="Times New Roman" w:cs="Times New Roman"/>
                <w:vertAlign w:val="superscript"/>
              </w:rPr>
              <w:t>3</w:t>
            </w:r>
            <w:r>
              <w:rPr>
                <w:rFonts w:hint="default" w:ascii="Times New Roman" w:hAnsi="Times New Roman" w:cs="Times New Roman"/>
                <w:szCs w:val="24"/>
              </w:rPr>
              <w:t>的标准要求。</w:t>
            </w:r>
          </w:p>
          <w:p>
            <w:pPr>
              <w:spacing w:line="440" w:lineRule="exact"/>
              <w:ind w:firstLine="480" w:firstLineChars="200"/>
              <w:jc w:val="left"/>
              <w:rPr>
                <w:sz w:val="24"/>
              </w:rPr>
            </w:pPr>
            <w:r>
              <w:rPr>
                <w:rFonts w:hint="eastAsia" w:cs="宋体"/>
                <w:color w:val="000000"/>
                <w:sz w:val="24"/>
              </w:rPr>
              <w:t>本项目抛光工序有组织粉尘产、排放情况见下表：</w:t>
            </w:r>
          </w:p>
          <w:p>
            <w:pPr>
              <w:spacing w:line="440" w:lineRule="exact"/>
              <w:ind w:firstLine="480" w:firstLineChars="200"/>
              <w:rPr>
                <w:rFonts w:eastAsia="黑体"/>
                <w:sz w:val="24"/>
              </w:rPr>
            </w:pPr>
            <w:r>
              <w:rPr>
                <w:rFonts w:eastAsia="黑体"/>
                <w:sz w:val="24"/>
              </w:rPr>
              <w:t>表</w:t>
            </w:r>
            <w:r>
              <w:rPr>
                <w:rFonts w:hint="eastAsia" w:eastAsia="黑体"/>
                <w:sz w:val="24"/>
              </w:rPr>
              <w:t>24                 抛光工序有组织粉尘产排情况一览表</w:t>
            </w:r>
          </w:p>
          <w:tbl>
            <w:tblPr>
              <w:tblStyle w:val="24"/>
              <w:tblW w:w="4998"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15" w:type="dxa"/>
                <w:left w:w="15" w:type="dxa"/>
                <w:bottom w:w="15" w:type="dxa"/>
                <w:right w:w="15" w:type="dxa"/>
              </w:tblCellMar>
            </w:tblPr>
            <w:tblGrid>
              <w:gridCol w:w="827"/>
              <w:gridCol w:w="948"/>
              <w:gridCol w:w="1106"/>
              <w:gridCol w:w="701"/>
              <w:gridCol w:w="842"/>
              <w:gridCol w:w="1962"/>
              <w:gridCol w:w="1015"/>
              <w:gridCol w:w="866"/>
              <w:gridCol w:w="801"/>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91" w:hRule="atLeast"/>
                <w:jc w:val="center"/>
              </w:trPr>
              <w:tc>
                <w:tcPr>
                  <w:tcW w:w="456" w:type="pct"/>
                  <w:vMerge w:val="restart"/>
                  <w:tcMar>
                    <w:top w:w="0" w:type="dxa"/>
                    <w:left w:w="108" w:type="dxa"/>
                    <w:bottom w:w="0" w:type="dxa"/>
                    <w:right w:w="108" w:type="dxa"/>
                  </w:tcMar>
                  <w:vAlign w:val="center"/>
                </w:tcPr>
                <w:p>
                  <w:pPr>
                    <w:adjustRightInd w:val="0"/>
                    <w:snapToGrid w:val="0"/>
                    <w:jc w:val="center"/>
                    <w:rPr>
                      <w:b/>
                      <w:szCs w:val="21"/>
                    </w:rPr>
                  </w:pPr>
                  <w:r>
                    <w:rPr>
                      <w:b/>
                      <w:szCs w:val="21"/>
                    </w:rPr>
                    <w:t>污染源</w:t>
                  </w:r>
                </w:p>
              </w:tc>
              <w:tc>
                <w:tcPr>
                  <w:tcW w:w="522" w:type="pct"/>
                  <w:vMerge w:val="restart"/>
                  <w:tcMar>
                    <w:top w:w="0" w:type="dxa"/>
                    <w:left w:w="108" w:type="dxa"/>
                    <w:bottom w:w="0" w:type="dxa"/>
                    <w:right w:w="108" w:type="dxa"/>
                  </w:tcMar>
                  <w:vAlign w:val="center"/>
                </w:tcPr>
                <w:p>
                  <w:pPr>
                    <w:adjustRightInd w:val="0"/>
                    <w:snapToGrid w:val="0"/>
                    <w:jc w:val="center"/>
                    <w:rPr>
                      <w:b/>
                      <w:szCs w:val="21"/>
                    </w:rPr>
                  </w:pPr>
                  <w:r>
                    <w:rPr>
                      <w:b/>
                      <w:szCs w:val="21"/>
                    </w:rPr>
                    <w:t>污染物</w:t>
                  </w:r>
                </w:p>
              </w:tc>
              <w:tc>
                <w:tcPr>
                  <w:tcW w:w="609" w:type="pct"/>
                  <w:vMerge w:val="restart"/>
                  <w:tcMar>
                    <w:top w:w="0" w:type="dxa"/>
                    <w:left w:w="108" w:type="dxa"/>
                    <w:bottom w:w="0" w:type="dxa"/>
                    <w:right w:w="108" w:type="dxa"/>
                  </w:tcMar>
                  <w:vAlign w:val="center"/>
                </w:tcPr>
                <w:p>
                  <w:pPr>
                    <w:adjustRightInd w:val="0"/>
                    <w:snapToGrid w:val="0"/>
                    <w:jc w:val="center"/>
                    <w:rPr>
                      <w:b/>
                      <w:szCs w:val="21"/>
                    </w:rPr>
                  </w:pPr>
                  <w:r>
                    <w:rPr>
                      <w:b/>
                      <w:szCs w:val="21"/>
                    </w:rPr>
                    <w:t>产污浓度mg/m</w:t>
                  </w:r>
                  <w:r>
                    <w:rPr>
                      <w:b/>
                      <w:szCs w:val="21"/>
                      <w:vertAlign w:val="superscript"/>
                    </w:rPr>
                    <w:t>3</w:t>
                  </w:r>
                </w:p>
              </w:tc>
              <w:tc>
                <w:tcPr>
                  <w:tcW w:w="850" w:type="pct"/>
                  <w:gridSpan w:val="2"/>
                  <w:tcMar>
                    <w:top w:w="0" w:type="dxa"/>
                    <w:left w:w="108" w:type="dxa"/>
                    <w:bottom w:w="0" w:type="dxa"/>
                    <w:right w:w="108" w:type="dxa"/>
                  </w:tcMar>
                  <w:vAlign w:val="center"/>
                </w:tcPr>
                <w:p>
                  <w:pPr>
                    <w:adjustRightInd w:val="0"/>
                    <w:snapToGrid w:val="0"/>
                    <w:jc w:val="center"/>
                    <w:rPr>
                      <w:b/>
                      <w:szCs w:val="21"/>
                    </w:rPr>
                  </w:pPr>
                  <w:r>
                    <w:rPr>
                      <w:b/>
                      <w:szCs w:val="21"/>
                    </w:rPr>
                    <w:t>产生量</w:t>
                  </w:r>
                </w:p>
              </w:tc>
              <w:tc>
                <w:tcPr>
                  <w:tcW w:w="1081" w:type="pct"/>
                  <w:vMerge w:val="restart"/>
                  <w:tcMar>
                    <w:top w:w="0" w:type="dxa"/>
                    <w:left w:w="108" w:type="dxa"/>
                    <w:bottom w:w="0" w:type="dxa"/>
                    <w:right w:w="108" w:type="dxa"/>
                  </w:tcMar>
                  <w:vAlign w:val="center"/>
                </w:tcPr>
                <w:p>
                  <w:pPr>
                    <w:adjustRightInd w:val="0"/>
                    <w:snapToGrid w:val="0"/>
                    <w:jc w:val="center"/>
                    <w:rPr>
                      <w:b/>
                      <w:szCs w:val="21"/>
                    </w:rPr>
                  </w:pPr>
                  <w:r>
                    <w:rPr>
                      <w:b/>
                      <w:szCs w:val="21"/>
                    </w:rPr>
                    <w:t>污染防治措施</w:t>
                  </w:r>
                </w:p>
              </w:tc>
              <w:tc>
                <w:tcPr>
                  <w:tcW w:w="559" w:type="pct"/>
                  <w:vMerge w:val="restart"/>
                  <w:tcMar>
                    <w:top w:w="0" w:type="dxa"/>
                    <w:left w:w="108" w:type="dxa"/>
                    <w:bottom w:w="0" w:type="dxa"/>
                    <w:right w:w="108" w:type="dxa"/>
                  </w:tcMar>
                  <w:vAlign w:val="center"/>
                </w:tcPr>
                <w:p>
                  <w:pPr>
                    <w:adjustRightInd w:val="0"/>
                    <w:snapToGrid w:val="0"/>
                    <w:jc w:val="center"/>
                    <w:rPr>
                      <w:b/>
                      <w:szCs w:val="21"/>
                    </w:rPr>
                  </w:pPr>
                  <w:r>
                    <w:rPr>
                      <w:b/>
                      <w:szCs w:val="21"/>
                    </w:rPr>
                    <w:t>排放</w:t>
                  </w:r>
                </w:p>
                <w:p>
                  <w:pPr>
                    <w:adjustRightInd w:val="0"/>
                    <w:snapToGrid w:val="0"/>
                    <w:jc w:val="center"/>
                    <w:rPr>
                      <w:b/>
                      <w:szCs w:val="21"/>
                    </w:rPr>
                  </w:pPr>
                  <w:r>
                    <w:rPr>
                      <w:b/>
                      <w:szCs w:val="21"/>
                    </w:rPr>
                    <w:t>浓度mg/m</w:t>
                  </w:r>
                  <w:r>
                    <w:rPr>
                      <w:b/>
                      <w:szCs w:val="21"/>
                      <w:vertAlign w:val="superscript"/>
                    </w:rPr>
                    <w:t>3</w:t>
                  </w:r>
                </w:p>
              </w:tc>
              <w:tc>
                <w:tcPr>
                  <w:tcW w:w="918" w:type="pct"/>
                  <w:gridSpan w:val="2"/>
                  <w:tcMar>
                    <w:top w:w="0" w:type="dxa"/>
                    <w:left w:w="108" w:type="dxa"/>
                    <w:bottom w:w="0" w:type="dxa"/>
                    <w:right w:w="108" w:type="dxa"/>
                  </w:tcMar>
                  <w:vAlign w:val="center"/>
                </w:tcPr>
                <w:p>
                  <w:pPr>
                    <w:adjustRightInd w:val="0"/>
                    <w:snapToGrid w:val="0"/>
                    <w:jc w:val="center"/>
                    <w:rPr>
                      <w:b/>
                      <w:szCs w:val="21"/>
                    </w:rPr>
                  </w:pPr>
                  <w:r>
                    <w:rPr>
                      <w:b/>
                      <w:szCs w:val="21"/>
                    </w:rPr>
                    <w:t>排放量</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81" w:hRule="atLeast"/>
                <w:jc w:val="center"/>
              </w:trPr>
              <w:tc>
                <w:tcPr>
                  <w:tcW w:w="456"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522"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609"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386"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kg/h</w:t>
                  </w:r>
                </w:p>
              </w:tc>
              <w:tc>
                <w:tcPr>
                  <w:tcW w:w="463"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t/a</w:t>
                  </w:r>
                </w:p>
              </w:tc>
              <w:tc>
                <w:tcPr>
                  <w:tcW w:w="1081"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559"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477"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kg/h</w:t>
                  </w:r>
                </w:p>
              </w:tc>
              <w:tc>
                <w:tcPr>
                  <w:tcW w:w="441"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t/a</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547" w:hRule="atLeast"/>
                <w:jc w:val="center"/>
              </w:trPr>
              <w:tc>
                <w:tcPr>
                  <w:tcW w:w="456"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抛光工序</w:t>
                  </w:r>
                </w:p>
              </w:tc>
              <w:tc>
                <w:tcPr>
                  <w:tcW w:w="522"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颗粒物</w:t>
                  </w:r>
                </w:p>
              </w:tc>
              <w:tc>
                <w:tcPr>
                  <w:tcW w:w="609"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rFonts w:hint="default" w:eastAsia="宋体"/>
                      <w:bCs/>
                      <w:szCs w:val="21"/>
                      <w:lang w:val="en-US" w:eastAsia="zh-CN"/>
                    </w:rPr>
                  </w:pPr>
                  <w:r>
                    <w:rPr>
                      <w:rFonts w:hint="eastAsia"/>
                      <w:bCs/>
                      <w:szCs w:val="21"/>
                      <w:lang w:val="en-US" w:eastAsia="zh-CN"/>
                    </w:rPr>
                    <w:t>2276</w:t>
                  </w:r>
                </w:p>
              </w:tc>
              <w:tc>
                <w:tcPr>
                  <w:tcW w:w="386"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5.69</w:t>
                  </w:r>
                </w:p>
              </w:tc>
              <w:tc>
                <w:tcPr>
                  <w:tcW w:w="463"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4.2675</w:t>
                  </w:r>
                </w:p>
              </w:tc>
              <w:tc>
                <w:tcPr>
                  <w:tcW w:w="1081"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集气罩+袋式除尘器+15m排气筒</w:t>
                  </w:r>
                </w:p>
              </w:tc>
              <w:tc>
                <w:tcPr>
                  <w:tcW w:w="559"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rFonts w:hint="default" w:eastAsia="宋体"/>
                      <w:bCs/>
                      <w:szCs w:val="21"/>
                      <w:lang w:val="en-US" w:eastAsia="zh-CN"/>
                    </w:rPr>
                  </w:pPr>
                  <w:r>
                    <w:rPr>
                      <w:rFonts w:hint="eastAsia"/>
                      <w:bCs/>
                      <w:szCs w:val="21"/>
                      <w:lang w:val="en-US" w:eastAsia="zh-CN"/>
                    </w:rPr>
                    <w:t>9.1</w:t>
                  </w:r>
                </w:p>
              </w:tc>
              <w:tc>
                <w:tcPr>
                  <w:tcW w:w="477"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0.0228</w:t>
                  </w:r>
                </w:p>
              </w:tc>
              <w:tc>
                <w:tcPr>
                  <w:tcW w:w="441"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0.0171</w:t>
                  </w:r>
                </w:p>
              </w:tc>
            </w:tr>
          </w:tbl>
          <w:p>
            <w:pPr>
              <w:pStyle w:val="134"/>
              <w:spacing w:after="0" w:line="500" w:lineRule="exact"/>
              <w:rPr>
                <w:rFonts w:hint="default" w:ascii="Times New Roman" w:hAnsi="Times New Roman" w:cs="Times New Roman"/>
                <w:szCs w:val="24"/>
              </w:rPr>
            </w:pPr>
            <w:r>
              <w:rPr>
                <w:rFonts w:hint="default" w:ascii="Times New Roman" w:hAnsi="Times New Roman" w:cs="Times New Roman"/>
                <w:color w:val="000000"/>
                <w:sz w:val="24"/>
              </w:rPr>
              <w:t>由上表可知，本项目粉尘有组织</w:t>
            </w:r>
            <w:r>
              <w:rPr>
                <w:rFonts w:hint="default" w:ascii="Times New Roman" w:hAnsi="Times New Roman" w:cs="Times New Roman"/>
                <w:bCs/>
                <w:color w:val="000000"/>
                <w:sz w:val="24"/>
              </w:rPr>
              <w:t>排放速率为0.0228kg/h，排放浓度为</w:t>
            </w:r>
            <w:r>
              <w:rPr>
                <w:rFonts w:hint="default" w:ascii="Times New Roman" w:hAnsi="Times New Roman" w:cs="Times New Roman"/>
                <w:bCs/>
                <w:color w:val="000000"/>
                <w:sz w:val="24"/>
                <w:lang w:val="en-US" w:eastAsia="zh-CN"/>
              </w:rPr>
              <w:t>9.1</w:t>
            </w:r>
            <w:r>
              <w:rPr>
                <w:rFonts w:hint="default" w:ascii="Times New Roman" w:hAnsi="Times New Roman" w:cs="Times New Roman"/>
                <w:bCs/>
                <w:color w:val="000000"/>
                <w:sz w:val="24"/>
              </w:rPr>
              <w:t>mg/m</w:t>
            </w:r>
            <w:r>
              <w:rPr>
                <w:rFonts w:hint="default" w:ascii="Times New Roman" w:hAnsi="Times New Roman" w:cs="Times New Roman"/>
                <w:bCs/>
                <w:color w:val="000000"/>
                <w:sz w:val="24"/>
                <w:vertAlign w:val="superscript"/>
              </w:rPr>
              <w:t>3</w:t>
            </w:r>
            <w:r>
              <w:rPr>
                <w:rFonts w:hint="default" w:ascii="Times New Roman" w:hAnsi="Times New Roman" w:cs="Times New Roman"/>
                <w:bCs/>
                <w:color w:val="000000"/>
                <w:sz w:val="24"/>
              </w:rPr>
              <w:t>，粉尘的排放速率</w:t>
            </w:r>
            <w:r>
              <w:rPr>
                <w:rFonts w:hint="eastAsia" w:ascii="Times New Roman" w:hAnsi="Times New Roman" w:cs="Times New Roman"/>
                <w:bCs/>
                <w:color w:val="000000"/>
                <w:sz w:val="24"/>
                <w:lang w:eastAsia="zh-CN"/>
              </w:rPr>
              <w:t>能够</w:t>
            </w:r>
            <w:r>
              <w:rPr>
                <w:rFonts w:hint="default" w:ascii="Times New Roman" w:hAnsi="Times New Roman" w:cs="Times New Roman"/>
                <w:bCs/>
                <w:color w:val="000000"/>
                <w:spacing w:val="3"/>
                <w:sz w:val="24"/>
              </w:rPr>
              <w:t>满足《大气污染物综合排放标准》(GB16297-1996)表2二级</w:t>
            </w:r>
            <w:r>
              <w:rPr>
                <w:rFonts w:hint="default" w:ascii="Times New Roman" w:hAnsi="Times New Roman" w:cs="Times New Roman"/>
                <w:szCs w:val="24"/>
              </w:rPr>
              <w:t>排放速率3.5kg/h（15m排气筒）</w:t>
            </w:r>
            <w:r>
              <w:rPr>
                <w:rFonts w:hint="default" w:ascii="Times New Roman" w:hAnsi="Times New Roman" w:cs="Times New Roman"/>
                <w:szCs w:val="24"/>
                <w:lang w:eastAsia="zh-CN"/>
              </w:rPr>
              <w:t>、排放浓度能够达到</w:t>
            </w:r>
            <w:r>
              <w:rPr>
                <w:rFonts w:hint="default" w:ascii="Times New Roman" w:hAnsi="Times New Roman" w:cs="Times New Roman"/>
                <w:color w:val="000000"/>
                <w:szCs w:val="21"/>
                <w:lang w:val="en-US" w:eastAsia="zh-CN"/>
              </w:rPr>
              <w:t>2020年7月31日《新乡市生态环境局关于进一步规范工业颗粒物排放限值的通知》</w:t>
            </w:r>
            <w:r>
              <w:rPr>
                <w:rFonts w:hint="default" w:ascii="Times New Roman" w:hAnsi="Times New Roman" w:cs="Times New Roman"/>
                <w:lang w:eastAsia="zh-CN"/>
              </w:rPr>
              <w:t>排放口颗粒物排放浓度不高于</w:t>
            </w:r>
            <w:r>
              <w:rPr>
                <w:rFonts w:hint="default" w:ascii="Times New Roman" w:hAnsi="Times New Roman" w:cs="Times New Roman"/>
                <w:lang w:val="en-US" w:eastAsia="zh-CN"/>
              </w:rPr>
              <w:t>10</w:t>
            </w:r>
            <w:r>
              <w:rPr>
                <w:rFonts w:hint="default" w:ascii="Times New Roman" w:hAnsi="Times New Roman" w:cs="Times New Roman"/>
              </w:rPr>
              <w:t>mg/m</w:t>
            </w:r>
            <w:r>
              <w:rPr>
                <w:rFonts w:hint="default" w:ascii="Times New Roman" w:hAnsi="Times New Roman" w:cs="Times New Roman"/>
                <w:vertAlign w:val="superscript"/>
              </w:rPr>
              <w:t>3</w:t>
            </w:r>
            <w:r>
              <w:rPr>
                <w:rFonts w:hint="default" w:ascii="Times New Roman" w:hAnsi="Times New Roman" w:cs="Times New Roman"/>
                <w:szCs w:val="24"/>
              </w:rPr>
              <w:t>的标准要求。</w:t>
            </w:r>
          </w:p>
          <w:p>
            <w:pPr>
              <w:pStyle w:val="8"/>
              <w:adjustRightInd w:val="0"/>
              <w:snapToGrid w:val="0"/>
              <w:spacing w:line="440" w:lineRule="exact"/>
              <w:ind w:firstLine="480" w:firstLineChars="200"/>
              <w:rPr>
                <w:szCs w:val="24"/>
              </w:rPr>
            </w:pPr>
            <w:r>
              <w:rPr>
                <w:rFonts w:hint="eastAsia"/>
                <w:szCs w:val="24"/>
              </w:rPr>
              <w:t>（2）</w:t>
            </w:r>
            <w:r>
              <w:rPr>
                <w:b/>
                <w:bCs/>
                <w:szCs w:val="24"/>
              </w:rPr>
              <w:t>粉尘无组织排放</w:t>
            </w:r>
          </w:p>
          <w:p>
            <w:pPr>
              <w:pStyle w:val="8"/>
              <w:adjustRightInd w:val="0"/>
              <w:snapToGrid w:val="0"/>
              <w:spacing w:line="440" w:lineRule="exact"/>
              <w:ind w:firstLine="480" w:firstLineChars="200"/>
              <w:rPr>
                <w:szCs w:val="24"/>
              </w:rPr>
            </w:pPr>
            <w:r>
              <w:rPr>
                <w:szCs w:val="24"/>
              </w:rPr>
              <w:t>本项目无组织粉尘主要为未被集气罩收集的粉尘。</w:t>
            </w:r>
          </w:p>
          <w:p>
            <w:pPr>
              <w:spacing w:line="440" w:lineRule="exact"/>
              <w:ind w:firstLine="480" w:firstLineChars="200"/>
              <w:jc w:val="left"/>
              <w:rPr>
                <w:rFonts w:cs="宋体"/>
                <w:color w:val="000000"/>
                <w:sz w:val="24"/>
              </w:rPr>
            </w:pPr>
            <w:r>
              <w:rPr>
                <w:rFonts w:hint="eastAsia"/>
                <w:sz w:val="24"/>
              </w:rPr>
              <w:t>本项目</w:t>
            </w:r>
            <w:r>
              <w:rPr>
                <w:sz w:val="24"/>
              </w:rPr>
              <w:t>抛光过程粉尘无组织量为</w:t>
            </w:r>
            <w:r>
              <w:rPr>
                <w:rFonts w:hint="eastAsia"/>
                <w:sz w:val="24"/>
              </w:rPr>
              <w:t>0.8535</w:t>
            </w:r>
            <w:r>
              <w:rPr>
                <w:sz w:val="24"/>
              </w:rPr>
              <w:t>t/a。</w:t>
            </w:r>
            <w:r>
              <w:rPr>
                <w:rFonts w:hint="eastAsia"/>
                <w:sz w:val="24"/>
              </w:rPr>
              <w:t>评价建议</w:t>
            </w:r>
            <w:r>
              <w:rPr>
                <w:sz w:val="24"/>
              </w:rPr>
              <w:t>项目抛光过程在密闭的抛光车间内进行，</w:t>
            </w:r>
            <w:r>
              <w:rPr>
                <w:rFonts w:hint="eastAsia"/>
                <w:sz w:val="24"/>
              </w:rPr>
              <w:t>洒落在地面上的粉尘及时用吸尘器清理干净，因此</w:t>
            </w:r>
            <w:r>
              <w:rPr>
                <w:spacing w:val="-6"/>
                <w:sz w:val="24"/>
              </w:rPr>
              <w:t>通过车间、门窗密闭，最终通过门、窗排放到外环境的粉尘量极少。本次评价粉尘排入外环境的量按粉尘无组织产生量的</w:t>
            </w:r>
            <w:r>
              <w:rPr>
                <w:rFonts w:hint="eastAsia"/>
                <w:spacing w:val="-6"/>
                <w:sz w:val="24"/>
              </w:rPr>
              <w:t>10</w:t>
            </w:r>
            <w:r>
              <w:rPr>
                <w:spacing w:val="-6"/>
                <w:sz w:val="24"/>
              </w:rPr>
              <w:t>%计算，则</w:t>
            </w:r>
            <w:r>
              <w:rPr>
                <w:rFonts w:hint="eastAsia"/>
                <w:spacing w:val="-6"/>
                <w:sz w:val="24"/>
              </w:rPr>
              <w:t>全厂</w:t>
            </w:r>
            <w:r>
              <w:rPr>
                <w:spacing w:val="-6"/>
                <w:sz w:val="24"/>
              </w:rPr>
              <w:t>排放到外环境的粉尘量为</w:t>
            </w:r>
            <w:r>
              <w:rPr>
                <w:rFonts w:hint="eastAsia"/>
                <w:spacing w:val="-6"/>
                <w:sz w:val="24"/>
              </w:rPr>
              <w:t>0.0854</w:t>
            </w:r>
            <w:r>
              <w:rPr>
                <w:spacing w:val="-6"/>
                <w:sz w:val="24"/>
              </w:rPr>
              <w:t>t/a。</w:t>
            </w:r>
            <w:r>
              <w:rPr>
                <w:color w:val="000000"/>
                <w:sz w:val="24"/>
              </w:rPr>
              <w:t>经计算，</w:t>
            </w:r>
            <w:r>
              <w:rPr>
                <w:rFonts w:hint="eastAsia" w:cs="宋体"/>
                <w:color w:val="000000"/>
                <w:sz w:val="24"/>
              </w:rPr>
              <w:t>本项目抛光工序无组织粉尘产、排放情况见下表：</w:t>
            </w:r>
          </w:p>
          <w:p>
            <w:pPr>
              <w:spacing w:line="440" w:lineRule="exact"/>
              <w:ind w:firstLine="480" w:firstLineChars="200"/>
              <w:rPr>
                <w:rFonts w:eastAsia="黑体"/>
                <w:sz w:val="24"/>
              </w:rPr>
            </w:pPr>
            <w:r>
              <w:rPr>
                <w:rFonts w:eastAsia="黑体"/>
                <w:sz w:val="24"/>
              </w:rPr>
              <w:t>表</w:t>
            </w:r>
            <w:r>
              <w:rPr>
                <w:rFonts w:hint="eastAsia" w:eastAsia="黑体"/>
                <w:sz w:val="24"/>
              </w:rPr>
              <w:t>25                 抛光工序无组织粉尘产排情况一览表</w:t>
            </w:r>
          </w:p>
          <w:tbl>
            <w:tblPr>
              <w:tblStyle w:val="24"/>
              <w:tblW w:w="4999"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15" w:type="dxa"/>
                <w:left w:w="15" w:type="dxa"/>
                <w:bottom w:w="15" w:type="dxa"/>
                <w:right w:w="15" w:type="dxa"/>
              </w:tblCellMar>
            </w:tblPr>
            <w:tblGrid>
              <w:gridCol w:w="1145"/>
              <w:gridCol w:w="1254"/>
              <w:gridCol w:w="1254"/>
              <w:gridCol w:w="1134"/>
              <w:gridCol w:w="2134"/>
              <w:gridCol w:w="1117"/>
              <w:gridCol w:w="1032"/>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631" w:type="pct"/>
                  <w:vMerge w:val="restart"/>
                  <w:tcMar>
                    <w:top w:w="0" w:type="dxa"/>
                    <w:left w:w="108" w:type="dxa"/>
                    <w:bottom w:w="0" w:type="dxa"/>
                    <w:right w:w="108" w:type="dxa"/>
                  </w:tcMar>
                  <w:vAlign w:val="center"/>
                </w:tcPr>
                <w:p>
                  <w:pPr>
                    <w:adjustRightInd w:val="0"/>
                    <w:snapToGrid w:val="0"/>
                    <w:jc w:val="center"/>
                    <w:rPr>
                      <w:b/>
                      <w:szCs w:val="21"/>
                    </w:rPr>
                  </w:pPr>
                  <w:r>
                    <w:rPr>
                      <w:b/>
                      <w:szCs w:val="21"/>
                    </w:rPr>
                    <w:t>污染源</w:t>
                  </w:r>
                </w:p>
              </w:tc>
              <w:tc>
                <w:tcPr>
                  <w:tcW w:w="691" w:type="pct"/>
                  <w:vMerge w:val="restart"/>
                  <w:tcMar>
                    <w:top w:w="0" w:type="dxa"/>
                    <w:left w:w="108" w:type="dxa"/>
                    <w:bottom w:w="0" w:type="dxa"/>
                    <w:right w:w="108" w:type="dxa"/>
                  </w:tcMar>
                  <w:vAlign w:val="center"/>
                </w:tcPr>
                <w:p>
                  <w:pPr>
                    <w:adjustRightInd w:val="0"/>
                    <w:snapToGrid w:val="0"/>
                    <w:jc w:val="center"/>
                    <w:rPr>
                      <w:b/>
                      <w:szCs w:val="21"/>
                    </w:rPr>
                  </w:pPr>
                  <w:r>
                    <w:rPr>
                      <w:b/>
                      <w:szCs w:val="21"/>
                    </w:rPr>
                    <w:t>污染物</w:t>
                  </w:r>
                </w:p>
              </w:tc>
              <w:tc>
                <w:tcPr>
                  <w:tcW w:w="1316" w:type="pct"/>
                  <w:gridSpan w:val="2"/>
                  <w:tcMar>
                    <w:top w:w="0" w:type="dxa"/>
                    <w:left w:w="108" w:type="dxa"/>
                    <w:bottom w:w="0" w:type="dxa"/>
                    <w:right w:w="108" w:type="dxa"/>
                  </w:tcMar>
                  <w:vAlign w:val="center"/>
                </w:tcPr>
                <w:p>
                  <w:pPr>
                    <w:adjustRightInd w:val="0"/>
                    <w:snapToGrid w:val="0"/>
                    <w:jc w:val="center"/>
                    <w:rPr>
                      <w:b/>
                      <w:szCs w:val="21"/>
                    </w:rPr>
                  </w:pPr>
                  <w:r>
                    <w:rPr>
                      <w:b/>
                      <w:szCs w:val="21"/>
                    </w:rPr>
                    <w:t>产生量</w:t>
                  </w:r>
                </w:p>
              </w:tc>
              <w:tc>
                <w:tcPr>
                  <w:tcW w:w="1176" w:type="pct"/>
                  <w:vMerge w:val="restart"/>
                  <w:tcMar>
                    <w:top w:w="0" w:type="dxa"/>
                    <w:left w:w="108" w:type="dxa"/>
                    <w:bottom w:w="0" w:type="dxa"/>
                    <w:right w:w="108" w:type="dxa"/>
                  </w:tcMar>
                  <w:vAlign w:val="center"/>
                </w:tcPr>
                <w:p>
                  <w:pPr>
                    <w:adjustRightInd w:val="0"/>
                    <w:snapToGrid w:val="0"/>
                    <w:jc w:val="center"/>
                    <w:rPr>
                      <w:b/>
                      <w:szCs w:val="21"/>
                    </w:rPr>
                  </w:pPr>
                  <w:r>
                    <w:rPr>
                      <w:b/>
                      <w:szCs w:val="21"/>
                    </w:rPr>
                    <w:t>污染防治措施</w:t>
                  </w:r>
                </w:p>
              </w:tc>
              <w:tc>
                <w:tcPr>
                  <w:tcW w:w="1183" w:type="pct"/>
                  <w:gridSpan w:val="2"/>
                  <w:tcMar>
                    <w:top w:w="0" w:type="dxa"/>
                    <w:left w:w="108" w:type="dxa"/>
                    <w:bottom w:w="0" w:type="dxa"/>
                    <w:right w:w="108" w:type="dxa"/>
                  </w:tcMar>
                  <w:vAlign w:val="center"/>
                </w:tcPr>
                <w:p>
                  <w:pPr>
                    <w:adjustRightInd w:val="0"/>
                    <w:snapToGrid w:val="0"/>
                    <w:jc w:val="center"/>
                    <w:rPr>
                      <w:b/>
                      <w:szCs w:val="21"/>
                    </w:rPr>
                  </w:pPr>
                  <w:r>
                    <w:rPr>
                      <w:b/>
                      <w:szCs w:val="21"/>
                    </w:rPr>
                    <w:t>排放量</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631"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691"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691"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kg/h</w:t>
                  </w:r>
                </w:p>
              </w:tc>
              <w:tc>
                <w:tcPr>
                  <w:tcW w:w="625"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t/a</w:t>
                  </w:r>
                </w:p>
              </w:tc>
              <w:tc>
                <w:tcPr>
                  <w:tcW w:w="1176" w:type="pct"/>
                  <w:vMerge w:val="continue"/>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p>
              </w:tc>
              <w:tc>
                <w:tcPr>
                  <w:tcW w:w="615"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kg/h</w:t>
                  </w:r>
                </w:p>
              </w:tc>
              <w:tc>
                <w:tcPr>
                  <w:tcW w:w="568" w:type="pct"/>
                  <w:tcBorders>
                    <w:bottom w:val="single" w:color="000000" w:sz="8" w:space="0"/>
                  </w:tcBorders>
                  <w:tcMar>
                    <w:top w:w="0" w:type="dxa"/>
                    <w:left w:w="108" w:type="dxa"/>
                    <w:bottom w:w="0" w:type="dxa"/>
                    <w:right w:w="108" w:type="dxa"/>
                  </w:tcMar>
                  <w:vAlign w:val="center"/>
                </w:tcPr>
                <w:p>
                  <w:pPr>
                    <w:adjustRightInd w:val="0"/>
                    <w:snapToGrid w:val="0"/>
                    <w:jc w:val="center"/>
                    <w:rPr>
                      <w:b/>
                      <w:szCs w:val="21"/>
                    </w:rPr>
                  </w:pPr>
                  <w:r>
                    <w:rPr>
                      <w:b/>
                      <w:szCs w:val="21"/>
                    </w:rPr>
                    <w:t>t/a</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15" w:type="dxa"/>
                  <w:left w:w="15" w:type="dxa"/>
                  <w:bottom w:w="15" w:type="dxa"/>
                  <w:right w:w="15" w:type="dxa"/>
                </w:tblCellMar>
              </w:tblPrEx>
              <w:trPr>
                <w:jc w:val="center"/>
              </w:trPr>
              <w:tc>
                <w:tcPr>
                  <w:tcW w:w="631"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抛光工序</w:t>
                  </w:r>
                </w:p>
              </w:tc>
              <w:tc>
                <w:tcPr>
                  <w:tcW w:w="691"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颗粒物</w:t>
                  </w:r>
                </w:p>
              </w:tc>
              <w:tc>
                <w:tcPr>
                  <w:tcW w:w="691"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1.1384</w:t>
                  </w:r>
                </w:p>
              </w:tc>
              <w:tc>
                <w:tcPr>
                  <w:tcW w:w="625"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0.8535</w:t>
                  </w:r>
                </w:p>
              </w:tc>
              <w:tc>
                <w:tcPr>
                  <w:tcW w:w="1176"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车间密闭</w:t>
                  </w:r>
                </w:p>
              </w:tc>
              <w:tc>
                <w:tcPr>
                  <w:tcW w:w="615"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0.1138</w:t>
                  </w:r>
                </w:p>
              </w:tc>
              <w:tc>
                <w:tcPr>
                  <w:tcW w:w="568" w:type="pct"/>
                  <w:tcBorders>
                    <w:top w:val="single" w:color="000000" w:sz="8" w:space="0"/>
                    <w:tl2br w:val="nil"/>
                    <w:tr2bl w:val="nil"/>
                  </w:tcBorders>
                  <w:tcMar>
                    <w:top w:w="0" w:type="dxa"/>
                    <w:left w:w="108" w:type="dxa"/>
                    <w:bottom w:w="0" w:type="dxa"/>
                    <w:right w:w="108" w:type="dxa"/>
                  </w:tcMar>
                  <w:vAlign w:val="center"/>
                </w:tcPr>
                <w:p>
                  <w:pPr>
                    <w:adjustRightInd w:val="0"/>
                    <w:snapToGrid w:val="0"/>
                    <w:jc w:val="center"/>
                    <w:rPr>
                      <w:bCs/>
                      <w:szCs w:val="21"/>
                    </w:rPr>
                  </w:pPr>
                  <w:r>
                    <w:rPr>
                      <w:rFonts w:hint="eastAsia"/>
                      <w:bCs/>
                      <w:szCs w:val="21"/>
                    </w:rPr>
                    <w:t>0.0854</w:t>
                  </w:r>
                </w:p>
              </w:tc>
            </w:tr>
          </w:tbl>
          <w:p>
            <w:pPr>
              <w:adjustRightInd w:val="0"/>
              <w:snapToGrid w:val="0"/>
              <w:spacing w:line="440" w:lineRule="exact"/>
              <w:ind w:firstLine="482" w:firstLineChars="200"/>
              <w:rPr>
                <w:b/>
                <w:sz w:val="24"/>
              </w:rPr>
            </w:pPr>
            <w:r>
              <w:rPr>
                <w:b/>
                <w:sz w:val="24"/>
              </w:rPr>
              <w:t>2、</w:t>
            </w:r>
            <w:r>
              <w:rPr>
                <w:b/>
                <w:bCs/>
                <w:sz w:val="24"/>
              </w:rPr>
              <w:t>环境空气影响预测及评价</w:t>
            </w:r>
          </w:p>
          <w:p>
            <w:pPr>
              <w:spacing w:line="440" w:lineRule="exact"/>
              <w:ind w:firstLine="480" w:firstLineChars="200"/>
              <w:rPr>
                <w:color w:val="000000"/>
                <w:sz w:val="24"/>
              </w:rPr>
            </w:pPr>
            <w:r>
              <w:rPr>
                <w:color w:val="000000"/>
                <w:sz w:val="24"/>
              </w:rPr>
              <w:t>（1）预测因子和评价标准</w:t>
            </w:r>
          </w:p>
          <w:p>
            <w:pPr>
              <w:snapToGrid w:val="0"/>
              <w:spacing w:line="440" w:lineRule="exact"/>
              <w:ind w:firstLine="480" w:firstLineChars="200"/>
              <w:rPr>
                <w:snapToGrid w:val="0"/>
                <w:color w:val="000000"/>
                <w:kern w:val="0"/>
                <w:sz w:val="24"/>
              </w:rPr>
            </w:pPr>
            <w:r>
              <w:rPr>
                <w:snapToGrid w:val="0"/>
                <w:color w:val="000000"/>
                <w:kern w:val="0"/>
                <w:sz w:val="24"/>
              </w:rPr>
              <w:t>本次评价使用《环境影响评价技术导则大气环境》（HJ/2.2-2018）中推荐的估算模型AERSCREEN，判定运营期大气环境影响评价等级。</w:t>
            </w:r>
          </w:p>
          <w:p>
            <w:pPr>
              <w:snapToGrid w:val="0"/>
              <w:spacing w:line="440" w:lineRule="exact"/>
              <w:ind w:firstLine="480" w:firstLineChars="200"/>
              <w:rPr>
                <w:snapToGrid w:val="0"/>
                <w:color w:val="000000"/>
                <w:kern w:val="0"/>
                <w:sz w:val="24"/>
              </w:rPr>
            </w:pPr>
            <w:r>
              <w:rPr>
                <w:snapToGrid w:val="0"/>
                <w:color w:val="000000"/>
                <w:kern w:val="0"/>
                <w:sz w:val="24"/>
              </w:rPr>
              <w:t>根据工程分析，本项目涉及排放的废气主要有：</w:t>
            </w:r>
            <w:r>
              <w:rPr>
                <w:sz w:val="24"/>
              </w:rPr>
              <w:t>颗粒物，确定本次环境空气影响预测因子为</w:t>
            </w:r>
            <w:r>
              <w:rPr>
                <w:rFonts w:hint="eastAsia"/>
                <w:sz w:val="24"/>
              </w:rPr>
              <w:t>PM</w:t>
            </w:r>
            <w:r>
              <w:rPr>
                <w:rFonts w:hint="eastAsia"/>
                <w:sz w:val="24"/>
                <w:vertAlign w:val="subscript"/>
              </w:rPr>
              <w:t>10</w:t>
            </w:r>
            <w:r>
              <w:rPr>
                <w:sz w:val="24"/>
              </w:rPr>
              <w:t>。</w:t>
            </w:r>
            <w:r>
              <w:rPr>
                <w:snapToGrid w:val="0"/>
                <w:color w:val="000000"/>
                <w:kern w:val="0"/>
                <w:sz w:val="24"/>
              </w:rPr>
              <w:t>评价因子和评价标准见下表</w:t>
            </w:r>
            <w:r>
              <w:rPr>
                <w:rFonts w:hint="eastAsia"/>
                <w:snapToGrid w:val="0"/>
                <w:color w:val="000000"/>
                <w:kern w:val="0"/>
                <w:sz w:val="24"/>
              </w:rPr>
              <w:t>：</w:t>
            </w:r>
          </w:p>
          <w:p>
            <w:pPr>
              <w:pStyle w:val="3"/>
              <w:widowControl/>
              <w:autoSpaceDE w:val="0"/>
              <w:adjustRightInd w:val="0"/>
              <w:snapToGrid w:val="0"/>
              <w:spacing w:line="440" w:lineRule="exact"/>
              <w:ind w:firstLine="480" w:firstLineChars="0"/>
              <w:rPr>
                <w:rFonts w:ascii="Times New Roman" w:hAnsi="Times New Roman" w:eastAsia="黑体"/>
                <w:sz w:val="24"/>
              </w:rPr>
            </w:pPr>
            <w:r>
              <w:rPr>
                <w:rFonts w:ascii="Times New Roman" w:hAnsi="Times New Roman" w:eastAsia="黑体"/>
                <w:sz w:val="24"/>
              </w:rPr>
              <w:t>表</w:t>
            </w:r>
            <w:r>
              <w:rPr>
                <w:rFonts w:hint="eastAsia" w:ascii="Times New Roman" w:hAnsi="Times New Roman" w:eastAsia="黑体"/>
                <w:sz w:val="24"/>
              </w:rPr>
              <w:t>26</w:t>
            </w:r>
            <w:r>
              <w:rPr>
                <w:rFonts w:ascii="Times New Roman" w:hAnsi="Times New Roman" w:eastAsia="黑体"/>
                <w:sz w:val="24"/>
              </w:rPr>
              <w:t xml:space="preserve">                 评价因子和评价标准表</w:t>
            </w:r>
          </w:p>
          <w:tbl>
            <w:tblPr>
              <w:tblStyle w:val="24"/>
              <w:tblW w:w="9071" w:type="dxa"/>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66"/>
              <w:gridCol w:w="1312"/>
              <w:gridCol w:w="1614"/>
              <w:gridCol w:w="4979"/>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43" w:type="pct"/>
                  <w:tcBorders>
                    <w:bottom w:val="single" w:color="000000" w:sz="8" w:space="0"/>
                  </w:tcBorders>
                  <w:vAlign w:val="center"/>
                </w:tcPr>
                <w:p>
                  <w:pPr>
                    <w:pStyle w:val="113"/>
                    <w:kinsoku w:val="0"/>
                    <w:overflowPunct w:val="0"/>
                    <w:autoSpaceDE/>
                    <w:autoSpaceDN/>
                    <w:adjustRightInd/>
                    <w:snapToGrid w:val="0"/>
                    <w:jc w:val="center"/>
                    <w:rPr>
                      <w:b/>
                      <w:color w:val="000000"/>
                      <w:kern w:val="2"/>
                      <w:sz w:val="21"/>
                      <w:szCs w:val="21"/>
                    </w:rPr>
                  </w:pPr>
                  <w:r>
                    <w:rPr>
                      <w:b/>
                      <w:color w:val="000000"/>
                      <w:kern w:val="2"/>
                      <w:sz w:val="21"/>
                      <w:szCs w:val="21"/>
                    </w:rPr>
                    <w:t>评价因子</w:t>
                  </w:r>
                </w:p>
              </w:tc>
              <w:tc>
                <w:tcPr>
                  <w:tcW w:w="723" w:type="pct"/>
                  <w:tcBorders>
                    <w:bottom w:val="single" w:color="000000" w:sz="8" w:space="0"/>
                  </w:tcBorders>
                  <w:vAlign w:val="center"/>
                </w:tcPr>
                <w:p>
                  <w:pPr>
                    <w:pStyle w:val="113"/>
                    <w:kinsoku w:val="0"/>
                    <w:overflowPunct w:val="0"/>
                    <w:autoSpaceDE/>
                    <w:autoSpaceDN/>
                    <w:adjustRightInd/>
                    <w:snapToGrid w:val="0"/>
                    <w:jc w:val="center"/>
                    <w:rPr>
                      <w:b/>
                      <w:color w:val="000000"/>
                      <w:kern w:val="2"/>
                      <w:sz w:val="21"/>
                      <w:szCs w:val="21"/>
                    </w:rPr>
                  </w:pPr>
                  <w:r>
                    <w:rPr>
                      <w:b/>
                      <w:color w:val="000000"/>
                      <w:kern w:val="2"/>
                      <w:sz w:val="21"/>
                      <w:szCs w:val="21"/>
                    </w:rPr>
                    <w:t>平均时段</w:t>
                  </w:r>
                </w:p>
              </w:tc>
              <w:tc>
                <w:tcPr>
                  <w:tcW w:w="889" w:type="pct"/>
                  <w:tcBorders>
                    <w:bottom w:val="single" w:color="000000" w:sz="8" w:space="0"/>
                  </w:tcBorders>
                  <w:vAlign w:val="center"/>
                </w:tcPr>
                <w:p>
                  <w:pPr>
                    <w:pStyle w:val="113"/>
                    <w:kinsoku w:val="0"/>
                    <w:overflowPunct w:val="0"/>
                    <w:autoSpaceDE/>
                    <w:autoSpaceDN/>
                    <w:adjustRightInd/>
                    <w:snapToGrid w:val="0"/>
                    <w:jc w:val="center"/>
                    <w:rPr>
                      <w:b/>
                      <w:color w:val="000000"/>
                      <w:kern w:val="2"/>
                      <w:sz w:val="21"/>
                      <w:szCs w:val="21"/>
                    </w:rPr>
                  </w:pPr>
                  <w:r>
                    <w:rPr>
                      <w:b/>
                      <w:color w:val="000000"/>
                      <w:kern w:val="2"/>
                      <w:sz w:val="21"/>
                      <w:szCs w:val="21"/>
                    </w:rPr>
                    <w:t>标准值（μg/m</w:t>
                  </w:r>
                  <w:r>
                    <w:rPr>
                      <w:b/>
                      <w:color w:val="000000"/>
                      <w:kern w:val="2"/>
                      <w:sz w:val="21"/>
                      <w:szCs w:val="21"/>
                      <w:vertAlign w:val="superscript"/>
                    </w:rPr>
                    <w:t>3</w:t>
                  </w:r>
                  <w:r>
                    <w:rPr>
                      <w:b/>
                      <w:color w:val="000000"/>
                      <w:kern w:val="2"/>
                      <w:sz w:val="21"/>
                      <w:szCs w:val="21"/>
                    </w:rPr>
                    <w:t>）</w:t>
                  </w:r>
                </w:p>
              </w:tc>
              <w:tc>
                <w:tcPr>
                  <w:tcW w:w="2743" w:type="pct"/>
                  <w:tcBorders>
                    <w:bottom w:val="single" w:color="000000" w:sz="8" w:space="0"/>
                  </w:tcBorders>
                  <w:vAlign w:val="center"/>
                </w:tcPr>
                <w:p>
                  <w:pPr>
                    <w:pStyle w:val="113"/>
                    <w:kinsoku w:val="0"/>
                    <w:overflowPunct w:val="0"/>
                    <w:autoSpaceDE/>
                    <w:autoSpaceDN/>
                    <w:adjustRightInd/>
                    <w:snapToGrid w:val="0"/>
                    <w:jc w:val="center"/>
                    <w:rPr>
                      <w:b/>
                      <w:color w:val="000000"/>
                      <w:kern w:val="2"/>
                      <w:sz w:val="21"/>
                      <w:szCs w:val="21"/>
                    </w:rPr>
                  </w:pPr>
                  <w:r>
                    <w:rPr>
                      <w:b/>
                      <w:color w:val="000000"/>
                      <w:kern w:val="2"/>
                      <w:sz w:val="21"/>
                      <w:szCs w:val="21"/>
                    </w:rPr>
                    <w:t>标准来源</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43" w:type="pct"/>
                  <w:tcBorders>
                    <w:top w:val="single" w:color="000000" w:sz="8" w:space="0"/>
                  </w:tcBorders>
                  <w:vAlign w:val="center"/>
                </w:tcPr>
                <w:p>
                  <w:pPr>
                    <w:pStyle w:val="113"/>
                    <w:kinsoku w:val="0"/>
                    <w:overflowPunct w:val="0"/>
                    <w:snapToGrid w:val="0"/>
                    <w:jc w:val="center"/>
                    <w:rPr>
                      <w:color w:val="000000"/>
                      <w:szCs w:val="21"/>
                    </w:rPr>
                  </w:pPr>
                  <w:r>
                    <w:rPr>
                      <w:color w:val="000000"/>
                      <w:kern w:val="2"/>
                      <w:sz w:val="21"/>
                      <w:szCs w:val="21"/>
                    </w:rPr>
                    <w:t>PM</w:t>
                  </w:r>
                  <w:r>
                    <w:rPr>
                      <w:color w:val="000000"/>
                      <w:kern w:val="2"/>
                      <w:sz w:val="21"/>
                      <w:szCs w:val="21"/>
                      <w:vertAlign w:val="subscript"/>
                    </w:rPr>
                    <w:t>10</w:t>
                  </w:r>
                </w:p>
              </w:tc>
              <w:tc>
                <w:tcPr>
                  <w:tcW w:w="723" w:type="pct"/>
                  <w:tcBorders>
                    <w:top w:val="single" w:color="000000" w:sz="8" w:space="0"/>
                  </w:tcBorders>
                  <w:vAlign w:val="center"/>
                </w:tcPr>
                <w:p>
                  <w:pPr>
                    <w:pStyle w:val="113"/>
                    <w:kinsoku w:val="0"/>
                    <w:overflowPunct w:val="0"/>
                    <w:snapToGrid w:val="0"/>
                    <w:jc w:val="center"/>
                    <w:rPr>
                      <w:color w:val="000000"/>
                      <w:szCs w:val="21"/>
                    </w:rPr>
                  </w:pPr>
                  <w:r>
                    <w:rPr>
                      <w:color w:val="000000"/>
                      <w:kern w:val="2"/>
                      <w:sz w:val="21"/>
                      <w:szCs w:val="21"/>
                    </w:rPr>
                    <w:t>1小时</w:t>
                  </w:r>
                </w:p>
              </w:tc>
              <w:tc>
                <w:tcPr>
                  <w:tcW w:w="889" w:type="pct"/>
                  <w:tcBorders>
                    <w:top w:val="single" w:color="000000" w:sz="8" w:space="0"/>
                  </w:tcBorders>
                  <w:vAlign w:val="center"/>
                </w:tcPr>
                <w:p>
                  <w:pPr>
                    <w:pStyle w:val="113"/>
                    <w:kinsoku w:val="0"/>
                    <w:overflowPunct w:val="0"/>
                    <w:snapToGrid w:val="0"/>
                    <w:jc w:val="center"/>
                    <w:rPr>
                      <w:color w:val="000000"/>
                      <w:szCs w:val="21"/>
                    </w:rPr>
                  </w:pPr>
                  <w:r>
                    <w:rPr>
                      <w:color w:val="000000"/>
                      <w:kern w:val="2"/>
                      <w:sz w:val="21"/>
                      <w:szCs w:val="21"/>
                    </w:rPr>
                    <w:t>450</w:t>
                  </w:r>
                </w:p>
              </w:tc>
              <w:tc>
                <w:tcPr>
                  <w:tcW w:w="2743" w:type="pct"/>
                  <w:tcBorders>
                    <w:top w:val="single" w:color="000000" w:sz="8" w:space="0"/>
                  </w:tcBorders>
                  <w:vAlign w:val="center"/>
                </w:tcPr>
                <w:p>
                  <w:pPr>
                    <w:pStyle w:val="11"/>
                    <w:rPr>
                      <w:color w:val="000000"/>
                      <w:szCs w:val="21"/>
                    </w:rPr>
                  </w:pPr>
                  <w:r>
                    <w:rPr>
                      <w:color w:val="000000"/>
                      <w:sz w:val="21"/>
                      <w:szCs w:val="21"/>
                    </w:rPr>
                    <w:t>根据《环境空气质量标准》（GB3095-2012）</w:t>
                  </w:r>
                  <w:r>
                    <w:t>及其</w:t>
                  </w:r>
                  <w:r>
                    <w:rPr>
                      <w:rFonts w:hint="eastAsia"/>
                    </w:rPr>
                    <w:t>2018年修改单</w:t>
                  </w:r>
                  <w:r>
                    <w:rPr>
                      <w:color w:val="000000"/>
                      <w:sz w:val="21"/>
                      <w:szCs w:val="21"/>
                    </w:rPr>
                    <w:t>二级标准中颗粒物的24h平均质量浓度的3倍折算为1h平均质量浓度限值</w:t>
                  </w:r>
                </w:p>
              </w:tc>
            </w:tr>
          </w:tbl>
          <w:p>
            <w:pPr>
              <w:pStyle w:val="104"/>
              <w:snapToGrid w:val="0"/>
              <w:spacing w:line="440" w:lineRule="exact"/>
              <w:ind w:firstLine="480"/>
              <w:rPr>
                <w:bCs/>
                <w:kern w:val="2"/>
              </w:rPr>
            </w:pPr>
            <w:r>
              <w:rPr>
                <w:bCs/>
                <w:kern w:val="2"/>
              </w:rPr>
              <w:t>（2）估算模型参数</w:t>
            </w:r>
          </w:p>
          <w:p>
            <w:pPr>
              <w:adjustRightInd w:val="0"/>
              <w:snapToGrid w:val="0"/>
              <w:spacing w:line="440" w:lineRule="exact"/>
              <w:ind w:firstLine="480" w:firstLineChars="200"/>
              <w:rPr>
                <w:color w:val="000000"/>
                <w:sz w:val="24"/>
              </w:rPr>
            </w:pPr>
            <w:r>
              <w:rPr>
                <w:sz w:val="24"/>
              </w:rPr>
              <w:t>本次大气预测根据《环境影响评价技术导则大气环境》HJ2.2-2018中的规定，利用导则推荐的估算模式AERSCREEN计算工程主要污染源污染物的最大落地浓度及其出现距离，估算模型参数见</w:t>
            </w:r>
            <w:r>
              <w:rPr>
                <w:rFonts w:hint="eastAsia"/>
                <w:sz w:val="24"/>
              </w:rPr>
              <w:t>下</w:t>
            </w:r>
            <w:r>
              <w:rPr>
                <w:sz w:val="24"/>
              </w:rPr>
              <w:t>表</w:t>
            </w:r>
            <w:r>
              <w:rPr>
                <w:rFonts w:hint="eastAsia"/>
                <w:sz w:val="24"/>
              </w:rPr>
              <w:t>：</w:t>
            </w:r>
          </w:p>
          <w:p>
            <w:pPr>
              <w:adjustRightInd w:val="0"/>
              <w:snapToGrid w:val="0"/>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27</w:t>
            </w:r>
            <w:r>
              <w:rPr>
                <w:rFonts w:eastAsia="黑体"/>
                <w:color w:val="000000"/>
                <w:sz w:val="24"/>
              </w:rPr>
              <w:t xml:space="preserve">                   估算模型参数表</w:t>
            </w:r>
          </w:p>
          <w:tbl>
            <w:tblPr>
              <w:tblStyle w:val="24"/>
              <w:tblW w:w="9071" w:type="dxa"/>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3141"/>
              <w:gridCol w:w="3052"/>
              <w:gridCol w:w="2878"/>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413" w:type="pct"/>
                  <w:gridSpan w:val="2"/>
                  <w:tcBorders>
                    <w:bottom w:val="single" w:color="000000" w:sz="8" w:space="0"/>
                  </w:tcBorders>
                  <w:vAlign w:val="center"/>
                </w:tcPr>
                <w:p>
                  <w:pPr>
                    <w:jc w:val="center"/>
                    <w:rPr>
                      <w:b/>
                      <w:bCs/>
                      <w:color w:val="000000"/>
                      <w:szCs w:val="21"/>
                    </w:rPr>
                  </w:pPr>
                  <w:r>
                    <w:rPr>
                      <w:b/>
                      <w:bCs/>
                      <w:color w:val="000000"/>
                      <w:szCs w:val="21"/>
                    </w:rPr>
                    <w:t>参数</w:t>
                  </w:r>
                </w:p>
              </w:tc>
              <w:tc>
                <w:tcPr>
                  <w:tcW w:w="1586" w:type="pct"/>
                  <w:tcBorders>
                    <w:bottom w:val="single" w:color="000000" w:sz="8" w:space="0"/>
                  </w:tcBorders>
                  <w:vAlign w:val="center"/>
                </w:tcPr>
                <w:p>
                  <w:pPr>
                    <w:jc w:val="center"/>
                    <w:rPr>
                      <w:b/>
                      <w:bCs/>
                      <w:color w:val="000000"/>
                      <w:szCs w:val="21"/>
                    </w:rPr>
                  </w:pPr>
                  <w:r>
                    <w:rPr>
                      <w:b/>
                      <w:bCs/>
                      <w:color w:val="000000"/>
                      <w:szCs w:val="21"/>
                    </w:rPr>
                    <w:t>取值</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731" w:type="pct"/>
                  <w:vMerge w:val="restart"/>
                  <w:tcBorders>
                    <w:top w:val="single" w:color="000000" w:sz="8" w:space="0"/>
                  </w:tcBorders>
                  <w:vAlign w:val="center"/>
                </w:tcPr>
                <w:p>
                  <w:pPr>
                    <w:jc w:val="center"/>
                    <w:rPr>
                      <w:color w:val="000000"/>
                      <w:szCs w:val="21"/>
                    </w:rPr>
                  </w:pPr>
                  <w:r>
                    <w:rPr>
                      <w:color w:val="000000"/>
                      <w:szCs w:val="21"/>
                    </w:rPr>
                    <w:t>城市/农村选项</w:t>
                  </w:r>
                </w:p>
              </w:tc>
              <w:tc>
                <w:tcPr>
                  <w:tcW w:w="1681" w:type="pct"/>
                  <w:tcBorders>
                    <w:top w:val="single" w:color="000000" w:sz="8" w:space="0"/>
                  </w:tcBorders>
                  <w:vAlign w:val="center"/>
                </w:tcPr>
                <w:p>
                  <w:pPr>
                    <w:jc w:val="center"/>
                    <w:rPr>
                      <w:color w:val="000000"/>
                      <w:szCs w:val="21"/>
                    </w:rPr>
                  </w:pPr>
                  <w:r>
                    <w:rPr>
                      <w:color w:val="000000"/>
                      <w:szCs w:val="21"/>
                    </w:rPr>
                    <w:t>城市/农村</w:t>
                  </w:r>
                </w:p>
              </w:tc>
              <w:tc>
                <w:tcPr>
                  <w:tcW w:w="1586" w:type="pct"/>
                  <w:tcBorders>
                    <w:top w:val="single" w:color="000000" w:sz="8" w:space="0"/>
                  </w:tcBorders>
                  <w:vAlign w:val="center"/>
                </w:tcPr>
                <w:p>
                  <w:pPr>
                    <w:jc w:val="center"/>
                    <w:rPr>
                      <w:color w:val="000000"/>
                      <w:szCs w:val="21"/>
                    </w:rPr>
                  </w:pPr>
                  <w:r>
                    <w:rPr>
                      <w:color w:val="000000"/>
                      <w:szCs w:val="21"/>
                    </w:rPr>
                    <w:t>农村</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731" w:type="pct"/>
                  <w:vMerge w:val="continue"/>
                  <w:vAlign w:val="center"/>
                </w:tcPr>
                <w:p>
                  <w:pPr>
                    <w:jc w:val="center"/>
                    <w:rPr>
                      <w:color w:val="000000"/>
                      <w:szCs w:val="21"/>
                    </w:rPr>
                  </w:pPr>
                </w:p>
              </w:tc>
              <w:tc>
                <w:tcPr>
                  <w:tcW w:w="1681" w:type="pct"/>
                  <w:vAlign w:val="center"/>
                </w:tcPr>
                <w:p>
                  <w:pPr>
                    <w:jc w:val="center"/>
                    <w:rPr>
                      <w:color w:val="000000"/>
                      <w:szCs w:val="21"/>
                    </w:rPr>
                  </w:pPr>
                  <w:r>
                    <w:rPr>
                      <w:color w:val="000000"/>
                      <w:szCs w:val="21"/>
                    </w:rPr>
                    <w:t>人口数（城市选项时）</w:t>
                  </w:r>
                </w:p>
              </w:tc>
              <w:tc>
                <w:tcPr>
                  <w:tcW w:w="1586" w:type="pct"/>
                  <w:vAlign w:val="center"/>
                </w:tcPr>
                <w:p>
                  <w:pPr>
                    <w:jc w:val="center"/>
                    <w:rPr>
                      <w:color w:val="000000"/>
                      <w:szCs w:val="21"/>
                    </w:rPr>
                  </w:pPr>
                  <w:r>
                    <w:rPr>
                      <w:color w:val="000000"/>
                      <w:szCs w:val="21"/>
                    </w:rPr>
                    <w:t>/</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413" w:type="pct"/>
                  <w:gridSpan w:val="2"/>
                  <w:vAlign w:val="center"/>
                </w:tcPr>
                <w:p>
                  <w:pPr>
                    <w:jc w:val="center"/>
                    <w:rPr>
                      <w:color w:val="000000"/>
                      <w:szCs w:val="21"/>
                    </w:rPr>
                  </w:pPr>
                  <w:r>
                    <w:rPr>
                      <w:color w:val="000000"/>
                      <w:szCs w:val="21"/>
                    </w:rPr>
                    <w:t>最高环境温度/℃</w:t>
                  </w:r>
                </w:p>
              </w:tc>
              <w:tc>
                <w:tcPr>
                  <w:tcW w:w="1586" w:type="pct"/>
                  <w:vAlign w:val="center"/>
                </w:tcPr>
                <w:p>
                  <w:pPr>
                    <w:jc w:val="center"/>
                    <w:rPr>
                      <w:szCs w:val="21"/>
                    </w:rPr>
                  </w:pPr>
                  <w:r>
                    <w:rPr>
                      <w:szCs w:val="21"/>
                    </w:rPr>
                    <w:t>42.1</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413" w:type="pct"/>
                  <w:gridSpan w:val="2"/>
                  <w:vAlign w:val="center"/>
                </w:tcPr>
                <w:p>
                  <w:pPr>
                    <w:jc w:val="center"/>
                    <w:rPr>
                      <w:color w:val="000000"/>
                      <w:szCs w:val="21"/>
                    </w:rPr>
                  </w:pPr>
                  <w:r>
                    <w:rPr>
                      <w:color w:val="000000"/>
                      <w:szCs w:val="21"/>
                    </w:rPr>
                    <w:t>最低环境温度/℃</w:t>
                  </w:r>
                </w:p>
              </w:tc>
              <w:tc>
                <w:tcPr>
                  <w:tcW w:w="1586" w:type="pct"/>
                  <w:vAlign w:val="center"/>
                </w:tcPr>
                <w:p>
                  <w:pPr>
                    <w:jc w:val="center"/>
                    <w:rPr>
                      <w:szCs w:val="21"/>
                    </w:rPr>
                  </w:pPr>
                  <w:r>
                    <w:rPr>
                      <w:szCs w:val="21"/>
                    </w:rPr>
                    <w:t>-21.3</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413" w:type="pct"/>
                  <w:gridSpan w:val="2"/>
                  <w:vAlign w:val="center"/>
                </w:tcPr>
                <w:p>
                  <w:pPr>
                    <w:jc w:val="center"/>
                    <w:rPr>
                      <w:color w:val="000000"/>
                      <w:szCs w:val="21"/>
                    </w:rPr>
                  </w:pPr>
                  <w:r>
                    <w:rPr>
                      <w:color w:val="000000"/>
                      <w:szCs w:val="21"/>
                    </w:rPr>
                    <w:t>土地利用类型</w:t>
                  </w:r>
                </w:p>
              </w:tc>
              <w:tc>
                <w:tcPr>
                  <w:tcW w:w="1586" w:type="pct"/>
                  <w:vAlign w:val="center"/>
                </w:tcPr>
                <w:p>
                  <w:pPr>
                    <w:jc w:val="center"/>
                    <w:rPr>
                      <w:color w:val="000000"/>
                      <w:szCs w:val="21"/>
                    </w:rPr>
                  </w:pPr>
                  <w:r>
                    <w:rPr>
                      <w:color w:val="000000"/>
                      <w:szCs w:val="21"/>
                    </w:rPr>
                    <w:t>农田</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413" w:type="pct"/>
                  <w:gridSpan w:val="2"/>
                  <w:vAlign w:val="center"/>
                </w:tcPr>
                <w:p>
                  <w:pPr>
                    <w:jc w:val="center"/>
                    <w:rPr>
                      <w:color w:val="000000"/>
                      <w:szCs w:val="21"/>
                    </w:rPr>
                  </w:pPr>
                  <w:r>
                    <w:rPr>
                      <w:color w:val="000000"/>
                      <w:szCs w:val="21"/>
                    </w:rPr>
                    <w:t>区域湿度条件</w:t>
                  </w:r>
                </w:p>
              </w:tc>
              <w:tc>
                <w:tcPr>
                  <w:tcW w:w="1586" w:type="pct"/>
                  <w:vAlign w:val="center"/>
                </w:tcPr>
                <w:p>
                  <w:pPr>
                    <w:jc w:val="center"/>
                    <w:rPr>
                      <w:color w:val="000000"/>
                      <w:szCs w:val="21"/>
                    </w:rPr>
                  </w:pPr>
                  <w:r>
                    <w:rPr>
                      <w:color w:val="000000"/>
                      <w:szCs w:val="21"/>
                    </w:rPr>
                    <w:t>中等湿度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731" w:type="pct"/>
                  <w:vMerge w:val="restart"/>
                  <w:vAlign w:val="center"/>
                </w:tcPr>
                <w:p>
                  <w:pPr>
                    <w:jc w:val="center"/>
                    <w:rPr>
                      <w:color w:val="000000"/>
                      <w:szCs w:val="21"/>
                    </w:rPr>
                  </w:pPr>
                  <w:r>
                    <w:rPr>
                      <w:color w:val="000000"/>
                      <w:szCs w:val="21"/>
                    </w:rPr>
                    <w:t>是否考虑地形</w:t>
                  </w:r>
                </w:p>
              </w:tc>
              <w:tc>
                <w:tcPr>
                  <w:tcW w:w="1681" w:type="pct"/>
                  <w:vAlign w:val="center"/>
                </w:tcPr>
                <w:p>
                  <w:pPr>
                    <w:jc w:val="center"/>
                    <w:rPr>
                      <w:color w:val="000000"/>
                      <w:szCs w:val="21"/>
                    </w:rPr>
                  </w:pPr>
                  <w:r>
                    <w:rPr>
                      <w:color w:val="000000"/>
                      <w:szCs w:val="21"/>
                    </w:rPr>
                    <w:t>考虑地形</w:t>
                  </w:r>
                </w:p>
              </w:tc>
              <w:tc>
                <w:tcPr>
                  <w:tcW w:w="1586" w:type="pct"/>
                  <w:vAlign w:val="center"/>
                </w:tcPr>
                <w:p>
                  <w:pPr>
                    <w:jc w:val="center"/>
                    <w:rPr>
                      <w:color w:val="000000"/>
                      <w:szCs w:val="21"/>
                    </w:rPr>
                  </w:pPr>
                  <w:r>
                    <w:rPr>
                      <w:color w:val="000000"/>
                      <w:szCs w:val="21"/>
                    </w:rPr>
                    <w:t>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731" w:type="pct"/>
                  <w:vMerge w:val="continue"/>
                  <w:vAlign w:val="center"/>
                </w:tcPr>
                <w:p>
                  <w:pPr>
                    <w:jc w:val="center"/>
                    <w:rPr>
                      <w:color w:val="000000"/>
                      <w:szCs w:val="21"/>
                    </w:rPr>
                  </w:pPr>
                </w:p>
              </w:tc>
              <w:tc>
                <w:tcPr>
                  <w:tcW w:w="1681" w:type="pct"/>
                  <w:vAlign w:val="center"/>
                </w:tcPr>
                <w:p>
                  <w:pPr>
                    <w:jc w:val="center"/>
                    <w:rPr>
                      <w:color w:val="000000"/>
                      <w:szCs w:val="21"/>
                    </w:rPr>
                  </w:pPr>
                  <w:r>
                    <w:rPr>
                      <w:color w:val="000000"/>
                      <w:szCs w:val="21"/>
                    </w:rPr>
                    <w:t>地形数据分辨率/m</w:t>
                  </w:r>
                </w:p>
              </w:tc>
              <w:tc>
                <w:tcPr>
                  <w:tcW w:w="1586" w:type="pct"/>
                  <w:vAlign w:val="center"/>
                </w:tcPr>
                <w:p>
                  <w:pPr>
                    <w:jc w:val="center"/>
                    <w:rPr>
                      <w:color w:val="000000"/>
                      <w:szCs w:val="21"/>
                    </w:rPr>
                  </w:pPr>
                  <w:r>
                    <w:rPr>
                      <w:color w:val="000000"/>
                      <w:szCs w:val="21"/>
                    </w:rPr>
                    <w:t>/</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731" w:type="pct"/>
                  <w:vMerge w:val="restart"/>
                  <w:vAlign w:val="center"/>
                </w:tcPr>
                <w:p>
                  <w:pPr>
                    <w:jc w:val="center"/>
                    <w:rPr>
                      <w:color w:val="000000"/>
                      <w:szCs w:val="21"/>
                    </w:rPr>
                  </w:pPr>
                  <w:r>
                    <w:rPr>
                      <w:color w:val="000000"/>
                      <w:szCs w:val="21"/>
                    </w:rPr>
                    <w:t>是否考虑海岸线熏烟</w:t>
                  </w:r>
                </w:p>
              </w:tc>
              <w:tc>
                <w:tcPr>
                  <w:tcW w:w="1681" w:type="pct"/>
                  <w:vAlign w:val="center"/>
                </w:tcPr>
                <w:p>
                  <w:pPr>
                    <w:jc w:val="center"/>
                    <w:rPr>
                      <w:color w:val="000000"/>
                      <w:szCs w:val="21"/>
                    </w:rPr>
                  </w:pPr>
                  <w:r>
                    <w:rPr>
                      <w:color w:val="000000"/>
                      <w:szCs w:val="21"/>
                    </w:rPr>
                    <w:t>考虑岸线熏烟</w:t>
                  </w:r>
                </w:p>
              </w:tc>
              <w:tc>
                <w:tcPr>
                  <w:tcW w:w="1586" w:type="pct"/>
                  <w:vAlign w:val="center"/>
                </w:tcPr>
                <w:p>
                  <w:pPr>
                    <w:jc w:val="center"/>
                    <w:rPr>
                      <w:color w:val="000000"/>
                      <w:szCs w:val="21"/>
                    </w:rPr>
                  </w:pPr>
                  <w:r>
                    <w:rPr>
                      <w:color w:val="000000"/>
                      <w:szCs w:val="21"/>
                    </w:rPr>
                    <w:t>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731" w:type="pct"/>
                  <w:vMerge w:val="continue"/>
                  <w:vAlign w:val="center"/>
                </w:tcPr>
                <w:p>
                  <w:pPr>
                    <w:jc w:val="center"/>
                    <w:rPr>
                      <w:color w:val="000000"/>
                      <w:szCs w:val="21"/>
                    </w:rPr>
                  </w:pPr>
                </w:p>
              </w:tc>
              <w:tc>
                <w:tcPr>
                  <w:tcW w:w="1681" w:type="pct"/>
                  <w:vAlign w:val="center"/>
                </w:tcPr>
                <w:p>
                  <w:pPr>
                    <w:jc w:val="center"/>
                    <w:rPr>
                      <w:color w:val="000000"/>
                      <w:szCs w:val="21"/>
                    </w:rPr>
                  </w:pPr>
                  <w:r>
                    <w:rPr>
                      <w:color w:val="000000"/>
                      <w:szCs w:val="21"/>
                    </w:rPr>
                    <w:t>岸线距离/m</w:t>
                  </w:r>
                </w:p>
              </w:tc>
              <w:tc>
                <w:tcPr>
                  <w:tcW w:w="1586" w:type="pct"/>
                  <w:vAlign w:val="center"/>
                </w:tcPr>
                <w:p>
                  <w:pPr>
                    <w:jc w:val="center"/>
                    <w:rPr>
                      <w:color w:val="000000"/>
                      <w:szCs w:val="21"/>
                    </w:rPr>
                  </w:pPr>
                  <w:r>
                    <w:rPr>
                      <w:color w:val="000000"/>
                      <w:szCs w:val="21"/>
                    </w:rPr>
                    <w:t>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731" w:type="pct"/>
                  <w:vMerge w:val="continue"/>
                  <w:vAlign w:val="center"/>
                </w:tcPr>
                <w:p>
                  <w:pPr>
                    <w:jc w:val="center"/>
                    <w:rPr>
                      <w:color w:val="000000"/>
                      <w:szCs w:val="21"/>
                    </w:rPr>
                  </w:pPr>
                </w:p>
              </w:tc>
              <w:tc>
                <w:tcPr>
                  <w:tcW w:w="1681" w:type="pct"/>
                  <w:vAlign w:val="center"/>
                </w:tcPr>
                <w:p>
                  <w:pPr>
                    <w:jc w:val="center"/>
                    <w:rPr>
                      <w:color w:val="000000"/>
                      <w:szCs w:val="21"/>
                    </w:rPr>
                  </w:pPr>
                  <w:r>
                    <w:rPr>
                      <w:color w:val="000000"/>
                      <w:szCs w:val="21"/>
                    </w:rPr>
                    <w:t>岸线方向/°</w:t>
                  </w:r>
                </w:p>
              </w:tc>
              <w:tc>
                <w:tcPr>
                  <w:tcW w:w="1586" w:type="pct"/>
                  <w:vAlign w:val="center"/>
                </w:tcPr>
                <w:p>
                  <w:pPr>
                    <w:jc w:val="center"/>
                    <w:rPr>
                      <w:color w:val="000000"/>
                      <w:szCs w:val="21"/>
                    </w:rPr>
                  </w:pPr>
                  <w:r>
                    <w:rPr>
                      <w:color w:val="000000"/>
                      <w:szCs w:val="21"/>
                    </w:rPr>
                    <w:t>否</w:t>
                  </w:r>
                </w:p>
              </w:tc>
            </w:tr>
          </w:tbl>
          <w:p>
            <w:pPr>
              <w:pStyle w:val="104"/>
              <w:adjustRightInd w:val="0"/>
              <w:snapToGrid w:val="0"/>
              <w:spacing w:line="440" w:lineRule="exact"/>
              <w:ind w:firstLine="480"/>
              <w:rPr>
                <w:bCs/>
                <w:kern w:val="2"/>
              </w:rPr>
            </w:pPr>
            <w:r>
              <w:rPr>
                <w:bCs/>
                <w:kern w:val="2"/>
              </w:rPr>
              <w:t>（3）污染源调查</w:t>
            </w:r>
          </w:p>
          <w:p>
            <w:pPr>
              <w:adjustRightInd w:val="0"/>
              <w:snapToGrid w:val="0"/>
              <w:spacing w:line="440" w:lineRule="exact"/>
              <w:ind w:firstLine="480" w:firstLineChars="200"/>
              <w:jc w:val="left"/>
              <w:rPr>
                <w:snapToGrid w:val="0"/>
                <w:kern w:val="0"/>
                <w:sz w:val="24"/>
              </w:rPr>
            </w:pPr>
            <w:r>
              <w:rPr>
                <w:bCs/>
                <w:snapToGrid w:val="0"/>
                <w:kern w:val="0"/>
                <w:sz w:val="24"/>
              </w:rPr>
              <w:t>该项目完成后</w:t>
            </w:r>
            <w:r>
              <w:rPr>
                <w:rFonts w:hint="eastAsia"/>
                <w:bCs/>
                <w:snapToGrid w:val="0"/>
                <w:kern w:val="0"/>
                <w:sz w:val="24"/>
              </w:rPr>
              <w:t>抛光工段</w:t>
            </w:r>
            <w:r>
              <w:rPr>
                <w:bCs/>
                <w:snapToGrid w:val="0"/>
                <w:kern w:val="0"/>
                <w:sz w:val="24"/>
              </w:rPr>
              <w:t>废气处理装置设一个15m高排气筒</w:t>
            </w:r>
            <w:r>
              <w:rPr>
                <w:rFonts w:hint="eastAsia"/>
                <w:bCs/>
                <w:snapToGrid w:val="0"/>
                <w:kern w:val="0"/>
                <w:sz w:val="24"/>
              </w:rPr>
              <w:t>（P）</w:t>
            </w:r>
            <w:r>
              <w:rPr>
                <w:bCs/>
                <w:snapToGrid w:val="0"/>
                <w:kern w:val="0"/>
                <w:sz w:val="24"/>
              </w:rPr>
              <w:t>；</w:t>
            </w:r>
            <w:r>
              <w:rPr>
                <w:rFonts w:hint="eastAsia"/>
                <w:bCs/>
                <w:snapToGrid w:val="0"/>
                <w:kern w:val="0"/>
                <w:sz w:val="24"/>
              </w:rPr>
              <w:t>抛光工段位于生产车间内</w:t>
            </w:r>
            <w:r>
              <w:rPr>
                <w:bCs/>
                <w:snapToGrid w:val="0"/>
                <w:kern w:val="0"/>
                <w:sz w:val="24"/>
              </w:rPr>
              <w:t>，因此把</w:t>
            </w:r>
            <w:r>
              <w:rPr>
                <w:rFonts w:hint="eastAsia"/>
                <w:bCs/>
                <w:snapToGrid w:val="0"/>
                <w:kern w:val="0"/>
                <w:sz w:val="24"/>
              </w:rPr>
              <w:t>整个生产车间</w:t>
            </w:r>
            <w:r>
              <w:rPr>
                <w:bCs/>
                <w:snapToGrid w:val="0"/>
                <w:kern w:val="0"/>
                <w:sz w:val="24"/>
              </w:rPr>
              <w:t>作为一个面源。项目污染源参数见</w:t>
            </w:r>
            <w:r>
              <w:rPr>
                <w:rFonts w:hint="eastAsia"/>
                <w:bCs/>
                <w:snapToGrid w:val="0"/>
                <w:kern w:val="0"/>
                <w:sz w:val="24"/>
              </w:rPr>
              <w:t>下</w:t>
            </w:r>
            <w:r>
              <w:rPr>
                <w:bCs/>
                <w:snapToGrid w:val="0"/>
                <w:kern w:val="0"/>
                <w:sz w:val="24"/>
              </w:rPr>
              <w:t>表</w:t>
            </w:r>
            <w:r>
              <w:rPr>
                <w:rFonts w:hint="eastAsia"/>
                <w:bCs/>
                <w:snapToGrid w:val="0"/>
                <w:kern w:val="0"/>
                <w:sz w:val="24"/>
              </w:rPr>
              <w:t>：</w:t>
            </w:r>
          </w:p>
          <w:p>
            <w:pPr>
              <w:adjustRightInd w:val="0"/>
              <w:snapToGrid w:val="0"/>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28</w:t>
            </w:r>
            <w:r>
              <w:rPr>
                <w:rFonts w:eastAsia="黑体"/>
                <w:color w:val="000000"/>
                <w:sz w:val="24"/>
              </w:rPr>
              <w:t xml:space="preserve">                  点源估算模式参数表</w:t>
            </w:r>
          </w:p>
          <w:tbl>
            <w:tblPr>
              <w:tblStyle w:val="24"/>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610"/>
              <w:gridCol w:w="550"/>
              <w:gridCol w:w="500"/>
              <w:gridCol w:w="939"/>
              <w:gridCol w:w="774"/>
              <w:gridCol w:w="819"/>
              <w:gridCol w:w="1092"/>
              <w:gridCol w:w="805"/>
              <w:gridCol w:w="814"/>
              <w:gridCol w:w="658"/>
              <w:gridCol w:w="107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43" w:type="pct"/>
                  <w:vMerge w:val="restart"/>
                  <w:tcBorders>
                    <w:top w:val="single" w:color="auto" w:sz="8" w:space="0"/>
                    <w:left w:val="nil"/>
                    <w:bottom w:val="single" w:color="auto" w:sz="8" w:space="0"/>
                    <w:right w:val="single" w:color="auto" w:sz="4" w:space="0"/>
                  </w:tcBorders>
                  <w:vAlign w:val="center"/>
                </w:tcPr>
                <w:p>
                  <w:pPr>
                    <w:adjustRightInd w:val="0"/>
                    <w:snapToGrid w:val="0"/>
                    <w:jc w:val="center"/>
                    <w:rPr>
                      <w:b/>
                      <w:bCs/>
                      <w:szCs w:val="21"/>
                    </w:rPr>
                  </w:pPr>
                  <w:r>
                    <w:rPr>
                      <w:b/>
                      <w:bCs/>
                      <w:szCs w:val="21"/>
                    </w:rPr>
                    <w:t>编号</w:t>
                  </w:r>
                </w:p>
              </w:tc>
              <w:tc>
                <w:tcPr>
                  <w:tcW w:w="336" w:type="pct"/>
                  <w:vMerge w:val="restart"/>
                  <w:tcBorders>
                    <w:top w:val="single" w:color="auto" w:sz="8" w:space="0"/>
                    <w:left w:val="single" w:color="auto" w:sz="4" w:space="0"/>
                    <w:bottom w:val="single" w:color="auto" w:sz="8" w:space="0"/>
                    <w:right w:val="single" w:color="auto" w:sz="4" w:space="0"/>
                  </w:tcBorders>
                  <w:vAlign w:val="center"/>
                </w:tcPr>
                <w:p>
                  <w:pPr>
                    <w:adjustRightInd w:val="0"/>
                    <w:snapToGrid w:val="0"/>
                    <w:jc w:val="center"/>
                    <w:rPr>
                      <w:b/>
                      <w:bCs/>
                      <w:szCs w:val="21"/>
                    </w:rPr>
                  </w:pPr>
                  <w:r>
                    <w:rPr>
                      <w:b/>
                      <w:bCs/>
                      <w:szCs w:val="21"/>
                    </w:rPr>
                    <w:t>排气筒名称</w:t>
                  </w:r>
                </w:p>
              </w:tc>
              <w:tc>
                <w:tcPr>
                  <w:tcW w:w="578" w:type="pct"/>
                  <w:gridSpan w:val="2"/>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排气筒底部中心坐标/m</w:t>
                  </w:r>
                </w:p>
              </w:tc>
              <w:tc>
                <w:tcPr>
                  <w:tcW w:w="517" w:type="pct"/>
                  <w:vMerge w:val="restart"/>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排气筒底部海拔高度/m</w:t>
                  </w:r>
                </w:p>
              </w:tc>
              <w:tc>
                <w:tcPr>
                  <w:tcW w:w="426" w:type="pct"/>
                  <w:vMerge w:val="restart"/>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排气筒高度/m</w:t>
                  </w:r>
                </w:p>
              </w:tc>
              <w:tc>
                <w:tcPr>
                  <w:tcW w:w="451" w:type="pct"/>
                  <w:vMerge w:val="restart"/>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排气筒出口内径/m</w:t>
                  </w:r>
                </w:p>
              </w:tc>
              <w:tc>
                <w:tcPr>
                  <w:tcW w:w="601" w:type="pct"/>
                  <w:vMerge w:val="restart"/>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烟气流</w:t>
                  </w:r>
                  <w:r>
                    <w:rPr>
                      <w:rFonts w:hint="eastAsia"/>
                      <w:b/>
                      <w:bCs/>
                      <w:szCs w:val="21"/>
                    </w:rPr>
                    <w:t>速</w:t>
                  </w:r>
                  <w:r>
                    <w:rPr>
                      <w:b/>
                      <w:bCs/>
                      <w:szCs w:val="21"/>
                    </w:rPr>
                    <w:t>/（m/</w:t>
                  </w:r>
                  <w:r>
                    <w:rPr>
                      <w:rFonts w:hint="eastAsia"/>
                      <w:b/>
                      <w:bCs/>
                      <w:szCs w:val="21"/>
                    </w:rPr>
                    <w:t>s</w:t>
                  </w:r>
                  <w:r>
                    <w:rPr>
                      <w:b/>
                      <w:bCs/>
                      <w:szCs w:val="21"/>
                    </w:rPr>
                    <w:t>）</w:t>
                  </w:r>
                </w:p>
              </w:tc>
              <w:tc>
                <w:tcPr>
                  <w:tcW w:w="443" w:type="pct"/>
                  <w:vMerge w:val="restart"/>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烟气温度/℃</w:t>
                  </w:r>
                </w:p>
              </w:tc>
              <w:tc>
                <w:tcPr>
                  <w:tcW w:w="448" w:type="pct"/>
                  <w:vMerge w:val="restart"/>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年排放小时数/h</w:t>
                  </w:r>
                </w:p>
              </w:tc>
              <w:tc>
                <w:tcPr>
                  <w:tcW w:w="362" w:type="pct"/>
                  <w:vMerge w:val="restart"/>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排放工况</w:t>
                  </w:r>
                </w:p>
              </w:tc>
              <w:tc>
                <w:tcPr>
                  <w:tcW w:w="589" w:type="pct"/>
                  <w:tcBorders>
                    <w:top w:val="single" w:color="auto" w:sz="8" w:space="0"/>
                    <w:left w:val="single" w:color="auto" w:sz="4" w:space="0"/>
                    <w:bottom w:val="single" w:color="auto" w:sz="4" w:space="0"/>
                    <w:right w:val="nil"/>
                  </w:tcBorders>
                  <w:vAlign w:val="center"/>
                </w:tcPr>
                <w:p>
                  <w:pPr>
                    <w:adjustRightInd w:val="0"/>
                    <w:snapToGrid w:val="0"/>
                    <w:jc w:val="center"/>
                    <w:rPr>
                      <w:b/>
                      <w:bCs/>
                      <w:szCs w:val="21"/>
                    </w:rPr>
                  </w:pPr>
                  <w:r>
                    <w:rPr>
                      <w:b/>
                      <w:bCs/>
                      <w:szCs w:val="21"/>
                    </w:rPr>
                    <w:t>污染物排放速率（kg/h）</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43" w:type="pct"/>
                  <w:vMerge w:val="continue"/>
                  <w:tcBorders>
                    <w:top w:val="single" w:color="auto" w:sz="8" w:space="0"/>
                    <w:left w:val="nil"/>
                    <w:bottom w:val="single" w:color="auto" w:sz="8" w:space="0"/>
                    <w:right w:val="single" w:color="auto" w:sz="4" w:space="0"/>
                  </w:tcBorders>
                  <w:vAlign w:val="center"/>
                </w:tcPr>
                <w:p>
                  <w:pPr>
                    <w:widowControl/>
                    <w:jc w:val="left"/>
                    <w:rPr>
                      <w:b/>
                      <w:bCs/>
                      <w:szCs w:val="21"/>
                    </w:rPr>
                  </w:pPr>
                </w:p>
              </w:tc>
              <w:tc>
                <w:tcPr>
                  <w:tcW w:w="336" w:type="pct"/>
                  <w:vMerge w:val="continue"/>
                  <w:tcBorders>
                    <w:top w:val="single" w:color="auto" w:sz="8" w:space="0"/>
                    <w:left w:val="single" w:color="auto" w:sz="4" w:space="0"/>
                    <w:bottom w:val="single" w:color="auto" w:sz="8" w:space="0"/>
                    <w:right w:val="single" w:color="auto" w:sz="4" w:space="0"/>
                  </w:tcBorders>
                  <w:vAlign w:val="center"/>
                </w:tcPr>
                <w:p>
                  <w:pPr>
                    <w:widowControl/>
                    <w:jc w:val="left"/>
                    <w:rPr>
                      <w:b/>
                      <w:bCs/>
                      <w:szCs w:val="21"/>
                    </w:rPr>
                  </w:pPr>
                </w:p>
              </w:tc>
              <w:tc>
                <w:tcPr>
                  <w:tcW w:w="303" w:type="pct"/>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b/>
                      <w:bCs/>
                      <w:szCs w:val="21"/>
                    </w:rPr>
                  </w:pPr>
                  <w:r>
                    <w:rPr>
                      <w:b/>
                      <w:bCs/>
                      <w:szCs w:val="21"/>
                    </w:rPr>
                    <w:t>X</w:t>
                  </w:r>
                </w:p>
              </w:tc>
              <w:tc>
                <w:tcPr>
                  <w:tcW w:w="274" w:type="pct"/>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b/>
                      <w:bCs/>
                      <w:szCs w:val="21"/>
                    </w:rPr>
                  </w:pPr>
                  <w:r>
                    <w:rPr>
                      <w:b/>
                      <w:bCs/>
                      <w:szCs w:val="21"/>
                    </w:rPr>
                    <w:t>Y</w:t>
                  </w:r>
                </w:p>
              </w:tc>
              <w:tc>
                <w:tcPr>
                  <w:tcW w:w="517" w:type="pct"/>
                  <w:vMerge w:val="continue"/>
                  <w:tcBorders>
                    <w:top w:val="single" w:color="auto" w:sz="4" w:space="0"/>
                    <w:left w:val="single" w:color="auto" w:sz="4" w:space="0"/>
                    <w:bottom w:val="single" w:color="auto" w:sz="8" w:space="0"/>
                    <w:right w:val="single" w:color="auto" w:sz="4" w:space="0"/>
                  </w:tcBorders>
                  <w:vAlign w:val="center"/>
                </w:tcPr>
                <w:p>
                  <w:pPr>
                    <w:widowControl/>
                    <w:jc w:val="left"/>
                    <w:rPr>
                      <w:b/>
                      <w:bCs/>
                      <w:szCs w:val="21"/>
                    </w:rPr>
                  </w:pPr>
                </w:p>
              </w:tc>
              <w:tc>
                <w:tcPr>
                  <w:tcW w:w="426" w:type="pct"/>
                  <w:vMerge w:val="continue"/>
                  <w:tcBorders>
                    <w:top w:val="single" w:color="auto" w:sz="4" w:space="0"/>
                    <w:left w:val="single" w:color="auto" w:sz="4" w:space="0"/>
                    <w:bottom w:val="single" w:color="auto" w:sz="8" w:space="0"/>
                    <w:right w:val="single" w:color="auto" w:sz="4" w:space="0"/>
                  </w:tcBorders>
                  <w:vAlign w:val="center"/>
                </w:tcPr>
                <w:p>
                  <w:pPr>
                    <w:widowControl/>
                    <w:jc w:val="left"/>
                    <w:rPr>
                      <w:b/>
                      <w:bCs/>
                      <w:szCs w:val="21"/>
                    </w:rPr>
                  </w:pPr>
                </w:p>
              </w:tc>
              <w:tc>
                <w:tcPr>
                  <w:tcW w:w="451" w:type="pct"/>
                  <w:vMerge w:val="continue"/>
                  <w:tcBorders>
                    <w:top w:val="single" w:color="auto" w:sz="4" w:space="0"/>
                    <w:left w:val="single" w:color="auto" w:sz="4" w:space="0"/>
                    <w:bottom w:val="single" w:color="auto" w:sz="8" w:space="0"/>
                    <w:right w:val="single" w:color="auto" w:sz="4" w:space="0"/>
                  </w:tcBorders>
                  <w:vAlign w:val="center"/>
                </w:tcPr>
                <w:p>
                  <w:pPr>
                    <w:widowControl/>
                    <w:jc w:val="left"/>
                    <w:rPr>
                      <w:b/>
                      <w:bCs/>
                      <w:szCs w:val="21"/>
                    </w:rPr>
                  </w:pPr>
                </w:p>
              </w:tc>
              <w:tc>
                <w:tcPr>
                  <w:tcW w:w="601" w:type="pct"/>
                  <w:vMerge w:val="continue"/>
                  <w:tcBorders>
                    <w:top w:val="single" w:color="auto" w:sz="4" w:space="0"/>
                    <w:left w:val="single" w:color="auto" w:sz="4" w:space="0"/>
                    <w:bottom w:val="single" w:color="auto" w:sz="8" w:space="0"/>
                    <w:right w:val="single" w:color="auto" w:sz="4" w:space="0"/>
                  </w:tcBorders>
                  <w:vAlign w:val="center"/>
                </w:tcPr>
                <w:p>
                  <w:pPr>
                    <w:widowControl/>
                    <w:jc w:val="left"/>
                    <w:rPr>
                      <w:b/>
                      <w:bCs/>
                      <w:szCs w:val="21"/>
                    </w:rPr>
                  </w:pPr>
                </w:p>
              </w:tc>
              <w:tc>
                <w:tcPr>
                  <w:tcW w:w="443" w:type="pct"/>
                  <w:vMerge w:val="continue"/>
                  <w:tcBorders>
                    <w:top w:val="single" w:color="auto" w:sz="4" w:space="0"/>
                    <w:left w:val="single" w:color="auto" w:sz="4" w:space="0"/>
                    <w:bottom w:val="single" w:color="auto" w:sz="8" w:space="0"/>
                    <w:right w:val="single" w:color="auto" w:sz="4" w:space="0"/>
                  </w:tcBorders>
                  <w:vAlign w:val="center"/>
                </w:tcPr>
                <w:p>
                  <w:pPr>
                    <w:widowControl/>
                    <w:jc w:val="left"/>
                    <w:rPr>
                      <w:b/>
                      <w:bCs/>
                      <w:szCs w:val="21"/>
                    </w:rPr>
                  </w:pPr>
                </w:p>
              </w:tc>
              <w:tc>
                <w:tcPr>
                  <w:tcW w:w="448" w:type="pct"/>
                  <w:vMerge w:val="continue"/>
                  <w:tcBorders>
                    <w:top w:val="single" w:color="auto" w:sz="4" w:space="0"/>
                    <w:left w:val="single" w:color="auto" w:sz="4" w:space="0"/>
                    <w:bottom w:val="single" w:color="auto" w:sz="8" w:space="0"/>
                    <w:right w:val="single" w:color="auto" w:sz="4" w:space="0"/>
                  </w:tcBorders>
                  <w:vAlign w:val="center"/>
                </w:tcPr>
                <w:p>
                  <w:pPr>
                    <w:widowControl/>
                    <w:jc w:val="left"/>
                    <w:rPr>
                      <w:b/>
                      <w:bCs/>
                      <w:szCs w:val="21"/>
                    </w:rPr>
                  </w:pPr>
                </w:p>
              </w:tc>
              <w:tc>
                <w:tcPr>
                  <w:tcW w:w="362" w:type="pct"/>
                  <w:vMerge w:val="continue"/>
                  <w:tcBorders>
                    <w:top w:val="single" w:color="auto" w:sz="4" w:space="0"/>
                    <w:left w:val="single" w:color="auto" w:sz="4" w:space="0"/>
                    <w:bottom w:val="single" w:color="auto" w:sz="8" w:space="0"/>
                    <w:right w:val="single" w:color="auto" w:sz="4" w:space="0"/>
                  </w:tcBorders>
                  <w:vAlign w:val="center"/>
                </w:tcPr>
                <w:p>
                  <w:pPr>
                    <w:widowControl/>
                    <w:jc w:val="left"/>
                    <w:rPr>
                      <w:b/>
                      <w:bCs/>
                      <w:szCs w:val="21"/>
                    </w:rPr>
                  </w:pPr>
                </w:p>
              </w:tc>
              <w:tc>
                <w:tcPr>
                  <w:tcW w:w="589" w:type="pct"/>
                  <w:tcBorders>
                    <w:top w:val="single" w:color="auto" w:sz="4" w:space="0"/>
                    <w:left w:val="single" w:color="auto" w:sz="4" w:space="0"/>
                    <w:bottom w:val="single" w:color="auto" w:sz="8" w:space="0"/>
                    <w:right w:val="nil"/>
                  </w:tcBorders>
                  <w:vAlign w:val="center"/>
                </w:tcPr>
                <w:p>
                  <w:pPr>
                    <w:snapToGrid w:val="0"/>
                    <w:jc w:val="center"/>
                    <w:rPr>
                      <w:b/>
                      <w:bCs/>
                      <w:szCs w:val="21"/>
                    </w:rPr>
                  </w:pPr>
                  <w:r>
                    <w:rPr>
                      <w:b/>
                      <w:color w:val="000000"/>
                      <w:szCs w:val="21"/>
                    </w:rPr>
                    <w:t>颗粒物</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43" w:type="pct"/>
                  <w:tcBorders>
                    <w:top w:val="single" w:color="auto" w:sz="8" w:space="0"/>
                    <w:left w:val="nil"/>
                    <w:bottom w:val="single" w:color="auto" w:sz="8" w:space="0"/>
                    <w:right w:val="single" w:color="auto" w:sz="4" w:space="0"/>
                  </w:tcBorders>
                  <w:vAlign w:val="center"/>
                </w:tcPr>
                <w:p>
                  <w:pPr>
                    <w:adjustRightInd w:val="0"/>
                    <w:snapToGrid w:val="0"/>
                    <w:jc w:val="center"/>
                    <w:rPr>
                      <w:szCs w:val="21"/>
                    </w:rPr>
                  </w:pPr>
                  <w:r>
                    <w:rPr>
                      <w:szCs w:val="21"/>
                    </w:rPr>
                    <w:t>1</w:t>
                  </w:r>
                </w:p>
              </w:tc>
              <w:tc>
                <w:tcPr>
                  <w:tcW w:w="336" w:type="pct"/>
                  <w:tcBorders>
                    <w:top w:val="single" w:color="auto" w:sz="8" w:space="0"/>
                    <w:left w:val="single" w:color="auto" w:sz="4" w:space="0"/>
                    <w:bottom w:val="single" w:color="auto" w:sz="8" w:space="0"/>
                    <w:right w:val="single" w:color="auto" w:sz="4" w:space="0"/>
                  </w:tcBorders>
                  <w:vAlign w:val="center"/>
                </w:tcPr>
                <w:p>
                  <w:pPr>
                    <w:adjustRightInd w:val="0"/>
                    <w:snapToGrid w:val="0"/>
                    <w:jc w:val="center"/>
                    <w:rPr>
                      <w:szCs w:val="21"/>
                    </w:rPr>
                  </w:pPr>
                  <w:r>
                    <w:rPr>
                      <w:szCs w:val="21"/>
                    </w:rPr>
                    <w:t>P</w:t>
                  </w:r>
                </w:p>
              </w:tc>
              <w:tc>
                <w:tcPr>
                  <w:tcW w:w="303" w:type="pct"/>
                  <w:tcBorders>
                    <w:top w:val="single" w:color="auto" w:sz="8" w:space="0"/>
                    <w:left w:val="single" w:color="auto" w:sz="4" w:space="0"/>
                    <w:bottom w:val="single" w:color="auto" w:sz="8" w:space="0"/>
                    <w:right w:val="single" w:color="auto" w:sz="4" w:space="0"/>
                  </w:tcBorders>
                  <w:vAlign w:val="center"/>
                </w:tcPr>
                <w:p>
                  <w:pPr>
                    <w:adjustRightInd w:val="0"/>
                    <w:snapToGrid w:val="0"/>
                    <w:jc w:val="center"/>
                    <w:rPr>
                      <w:szCs w:val="21"/>
                    </w:rPr>
                  </w:pPr>
                  <w:r>
                    <w:rPr>
                      <w:szCs w:val="21"/>
                    </w:rPr>
                    <w:t>0</w:t>
                  </w:r>
                </w:p>
              </w:tc>
              <w:tc>
                <w:tcPr>
                  <w:tcW w:w="274" w:type="pct"/>
                  <w:tcBorders>
                    <w:top w:val="single" w:color="auto" w:sz="8" w:space="0"/>
                    <w:left w:val="single" w:color="auto" w:sz="4" w:space="0"/>
                    <w:bottom w:val="single" w:color="auto" w:sz="8" w:space="0"/>
                    <w:right w:val="single" w:color="auto" w:sz="4" w:space="0"/>
                  </w:tcBorders>
                  <w:vAlign w:val="center"/>
                </w:tcPr>
                <w:p>
                  <w:pPr>
                    <w:adjustRightInd w:val="0"/>
                    <w:snapToGrid w:val="0"/>
                    <w:jc w:val="center"/>
                    <w:rPr>
                      <w:szCs w:val="21"/>
                    </w:rPr>
                  </w:pPr>
                  <w:r>
                    <w:rPr>
                      <w:szCs w:val="21"/>
                    </w:rPr>
                    <w:t>0</w:t>
                  </w:r>
                </w:p>
              </w:tc>
              <w:tc>
                <w:tcPr>
                  <w:tcW w:w="517" w:type="pct"/>
                  <w:tcBorders>
                    <w:top w:val="single" w:color="auto" w:sz="8" w:space="0"/>
                    <w:left w:val="single" w:color="auto" w:sz="4" w:space="0"/>
                    <w:bottom w:val="single" w:color="auto" w:sz="8" w:space="0"/>
                    <w:right w:val="single" w:color="auto" w:sz="4" w:space="0"/>
                  </w:tcBorders>
                  <w:vAlign w:val="center"/>
                </w:tcPr>
                <w:p>
                  <w:pPr>
                    <w:adjustRightInd w:val="0"/>
                    <w:snapToGrid w:val="0"/>
                    <w:jc w:val="center"/>
                    <w:rPr>
                      <w:szCs w:val="21"/>
                    </w:rPr>
                  </w:pPr>
                  <w:r>
                    <w:rPr>
                      <w:rFonts w:hint="eastAsia"/>
                      <w:szCs w:val="21"/>
                    </w:rPr>
                    <w:t>76</w:t>
                  </w:r>
                </w:p>
              </w:tc>
              <w:tc>
                <w:tcPr>
                  <w:tcW w:w="426" w:type="pct"/>
                  <w:tcBorders>
                    <w:top w:val="single" w:color="auto" w:sz="8" w:space="0"/>
                    <w:left w:val="single" w:color="auto" w:sz="4" w:space="0"/>
                    <w:bottom w:val="single" w:color="auto" w:sz="8" w:space="0"/>
                    <w:right w:val="single" w:color="auto" w:sz="4" w:space="0"/>
                  </w:tcBorders>
                  <w:vAlign w:val="center"/>
                </w:tcPr>
                <w:p>
                  <w:pPr>
                    <w:snapToGrid w:val="0"/>
                    <w:jc w:val="center"/>
                    <w:rPr>
                      <w:szCs w:val="21"/>
                    </w:rPr>
                  </w:pPr>
                  <w:r>
                    <w:rPr>
                      <w:szCs w:val="21"/>
                    </w:rPr>
                    <w:t>15</w:t>
                  </w:r>
                </w:p>
              </w:tc>
              <w:tc>
                <w:tcPr>
                  <w:tcW w:w="451" w:type="pct"/>
                  <w:tcBorders>
                    <w:top w:val="single" w:color="auto" w:sz="8" w:space="0"/>
                    <w:left w:val="single" w:color="auto" w:sz="4" w:space="0"/>
                    <w:bottom w:val="single" w:color="auto" w:sz="8" w:space="0"/>
                    <w:right w:val="single" w:color="auto" w:sz="4" w:space="0"/>
                  </w:tcBorders>
                  <w:vAlign w:val="center"/>
                </w:tcPr>
                <w:p>
                  <w:pPr>
                    <w:snapToGrid w:val="0"/>
                    <w:jc w:val="center"/>
                    <w:rPr>
                      <w:szCs w:val="21"/>
                    </w:rPr>
                  </w:pPr>
                  <w:r>
                    <w:rPr>
                      <w:rFonts w:hint="eastAsia"/>
                      <w:szCs w:val="21"/>
                    </w:rPr>
                    <w:t>0.4</w:t>
                  </w:r>
                </w:p>
              </w:tc>
              <w:tc>
                <w:tcPr>
                  <w:tcW w:w="601" w:type="pct"/>
                  <w:tcBorders>
                    <w:top w:val="single" w:color="auto" w:sz="8" w:space="0"/>
                    <w:left w:val="single" w:color="auto" w:sz="4" w:space="0"/>
                    <w:bottom w:val="single" w:color="auto" w:sz="8" w:space="0"/>
                    <w:right w:val="single" w:color="auto" w:sz="4" w:space="0"/>
                  </w:tcBorders>
                  <w:vAlign w:val="center"/>
                </w:tcPr>
                <w:p>
                  <w:pPr>
                    <w:snapToGrid w:val="0"/>
                    <w:jc w:val="center"/>
                    <w:rPr>
                      <w:szCs w:val="21"/>
                    </w:rPr>
                  </w:pPr>
                  <w:r>
                    <w:rPr>
                      <w:rFonts w:hint="eastAsia"/>
                      <w:szCs w:val="21"/>
                    </w:rPr>
                    <w:t>4.42</w:t>
                  </w:r>
                </w:p>
              </w:tc>
              <w:tc>
                <w:tcPr>
                  <w:tcW w:w="443" w:type="pct"/>
                  <w:tcBorders>
                    <w:top w:val="single" w:color="auto" w:sz="8" w:space="0"/>
                    <w:left w:val="single" w:color="auto" w:sz="4" w:space="0"/>
                    <w:bottom w:val="single" w:color="auto" w:sz="8" w:space="0"/>
                    <w:right w:val="single" w:color="auto" w:sz="4" w:space="0"/>
                  </w:tcBorders>
                  <w:vAlign w:val="center"/>
                </w:tcPr>
                <w:p>
                  <w:pPr>
                    <w:snapToGrid w:val="0"/>
                    <w:jc w:val="center"/>
                    <w:rPr>
                      <w:szCs w:val="21"/>
                    </w:rPr>
                  </w:pPr>
                  <w:r>
                    <w:rPr>
                      <w:szCs w:val="21"/>
                    </w:rPr>
                    <w:t>20</w:t>
                  </w:r>
                </w:p>
              </w:tc>
              <w:tc>
                <w:tcPr>
                  <w:tcW w:w="448" w:type="pct"/>
                  <w:tcBorders>
                    <w:top w:val="single" w:color="auto" w:sz="8" w:space="0"/>
                    <w:left w:val="single" w:color="auto" w:sz="4" w:space="0"/>
                    <w:bottom w:val="single" w:color="auto" w:sz="8" w:space="0"/>
                    <w:right w:val="single" w:color="auto" w:sz="4" w:space="0"/>
                  </w:tcBorders>
                  <w:vAlign w:val="center"/>
                </w:tcPr>
                <w:p>
                  <w:pPr>
                    <w:snapToGrid w:val="0"/>
                    <w:jc w:val="center"/>
                    <w:rPr>
                      <w:szCs w:val="21"/>
                    </w:rPr>
                  </w:pPr>
                  <w:r>
                    <w:rPr>
                      <w:rFonts w:hint="eastAsia"/>
                      <w:szCs w:val="21"/>
                    </w:rPr>
                    <w:t>750</w:t>
                  </w:r>
                </w:p>
              </w:tc>
              <w:tc>
                <w:tcPr>
                  <w:tcW w:w="362" w:type="pct"/>
                  <w:tcBorders>
                    <w:top w:val="single" w:color="auto" w:sz="8" w:space="0"/>
                    <w:left w:val="single" w:color="auto" w:sz="4" w:space="0"/>
                    <w:bottom w:val="single" w:color="auto" w:sz="8" w:space="0"/>
                    <w:right w:val="single" w:color="auto" w:sz="4" w:space="0"/>
                  </w:tcBorders>
                  <w:vAlign w:val="center"/>
                </w:tcPr>
                <w:p>
                  <w:pPr>
                    <w:snapToGrid w:val="0"/>
                    <w:jc w:val="center"/>
                    <w:rPr>
                      <w:szCs w:val="21"/>
                    </w:rPr>
                  </w:pPr>
                  <w:r>
                    <w:rPr>
                      <w:szCs w:val="21"/>
                    </w:rPr>
                    <w:t>正常</w:t>
                  </w:r>
                </w:p>
              </w:tc>
              <w:tc>
                <w:tcPr>
                  <w:tcW w:w="589" w:type="pct"/>
                  <w:tcBorders>
                    <w:top w:val="single" w:color="auto" w:sz="8" w:space="0"/>
                    <w:left w:val="single" w:color="auto" w:sz="4" w:space="0"/>
                    <w:bottom w:val="single" w:color="auto" w:sz="8" w:space="0"/>
                    <w:right w:val="nil"/>
                  </w:tcBorders>
                  <w:vAlign w:val="center"/>
                </w:tcPr>
                <w:p>
                  <w:pPr>
                    <w:widowControl/>
                    <w:jc w:val="center"/>
                    <w:textAlignment w:val="center"/>
                    <w:rPr>
                      <w:szCs w:val="21"/>
                    </w:rPr>
                  </w:pPr>
                  <w:r>
                    <w:rPr>
                      <w:rFonts w:hint="eastAsia"/>
                      <w:color w:val="000000"/>
                      <w:kern w:val="0"/>
                      <w:szCs w:val="21"/>
                    </w:rPr>
                    <w:t>0.0228</w:t>
                  </w:r>
                </w:p>
              </w:tc>
            </w:tr>
          </w:tbl>
          <w:p>
            <w:pPr>
              <w:adjustRightInd w:val="0"/>
              <w:snapToGrid w:val="0"/>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29</w:t>
            </w:r>
            <w:r>
              <w:rPr>
                <w:rFonts w:eastAsia="黑体"/>
                <w:color w:val="000000"/>
                <w:sz w:val="24"/>
              </w:rPr>
              <w:t xml:space="preserve">                 矩形面源参数表</w:t>
            </w:r>
          </w:p>
          <w:tbl>
            <w:tblPr>
              <w:tblStyle w:val="24"/>
              <w:tblW w:w="9071" w:type="dxa"/>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33"/>
              <w:gridCol w:w="1133"/>
              <w:gridCol w:w="1133"/>
              <w:gridCol w:w="1133"/>
              <w:gridCol w:w="1133"/>
              <w:gridCol w:w="1131"/>
              <w:gridCol w:w="1132"/>
              <w:gridCol w:w="1143"/>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24" w:type="pct"/>
                  <w:vMerge w:val="restart"/>
                  <w:vAlign w:val="center"/>
                </w:tcPr>
                <w:p>
                  <w:pPr>
                    <w:snapToGrid w:val="0"/>
                    <w:jc w:val="center"/>
                    <w:rPr>
                      <w:b/>
                      <w:szCs w:val="21"/>
                    </w:rPr>
                  </w:pPr>
                  <w:r>
                    <w:rPr>
                      <w:b/>
                      <w:szCs w:val="21"/>
                    </w:rPr>
                    <w:t>名称</w:t>
                  </w:r>
                </w:p>
              </w:tc>
              <w:tc>
                <w:tcPr>
                  <w:tcW w:w="624" w:type="pct"/>
                  <w:vMerge w:val="restart"/>
                  <w:vAlign w:val="center"/>
                </w:tcPr>
                <w:p>
                  <w:pPr>
                    <w:snapToGrid w:val="0"/>
                    <w:jc w:val="center"/>
                    <w:rPr>
                      <w:b/>
                      <w:szCs w:val="21"/>
                    </w:rPr>
                  </w:pPr>
                  <w:r>
                    <w:rPr>
                      <w:b/>
                      <w:szCs w:val="21"/>
                    </w:rPr>
                    <w:t>面源长度/m</w:t>
                  </w:r>
                </w:p>
              </w:tc>
              <w:tc>
                <w:tcPr>
                  <w:tcW w:w="624" w:type="pct"/>
                  <w:vMerge w:val="restart"/>
                  <w:vAlign w:val="center"/>
                </w:tcPr>
                <w:p>
                  <w:pPr>
                    <w:snapToGrid w:val="0"/>
                    <w:jc w:val="center"/>
                    <w:rPr>
                      <w:b/>
                      <w:szCs w:val="21"/>
                    </w:rPr>
                  </w:pPr>
                  <w:r>
                    <w:rPr>
                      <w:b/>
                      <w:szCs w:val="21"/>
                    </w:rPr>
                    <w:t>面源宽度/m</w:t>
                  </w:r>
                </w:p>
              </w:tc>
              <w:tc>
                <w:tcPr>
                  <w:tcW w:w="624" w:type="pct"/>
                  <w:vMerge w:val="restart"/>
                  <w:vAlign w:val="center"/>
                </w:tcPr>
                <w:p>
                  <w:pPr>
                    <w:snapToGrid w:val="0"/>
                    <w:jc w:val="center"/>
                    <w:rPr>
                      <w:b/>
                      <w:szCs w:val="21"/>
                    </w:rPr>
                  </w:pPr>
                  <w:r>
                    <w:rPr>
                      <w:b/>
                      <w:szCs w:val="21"/>
                    </w:rPr>
                    <w:t>与正北夹角/°</w:t>
                  </w:r>
                </w:p>
              </w:tc>
              <w:tc>
                <w:tcPr>
                  <w:tcW w:w="624" w:type="pct"/>
                  <w:vMerge w:val="restart"/>
                  <w:vAlign w:val="center"/>
                </w:tcPr>
                <w:p>
                  <w:pPr>
                    <w:snapToGrid w:val="0"/>
                    <w:jc w:val="center"/>
                    <w:rPr>
                      <w:b/>
                      <w:szCs w:val="21"/>
                    </w:rPr>
                  </w:pPr>
                  <w:r>
                    <w:rPr>
                      <w:b/>
                      <w:szCs w:val="21"/>
                    </w:rPr>
                    <w:t>面源有效排放高度/m</w:t>
                  </w:r>
                </w:p>
              </w:tc>
              <w:tc>
                <w:tcPr>
                  <w:tcW w:w="623" w:type="pct"/>
                  <w:vMerge w:val="restart"/>
                  <w:vAlign w:val="center"/>
                </w:tcPr>
                <w:p>
                  <w:pPr>
                    <w:snapToGrid w:val="0"/>
                    <w:jc w:val="center"/>
                    <w:rPr>
                      <w:b/>
                      <w:szCs w:val="21"/>
                    </w:rPr>
                  </w:pPr>
                  <w:r>
                    <w:rPr>
                      <w:b/>
                      <w:szCs w:val="21"/>
                    </w:rPr>
                    <w:t>年排放小时数/h</w:t>
                  </w:r>
                </w:p>
              </w:tc>
              <w:tc>
                <w:tcPr>
                  <w:tcW w:w="623" w:type="pct"/>
                  <w:vMerge w:val="restart"/>
                  <w:vAlign w:val="center"/>
                </w:tcPr>
                <w:p>
                  <w:pPr>
                    <w:snapToGrid w:val="0"/>
                    <w:jc w:val="center"/>
                    <w:rPr>
                      <w:b/>
                      <w:szCs w:val="21"/>
                    </w:rPr>
                  </w:pPr>
                  <w:r>
                    <w:rPr>
                      <w:b/>
                      <w:szCs w:val="21"/>
                    </w:rPr>
                    <w:t>排放工况</w:t>
                  </w:r>
                </w:p>
              </w:tc>
              <w:tc>
                <w:tcPr>
                  <w:tcW w:w="629" w:type="pct"/>
                  <w:vAlign w:val="center"/>
                </w:tcPr>
                <w:p>
                  <w:pPr>
                    <w:snapToGrid w:val="0"/>
                    <w:jc w:val="center"/>
                    <w:rPr>
                      <w:b/>
                      <w:szCs w:val="21"/>
                    </w:rPr>
                  </w:pPr>
                  <w:r>
                    <w:rPr>
                      <w:b/>
                      <w:szCs w:val="21"/>
                    </w:rPr>
                    <w:t>污染物排放速率（kg/h）</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24" w:type="pct"/>
                  <w:vMerge w:val="continue"/>
                  <w:tcBorders>
                    <w:bottom w:val="single" w:color="000000" w:sz="8" w:space="0"/>
                  </w:tcBorders>
                  <w:vAlign w:val="center"/>
                </w:tcPr>
                <w:p>
                  <w:pPr>
                    <w:snapToGrid w:val="0"/>
                    <w:jc w:val="center"/>
                    <w:rPr>
                      <w:b/>
                      <w:szCs w:val="21"/>
                    </w:rPr>
                  </w:pPr>
                </w:p>
              </w:tc>
              <w:tc>
                <w:tcPr>
                  <w:tcW w:w="624" w:type="pct"/>
                  <w:vMerge w:val="continue"/>
                  <w:tcBorders>
                    <w:bottom w:val="single" w:color="000000" w:sz="8" w:space="0"/>
                  </w:tcBorders>
                  <w:vAlign w:val="center"/>
                </w:tcPr>
                <w:p>
                  <w:pPr>
                    <w:snapToGrid w:val="0"/>
                    <w:jc w:val="center"/>
                    <w:rPr>
                      <w:b/>
                      <w:szCs w:val="21"/>
                    </w:rPr>
                  </w:pPr>
                </w:p>
              </w:tc>
              <w:tc>
                <w:tcPr>
                  <w:tcW w:w="624" w:type="pct"/>
                  <w:vMerge w:val="continue"/>
                  <w:tcBorders>
                    <w:bottom w:val="single" w:color="000000" w:sz="8" w:space="0"/>
                  </w:tcBorders>
                  <w:vAlign w:val="center"/>
                </w:tcPr>
                <w:p>
                  <w:pPr>
                    <w:snapToGrid w:val="0"/>
                    <w:jc w:val="center"/>
                    <w:rPr>
                      <w:b/>
                      <w:szCs w:val="21"/>
                    </w:rPr>
                  </w:pPr>
                </w:p>
              </w:tc>
              <w:tc>
                <w:tcPr>
                  <w:tcW w:w="624" w:type="pct"/>
                  <w:vMerge w:val="continue"/>
                  <w:tcBorders>
                    <w:bottom w:val="single" w:color="000000" w:sz="8" w:space="0"/>
                  </w:tcBorders>
                  <w:vAlign w:val="center"/>
                </w:tcPr>
                <w:p>
                  <w:pPr>
                    <w:snapToGrid w:val="0"/>
                    <w:jc w:val="center"/>
                    <w:rPr>
                      <w:b/>
                      <w:szCs w:val="21"/>
                    </w:rPr>
                  </w:pPr>
                </w:p>
              </w:tc>
              <w:tc>
                <w:tcPr>
                  <w:tcW w:w="624" w:type="pct"/>
                  <w:vMerge w:val="continue"/>
                  <w:tcBorders>
                    <w:bottom w:val="single" w:color="000000" w:sz="8" w:space="0"/>
                  </w:tcBorders>
                  <w:vAlign w:val="center"/>
                </w:tcPr>
                <w:p>
                  <w:pPr>
                    <w:snapToGrid w:val="0"/>
                    <w:jc w:val="center"/>
                    <w:rPr>
                      <w:b/>
                      <w:szCs w:val="21"/>
                    </w:rPr>
                  </w:pPr>
                </w:p>
              </w:tc>
              <w:tc>
                <w:tcPr>
                  <w:tcW w:w="623" w:type="pct"/>
                  <w:vMerge w:val="continue"/>
                  <w:tcBorders>
                    <w:bottom w:val="single" w:color="000000" w:sz="8" w:space="0"/>
                  </w:tcBorders>
                  <w:vAlign w:val="center"/>
                </w:tcPr>
                <w:p>
                  <w:pPr>
                    <w:snapToGrid w:val="0"/>
                    <w:jc w:val="center"/>
                    <w:rPr>
                      <w:b/>
                      <w:szCs w:val="21"/>
                    </w:rPr>
                  </w:pPr>
                </w:p>
              </w:tc>
              <w:tc>
                <w:tcPr>
                  <w:tcW w:w="623" w:type="pct"/>
                  <w:vMerge w:val="continue"/>
                  <w:tcBorders>
                    <w:bottom w:val="single" w:color="000000" w:sz="8" w:space="0"/>
                  </w:tcBorders>
                  <w:vAlign w:val="center"/>
                </w:tcPr>
                <w:p>
                  <w:pPr>
                    <w:snapToGrid w:val="0"/>
                    <w:jc w:val="center"/>
                    <w:rPr>
                      <w:b/>
                      <w:szCs w:val="21"/>
                    </w:rPr>
                  </w:pPr>
                </w:p>
              </w:tc>
              <w:tc>
                <w:tcPr>
                  <w:tcW w:w="629" w:type="pct"/>
                  <w:tcBorders>
                    <w:bottom w:val="single" w:color="000000" w:sz="8" w:space="0"/>
                  </w:tcBorders>
                  <w:vAlign w:val="center"/>
                </w:tcPr>
                <w:p>
                  <w:pPr>
                    <w:snapToGrid w:val="0"/>
                    <w:jc w:val="center"/>
                    <w:rPr>
                      <w:b/>
                      <w:szCs w:val="21"/>
                    </w:rPr>
                  </w:pPr>
                  <w:r>
                    <w:rPr>
                      <w:rFonts w:hint="eastAsia"/>
                      <w:b/>
                      <w:szCs w:val="21"/>
                      <w:lang w:val="fr-FR"/>
                    </w:rPr>
                    <w:t>颗粒物</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24" w:type="pct"/>
                  <w:vAlign w:val="center"/>
                </w:tcPr>
                <w:p>
                  <w:pPr>
                    <w:snapToGrid w:val="0"/>
                    <w:jc w:val="center"/>
                    <w:rPr>
                      <w:bCs/>
                      <w:szCs w:val="21"/>
                    </w:rPr>
                  </w:pPr>
                  <w:r>
                    <w:rPr>
                      <w:bCs/>
                      <w:szCs w:val="21"/>
                    </w:rPr>
                    <w:t>车间</w:t>
                  </w:r>
                </w:p>
              </w:tc>
              <w:tc>
                <w:tcPr>
                  <w:tcW w:w="624" w:type="pct"/>
                  <w:vAlign w:val="center"/>
                </w:tcPr>
                <w:p>
                  <w:pPr>
                    <w:snapToGrid w:val="0"/>
                    <w:jc w:val="center"/>
                    <w:rPr>
                      <w:bCs/>
                      <w:szCs w:val="21"/>
                    </w:rPr>
                  </w:pPr>
                  <w:r>
                    <w:rPr>
                      <w:rFonts w:hint="eastAsia"/>
                      <w:bCs/>
                      <w:szCs w:val="21"/>
                    </w:rPr>
                    <w:t>48.5</w:t>
                  </w:r>
                </w:p>
              </w:tc>
              <w:tc>
                <w:tcPr>
                  <w:tcW w:w="624" w:type="pct"/>
                  <w:vAlign w:val="center"/>
                </w:tcPr>
                <w:p>
                  <w:pPr>
                    <w:snapToGrid w:val="0"/>
                    <w:jc w:val="center"/>
                    <w:rPr>
                      <w:bCs/>
                      <w:szCs w:val="21"/>
                    </w:rPr>
                  </w:pPr>
                  <w:r>
                    <w:rPr>
                      <w:rFonts w:hint="eastAsia"/>
                      <w:bCs/>
                      <w:szCs w:val="21"/>
                    </w:rPr>
                    <w:t>20</w:t>
                  </w:r>
                </w:p>
              </w:tc>
              <w:tc>
                <w:tcPr>
                  <w:tcW w:w="624" w:type="pct"/>
                  <w:vAlign w:val="center"/>
                </w:tcPr>
                <w:p>
                  <w:pPr>
                    <w:snapToGrid w:val="0"/>
                    <w:jc w:val="center"/>
                    <w:rPr>
                      <w:bCs/>
                      <w:szCs w:val="21"/>
                    </w:rPr>
                  </w:pPr>
                  <w:r>
                    <w:rPr>
                      <w:bCs/>
                      <w:szCs w:val="21"/>
                    </w:rPr>
                    <w:t>0</w:t>
                  </w:r>
                </w:p>
              </w:tc>
              <w:tc>
                <w:tcPr>
                  <w:tcW w:w="624" w:type="pct"/>
                  <w:vAlign w:val="center"/>
                </w:tcPr>
                <w:p>
                  <w:pPr>
                    <w:snapToGrid w:val="0"/>
                    <w:jc w:val="center"/>
                    <w:rPr>
                      <w:bCs/>
                      <w:szCs w:val="21"/>
                    </w:rPr>
                  </w:pPr>
                  <w:r>
                    <w:rPr>
                      <w:rFonts w:hint="eastAsia"/>
                      <w:bCs/>
                      <w:szCs w:val="21"/>
                    </w:rPr>
                    <w:t>8</w:t>
                  </w:r>
                </w:p>
              </w:tc>
              <w:tc>
                <w:tcPr>
                  <w:tcW w:w="623" w:type="pct"/>
                  <w:vAlign w:val="center"/>
                </w:tcPr>
                <w:p>
                  <w:pPr>
                    <w:snapToGrid w:val="0"/>
                    <w:jc w:val="center"/>
                    <w:rPr>
                      <w:bCs/>
                      <w:szCs w:val="21"/>
                    </w:rPr>
                  </w:pPr>
                  <w:r>
                    <w:rPr>
                      <w:rFonts w:hint="eastAsia"/>
                      <w:bCs/>
                      <w:szCs w:val="21"/>
                    </w:rPr>
                    <w:t>750</w:t>
                  </w:r>
                </w:p>
              </w:tc>
              <w:tc>
                <w:tcPr>
                  <w:tcW w:w="623" w:type="pct"/>
                  <w:vAlign w:val="center"/>
                </w:tcPr>
                <w:p>
                  <w:pPr>
                    <w:snapToGrid w:val="0"/>
                    <w:jc w:val="center"/>
                    <w:rPr>
                      <w:bCs/>
                      <w:szCs w:val="21"/>
                    </w:rPr>
                  </w:pPr>
                  <w:r>
                    <w:rPr>
                      <w:bCs/>
                      <w:szCs w:val="21"/>
                    </w:rPr>
                    <w:t>正常</w:t>
                  </w:r>
                </w:p>
              </w:tc>
              <w:tc>
                <w:tcPr>
                  <w:tcW w:w="629" w:type="pct"/>
                  <w:vAlign w:val="center"/>
                </w:tcPr>
                <w:p>
                  <w:pPr>
                    <w:snapToGrid w:val="0"/>
                    <w:jc w:val="center"/>
                    <w:rPr>
                      <w:bCs/>
                      <w:szCs w:val="21"/>
                    </w:rPr>
                  </w:pPr>
                  <w:r>
                    <w:rPr>
                      <w:rFonts w:hint="eastAsia"/>
                      <w:bCs/>
                      <w:szCs w:val="21"/>
                    </w:rPr>
                    <w:t>0.1138</w:t>
                  </w:r>
                </w:p>
              </w:tc>
            </w:tr>
          </w:tbl>
          <w:p>
            <w:pPr>
              <w:pStyle w:val="104"/>
              <w:snapToGrid w:val="0"/>
              <w:spacing w:line="440" w:lineRule="exact"/>
              <w:ind w:firstLine="480"/>
              <w:rPr>
                <w:bCs/>
                <w:kern w:val="2"/>
              </w:rPr>
            </w:pPr>
            <w:r>
              <w:rPr>
                <w:bCs/>
                <w:kern w:val="2"/>
              </w:rPr>
              <w:t>（4）预测结果分析</w:t>
            </w:r>
          </w:p>
          <w:p>
            <w:pPr>
              <w:adjustRightInd w:val="0"/>
              <w:snapToGrid w:val="0"/>
              <w:spacing w:line="440" w:lineRule="exact"/>
              <w:ind w:firstLine="480" w:firstLineChars="200"/>
              <w:rPr>
                <w:snapToGrid w:val="0"/>
                <w:color w:val="000000"/>
                <w:kern w:val="0"/>
                <w:sz w:val="24"/>
              </w:rPr>
            </w:pPr>
            <w:r>
              <w:rPr>
                <w:snapToGrid w:val="0"/>
                <w:color w:val="000000"/>
                <w:kern w:val="0"/>
                <w:sz w:val="24"/>
              </w:rPr>
              <w:t>采用《环境影响评价技术导则大气环境》（HJ/2.2-2018）中推荐的估算模型AERSCREEN预测</w:t>
            </w:r>
            <w:r>
              <w:rPr>
                <w:snapToGrid w:val="0"/>
                <w:kern w:val="0"/>
                <w:sz w:val="24"/>
              </w:rPr>
              <w:t>全厂</w:t>
            </w:r>
            <w:r>
              <w:rPr>
                <w:snapToGrid w:val="0"/>
                <w:color w:val="000000"/>
                <w:kern w:val="0"/>
                <w:sz w:val="24"/>
              </w:rPr>
              <w:t>废气排放对周围大气环境的影响，预测结果见下表</w:t>
            </w:r>
            <w:r>
              <w:rPr>
                <w:rFonts w:hint="eastAsia"/>
                <w:snapToGrid w:val="0"/>
                <w:color w:val="000000"/>
                <w:kern w:val="0"/>
                <w:sz w:val="24"/>
              </w:rPr>
              <w:t>：</w:t>
            </w:r>
          </w:p>
          <w:p>
            <w:pPr>
              <w:adjustRightInd w:val="0"/>
              <w:snapToGrid w:val="0"/>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30</w:t>
            </w:r>
            <w:r>
              <w:rPr>
                <w:rFonts w:eastAsia="黑体"/>
                <w:color w:val="000000"/>
                <w:sz w:val="24"/>
              </w:rPr>
              <w:t xml:space="preserve">           AERSCREEN估算模型计算结果一览表</w:t>
            </w:r>
          </w:p>
          <w:tbl>
            <w:tblPr>
              <w:tblStyle w:val="24"/>
              <w:tblW w:w="4997"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748"/>
              <w:gridCol w:w="1259"/>
              <w:gridCol w:w="1517"/>
              <w:gridCol w:w="1517"/>
              <w:gridCol w:w="1103"/>
              <w:gridCol w:w="1595"/>
              <w:gridCol w:w="1328"/>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12" w:type="pct"/>
                  <w:tcBorders>
                    <w:bottom w:val="single" w:color="000000" w:sz="8" w:space="0"/>
                  </w:tcBorders>
                  <w:vAlign w:val="center"/>
                </w:tcPr>
                <w:p>
                  <w:pPr>
                    <w:snapToGrid w:val="0"/>
                    <w:jc w:val="center"/>
                    <w:rPr>
                      <w:b/>
                      <w:color w:val="000000"/>
                      <w:szCs w:val="21"/>
                    </w:rPr>
                  </w:pPr>
                  <w:r>
                    <w:rPr>
                      <w:b/>
                      <w:color w:val="000000"/>
                      <w:szCs w:val="21"/>
                    </w:rPr>
                    <w:t>排放方式</w:t>
                  </w:r>
                </w:p>
              </w:tc>
              <w:tc>
                <w:tcPr>
                  <w:tcW w:w="693" w:type="pct"/>
                  <w:tcBorders>
                    <w:bottom w:val="single" w:color="000000" w:sz="8" w:space="0"/>
                  </w:tcBorders>
                  <w:vAlign w:val="center"/>
                </w:tcPr>
                <w:p>
                  <w:pPr>
                    <w:snapToGrid w:val="0"/>
                    <w:jc w:val="center"/>
                    <w:rPr>
                      <w:b/>
                      <w:color w:val="000000"/>
                      <w:szCs w:val="21"/>
                    </w:rPr>
                  </w:pPr>
                  <w:r>
                    <w:rPr>
                      <w:b/>
                      <w:color w:val="000000"/>
                      <w:szCs w:val="21"/>
                    </w:rPr>
                    <w:t>污染源</w:t>
                  </w:r>
                </w:p>
              </w:tc>
              <w:tc>
                <w:tcPr>
                  <w:tcW w:w="836" w:type="pct"/>
                  <w:tcBorders>
                    <w:bottom w:val="single" w:color="000000" w:sz="8" w:space="0"/>
                  </w:tcBorders>
                  <w:vAlign w:val="center"/>
                </w:tcPr>
                <w:p>
                  <w:pPr>
                    <w:snapToGrid w:val="0"/>
                    <w:jc w:val="center"/>
                    <w:rPr>
                      <w:b/>
                      <w:color w:val="000000"/>
                      <w:szCs w:val="21"/>
                    </w:rPr>
                  </w:pPr>
                  <w:r>
                    <w:rPr>
                      <w:b/>
                      <w:color w:val="000000"/>
                      <w:szCs w:val="21"/>
                    </w:rPr>
                    <w:t>污染物</w:t>
                  </w:r>
                </w:p>
              </w:tc>
              <w:tc>
                <w:tcPr>
                  <w:tcW w:w="836" w:type="pct"/>
                  <w:tcBorders>
                    <w:bottom w:val="single" w:color="000000" w:sz="8" w:space="0"/>
                  </w:tcBorders>
                  <w:vAlign w:val="center"/>
                </w:tcPr>
                <w:p>
                  <w:pPr>
                    <w:snapToGrid w:val="0"/>
                    <w:jc w:val="center"/>
                    <w:rPr>
                      <w:b/>
                      <w:color w:val="000000"/>
                      <w:szCs w:val="21"/>
                    </w:rPr>
                  </w:pPr>
                  <w:r>
                    <w:rPr>
                      <w:b/>
                      <w:color w:val="000000"/>
                      <w:szCs w:val="21"/>
                    </w:rPr>
                    <w:t>下风向质量浓度Ci（μg/m</w:t>
                  </w:r>
                  <w:r>
                    <w:rPr>
                      <w:b/>
                      <w:color w:val="000000"/>
                      <w:szCs w:val="21"/>
                      <w:vertAlign w:val="superscript"/>
                    </w:rPr>
                    <w:t>3</w:t>
                  </w:r>
                  <w:r>
                    <w:rPr>
                      <w:b/>
                      <w:color w:val="000000"/>
                      <w:szCs w:val="21"/>
                    </w:rPr>
                    <w:t>）</w:t>
                  </w:r>
                </w:p>
              </w:tc>
              <w:tc>
                <w:tcPr>
                  <w:tcW w:w="608" w:type="pct"/>
                  <w:tcBorders>
                    <w:bottom w:val="single" w:color="000000" w:sz="8" w:space="0"/>
                  </w:tcBorders>
                  <w:vAlign w:val="center"/>
                </w:tcPr>
                <w:p>
                  <w:pPr>
                    <w:snapToGrid w:val="0"/>
                    <w:jc w:val="center"/>
                    <w:rPr>
                      <w:b/>
                      <w:color w:val="000000"/>
                      <w:szCs w:val="21"/>
                    </w:rPr>
                  </w:pPr>
                  <w:r>
                    <w:rPr>
                      <w:b/>
                      <w:color w:val="000000"/>
                      <w:szCs w:val="21"/>
                    </w:rPr>
                    <w:t>占标率Pi（%）</w:t>
                  </w:r>
                </w:p>
              </w:tc>
              <w:tc>
                <w:tcPr>
                  <w:tcW w:w="879" w:type="pct"/>
                  <w:tcBorders>
                    <w:bottom w:val="single" w:color="000000" w:sz="8" w:space="0"/>
                  </w:tcBorders>
                  <w:vAlign w:val="center"/>
                </w:tcPr>
                <w:p>
                  <w:pPr>
                    <w:snapToGrid w:val="0"/>
                    <w:jc w:val="center"/>
                    <w:rPr>
                      <w:b/>
                      <w:color w:val="000000"/>
                      <w:szCs w:val="21"/>
                    </w:rPr>
                  </w:pPr>
                  <w:r>
                    <w:rPr>
                      <w:b/>
                      <w:color w:val="000000"/>
                      <w:szCs w:val="21"/>
                    </w:rPr>
                    <w:t>最大落地浓度出现距离（m）</w:t>
                  </w:r>
                </w:p>
              </w:tc>
              <w:tc>
                <w:tcPr>
                  <w:tcW w:w="732" w:type="pct"/>
                  <w:tcBorders>
                    <w:bottom w:val="single" w:color="000000" w:sz="8" w:space="0"/>
                  </w:tcBorders>
                  <w:vAlign w:val="center"/>
                </w:tcPr>
                <w:p>
                  <w:pPr>
                    <w:snapToGrid w:val="0"/>
                    <w:jc w:val="center"/>
                    <w:rPr>
                      <w:b/>
                      <w:color w:val="000000"/>
                      <w:szCs w:val="21"/>
                    </w:rPr>
                  </w:pPr>
                  <w:r>
                    <w:rPr>
                      <w:b/>
                      <w:color w:val="000000"/>
                      <w:szCs w:val="21"/>
                    </w:rPr>
                    <w:t>标准值Coi*（μg/m</w:t>
                  </w:r>
                  <w:r>
                    <w:rPr>
                      <w:b/>
                      <w:color w:val="000000"/>
                      <w:szCs w:val="21"/>
                      <w:vertAlign w:val="superscript"/>
                    </w:rPr>
                    <w:t>3</w:t>
                  </w:r>
                  <w:r>
                    <w:rPr>
                      <w:b/>
                      <w:color w:val="000000"/>
                      <w:szCs w:val="21"/>
                    </w:rPr>
                    <w:t>）</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12" w:type="pct"/>
                  <w:tcBorders>
                    <w:top w:val="single" w:color="000000" w:sz="8" w:space="0"/>
                  </w:tcBorders>
                  <w:vAlign w:val="center"/>
                </w:tcPr>
                <w:p>
                  <w:pPr>
                    <w:snapToGrid w:val="0"/>
                    <w:jc w:val="center"/>
                    <w:rPr>
                      <w:bCs/>
                      <w:color w:val="000000"/>
                      <w:szCs w:val="21"/>
                    </w:rPr>
                  </w:pPr>
                  <w:r>
                    <w:rPr>
                      <w:szCs w:val="21"/>
                    </w:rPr>
                    <w:t>点源</w:t>
                  </w:r>
                </w:p>
              </w:tc>
              <w:tc>
                <w:tcPr>
                  <w:tcW w:w="693" w:type="pct"/>
                  <w:tcBorders>
                    <w:top w:val="single" w:color="000000" w:sz="8" w:space="0"/>
                  </w:tcBorders>
                  <w:vAlign w:val="center"/>
                </w:tcPr>
                <w:p>
                  <w:pPr>
                    <w:snapToGrid w:val="0"/>
                    <w:jc w:val="center"/>
                    <w:rPr>
                      <w:bCs/>
                      <w:color w:val="000000"/>
                      <w:szCs w:val="21"/>
                    </w:rPr>
                  </w:pPr>
                  <w:r>
                    <w:rPr>
                      <w:szCs w:val="21"/>
                    </w:rPr>
                    <w:t>排气筒P</w:t>
                  </w:r>
                </w:p>
              </w:tc>
              <w:tc>
                <w:tcPr>
                  <w:tcW w:w="836" w:type="pct"/>
                  <w:tcBorders>
                    <w:top w:val="single" w:color="000000" w:sz="8" w:space="0"/>
                  </w:tcBorders>
                  <w:vAlign w:val="center"/>
                </w:tcPr>
                <w:p>
                  <w:pPr>
                    <w:snapToGrid w:val="0"/>
                    <w:jc w:val="center"/>
                    <w:rPr>
                      <w:bCs/>
                      <w:color w:val="000000"/>
                      <w:szCs w:val="21"/>
                    </w:rPr>
                  </w:pPr>
                  <w:r>
                    <w:rPr>
                      <w:rFonts w:hint="eastAsia"/>
                      <w:szCs w:val="21"/>
                    </w:rPr>
                    <w:t>颗粒物</w:t>
                  </w:r>
                </w:p>
              </w:tc>
              <w:tc>
                <w:tcPr>
                  <w:tcW w:w="836" w:type="pct"/>
                  <w:tcBorders>
                    <w:top w:val="single" w:color="000000" w:sz="8" w:space="0"/>
                  </w:tcBorders>
                  <w:vAlign w:val="center"/>
                </w:tcPr>
                <w:p>
                  <w:pPr>
                    <w:snapToGrid w:val="0"/>
                    <w:jc w:val="center"/>
                    <w:rPr>
                      <w:bCs/>
                      <w:color w:val="000000"/>
                      <w:szCs w:val="21"/>
                    </w:rPr>
                  </w:pPr>
                  <w:r>
                    <w:rPr>
                      <w:rFonts w:hint="eastAsia"/>
                      <w:bCs/>
                      <w:color w:val="000000"/>
                      <w:szCs w:val="21"/>
                    </w:rPr>
                    <w:t>7.701</w:t>
                  </w:r>
                </w:p>
              </w:tc>
              <w:tc>
                <w:tcPr>
                  <w:tcW w:w="608" w:type="pct"/>
                  <w:tcBorders>
                    <w:top w:val="single" w:color="000000" w:sz="8" w:space="0"/>
                  </w:tcBorders>
                  <w:vAlign w:val="center"/>
                </w:tcPr>
                <w:p>
                  <w:pPr>
                    <w:snapToGrid w:val="0"/>
                    <w:jc w:val="center"/>
                    <w:rPr>
                      <w:bCs/>
                      <w:color w:val="000000"/>
                      <w:szCs w:val="21"/>
                    </w:rPr>
                  </w:pPr>
                  <w:r>
                    <w:rPr>
                      <w:rFonts w:hint="eastAsia"/>
                      <w:bCs/>
                      <w:color w:val="000000"/>
                      <w:szCs w:val="21"/>
                    </w:rPr>
                    <w:t>1.71</w:t>
                  </w:r>
                </w:p>
              </w:tc>
              <w:tc>
                <w:tcPr>
                  <w:tcW w:w="879" w:type="pct"/>
                  <w:tcBorders>
                    <w:top w:val="single" w:color="000000" w:sz="8" w:space="0"/>
                  </w:tcBorders>
                  <w:vAlign w:val="center"/>
                </w:tcPr>
                <w:p>
                  <w:pPr>
                    <w:snapToGrid w:val="0"/>
                    <w:jc w:val="center"/>
                    <w:rPr>
                      <w:bCs/>
                      <w:color w:val="000000"/>
                      <w:szCs w:val="21"/>
                    </w:rPr>
                  </w:pPr>
                  <w:r>
                    <w:rPr>
                      <w:rFonts w:hint="eastAsia"/>
                      <w:bCs/>
                      <w:color w:val="000000"/>
                      <w:szCs w:val="21"/>
                    </w:rPr>
                    <w:t>105</w:t>
                  </w:r>
                </w:p>
              </w:tc>
              <w:tc>
                <w:tcPr>
                  <w:tcW w:w="732" w:type="pct"/>
                  <w:tcBorders>
                    <w:top w:val="single" w:color="000000" w:sz="8" w:space="0"/>
                  </w:tcBorders>
                  <w:vAlign w:val="center"/>
                </w:tcPr>
                <w:p>
                  <w:pPr>
                    <w:snapToGrid w:val="0"/>
                    <w:jc w:val="center"/>
                    <w:rPr>
                      <w:color w:val="000000"/>
                      <w:szCs w:val="21"/>
                    </w:rPr>
                  </w:pPr>
                  <w:r>
                    <w:rPr>
                      <w:rFonts w:hint="eastAsia"/>
                      <w:bCs/>
                      <w:color w:val="000000"/>
                      <w:szCs w:val="21"/>
                    </w:rPr>
                    <w:t>450</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12" w:type="pct"/>
                  <w:vAlign w:val="center"/>
                </w:tcPr>
                <w:p>
                  <w:pPr>
                    <w:snapToGrid w:val="0"/>
                    <w:jc w:val="center"/>
                    <w:rPr>
                      <w:color w:val="000000"/>
                      <w:szCs w:val="21"/>
                    </w:rPr>
                  </w:pPr>
                  <w:r>
                    <w:rPr>
                      <w:color w:val="000000"/>
                      <w:szCs w:val="21"/>
                    </w:rPr>
                    <w:t>面源</w:t>
                  </w:r>
                </w:p>
              </w:tc>
              <w:tc>
                <w:tcPr>
                  <w:tcW w:w="693" w:type="pct"/>
                  <w:vAlign w:val="center"/>
                </w:tcPr>
                <w:p>
                  <w:pPr>
                    <w:snapToGrid w:val="0"/>
                    <w:jc w:val="center"/>
                    <w:rPr>
                      <w:color w:val="000000"/>
                      <w:szCs w:val="21"/>
                    </w:rPr>
                  </w:pPr>
                  <w:r>
                    <w:rPr>
                      <w:color w:val="000000"/>
                      <w:szCs w:val="21"/>
                    </w:rPr>
                    <w:t>车间</w:t>
                  </w:r>
                </w:p>
              </w:tc>
              <w:tc>
                <w:tcPr>
                  <w:tcW w:w="836" w:type="pct"/>
                  <w:vAlign w:val="center"/>
                </w:tcPr>
                <w:p>
                  <w:pPr>
                    <w:snapToGrid w:val="0"/>
                    <w:jc w:val="center"/>
                    <w:rPr>
                      <w:color w:val="000000"/>
                      <w:szCs w:val="21"/>
                    </w:rPr>
                  </w:pPr>
                  <w:r>
                    <w:rPr>
                      <w:rFonts w:hint="eastAsia"/>
                      <w:szCs w:val="21"/>
                    </w:rPr>
                    <w:t>颗粒物</w:t>
                  </w:r>
                </w:p>
              </w:tc>
              <w:tc>
                <w:tcPr>
                  <w:tcW w:w="836" w:type="pct"/>
                  <w:vAlign w:val="center"/>
                </w:tcPr>
                <w:p>
                  <w:pPr>
                    <w:snapToGrid w:val="0"/>
                    <w:jc w:val="center"/>
                    <w:rPr>
                      <w:bCs/>
                      <w:color w:val="000000"/>
                      <w:szCs w:val="21"/>
                    </w:rPr>
                  </w:pPr>
                  <w:r>
                    <w:rPr>
                      <w:rFonts w:hint="eastAsia"/>
                      <w:bCs/>
                      <w:color w:val="000000"/>
                      <w:szCs w:val="21"/>
                    </w:rPr>
                    <w:t>38.44</w:t>
                  </w:r>
                </w:p>
              </w:tc>
              <w:tc>
                <w:tcPr>
                  <w:tcW w:w="608" w:type="pct"/>
                  <w:vAlign w:val="center"/>
                </w:tcPr>
                <w:p>
                  <w:pPr>
                    <w:snapToGrid w:val="0"/>
                    <w:jc w:val="center"/>
                    <w:rPr>
                      <w:bCs/>
                      <w:color w:val="000000"/>
                      <w:szCs w:val="21"/>
                    </w:rPr>
                  </w:pPr>
                  <w:r>
                    <w:rPr>
                      <w:rFonts w:hint="eastAsia"/>
                      <w:bCs/>
                      <w:color w:val="000000"/>
                      <w:szCs w:val="21"/>
                    </w:rPr>
                    <w:t>8.54</w:t>
                  </w:r>
                </w:p>
              </w:tc>
              <w:tc>
                <w:tcPr>
                  <w:tcW w:w="879" w:type="pct"/>
                  <w:vAlign w:val="center"/>
                </w:tcPr>
                <w:p>
                  <w:pPr>
                    <w:snapToGrid w:val="0"/>
                    <w:jc w:val="center"/>
                    <w:rPr>
                      <w:bCs/>
                      <w:color w:val="000000"/>
                      <w:szCs w:val="21"/>
                    </w:rPr>
                  </w:pPr>
                  <w:r>
                    <w:rPr>
                      <w:rFonts w:hint="eastAsia"/>
                      <w:bCs/>
                      <w:color w:val="000000"/>
                      <w:szCs w:val="21"/>
                    </w:rPr>
                    <w:t>105</w:t>
                  </w:r>
                </w:p>
              </w:tc>
              <w:tc>
                <w:tcPr>
                  <w:tcW w:w="732" w:type="pct"/>
                  <w:vAlign w:val="center"/>
                </w:tcPr>
                <w:p>
                  <w:pPr>
                    <w:snapToGrid w:val="0"/>
                    <w:jc w:val="center"/>
                    <w:rPr>
                      <w:color w:val="000000"/>
                      <w:szCs w:val="21"/>
                    </w:rPr>
                  </w:pPr>
                  <w:r>
                    <w:rPr>
                      <w:rFonts w:hint="eastAsia"/>
                      <w:bCs/>
                      <w:color w:val="000000"/>
                      <w:szCs w:val="21"/>
                    </w:rPr>
                    <w:t>450</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106" w:type="pct"/>
                  <w:gridSpan w:val="2"/>
                  <w:vAlign w:val="center"/>
                </w:tcPr>
                <w:p>
                  <w:pPr>
                    <w:snapToGrid w:val="0"/>
                    <w:jc w:val="center"/>
                    <w:rPr>
                      <w:color w:val="000000"/>
                      <w:szCs w:val="21"/>
                    </w:rPr>
                  </w:pPr>
                  <w:r>
                    <w:rPr>
                      <w:szCs w:val="21"/>
                    </w:rPr>
                    <w:t>各源最大值</w:t>
                  </w:r>
                </w:p>
              </w:tc>
              <w:tc>
                <w:tcPr>
                  <w:tcW w:w="836" w:type="pct"/>
                  <w:vAlign w:val="center"/>
                </w:tcPr>
                <w:p>
                  <w:pPr>
                    <w:snapToGrid w:val="0"/>
                    <w:jc w:val="center"/>
                    <w:rPr>
                      <w:szCs w:val="21"/>
                    </w:rPr>
                  </w:pPr>
                  <w:r>
                    <w:rPr>
                      <w:rFonts w:hint="eastAsia"/>
                      <w:szCs w:val="21"/>
                    </w:rPr>
                    <w:t>颗粒物</w:t>
                  </w:r>
                </w:p>
              </w:tc>
              <w:tc>
                <w:tcPr>
                  <w:tcW w:w="836" w:type="pct"/>
                  <w:vAlign w:val="center"/>
                </w:tcPr>
                <w:p>
                  <w:pPr>
                    <w:snapToGrid w:val="0"/>
                    <w:jc w:val="center"/>
                    <w:rPr>
                      <w:color w:val="000000"/>
                      <w:szCs w:val="21"/>
                    </w:rPr>
                  </w:pPr>
                  <w:r>
                    <w:rPr>
                      <w:rFonts w:hint="eastAsia"/>
                      <w:bCs/>
                      <w:color w:val="000000"/>
                      <w:szCs w:val="21"/>
                    </w:rPr>
                    <w:t>38.44</w:t>
                  </w:r>
                </w:p>
              </w:tc>
              <w:tc>
                <w:tcPr>
                  <w:tcW w:w="608" w:type="pct"/>
                  <w:vAlign w:val="center"/>
                </w:tcPr>
                <w:p>
                  <w:pPr>
                    <w:snapToGrid w:val="0"/>
                    <w:jc w:val="center"/>
                    <w:rPr>
                      <w:color w:val="000000"/>
                      <w:szCs w:val="21"/>
                    </w:rPr>
                  </w:pPr>
                  <w:r>
                    <w:rPr>
                      <w:rFonts w:hint="eastAsia"/>
                      <w:color w:val="000000"/>
                      <w:szCs w:val="21"/>
                    </w:rPr>
                    <w:t>8.54</w:t>
                  </w:r>
                </w:p>
              </w:tc>
              <w:tc>
                <w:tcPr>
                  <w:tcW w:w="879" w:type="pct"/>
                  <w:vAlign w:val="center"/>
                </w:tcPr>
                <w:p>
                  <w:pPr>
                    <w:snapToGrid w:val="0"/>
                    <w:jc w:val="center"/>
                    <w:rPr>
                      <w:color w:val="000000"/>
                      <w:szCs w:val="21"/>
                    </w:rPr>
                  </w:pPr>
                  <w:r>
                    <w:rPr>
                      <w:rFonts w:hint="eastAsia"/>
                      <w:bCs/>
                      <w:color w:val="000000"/>
                      <w:szCs w:val="21"/>
                    </w:rPr>
                    <w:t>105</w:t>
                  </w:r>
                </w:p>
              </w:tc>
              <w:tc>
                <w:tcPr>
                  <w:tcW w:w="732" w:type="pct"/>
                  <w:vAlign w:val="center"/>
                </w:tcPr>
                <w:p>
                  <w:pPr>
                    <w:snapToGrid w:val="0"/>
                    <w:jc w:val="center"/>
                    <w:rPr>
                      <w:color w:val="000000"/>
                      <w:szCs w:val="21"/>
                    </w:rPr>
                  </w:pPr>
                  <w:r>
                    <w:rPr>
                      <w:rFonts w:hint="eastAsia"/>
                      <w:bCs/>
                      <w:color w:val="000000"/>
                      <w:szCs w:val="21"/>
                    </w:rPr>
                    <w:t>450</w:t>
                  </w:r>
                </w:p>
              </w:tc>
            </w:tr>
          </w:tbl>
          <w:p>
            <w:pPr>
              <w:adjustRightInd w:val="0"/>
              <w:snapToGrid w:val="0"/>
              <w:spacing w:line="440" w:lineRule="exact"/>
              <w:ind w:firstLine="480" w:firstLineChars="200"/>
              <w:jc w:val="left"/>
              <w:rPr>
                <w:rFonts w:hint="eastAsia"/>
                <w:bCs/>
                <w:snapToGrid w:val="0"/>
                <w:kern w:val="0"/>
                <w:sz w:val="24"/>
                <w:lang w:eastAsia="zh-CN"/>
              </w:rPr>
            </w:pPr>
            <w:r>
              <w:rPr>
                <w:rFonts w:hint="eastAsia"/>
                <w:bCs/>
                <w:snapToGrid w:val="0"/>
                <w:kern w:val="0"/>
                <w:sz w:val="24"/>
              </w:rPr>
              <w:t>由上表</w:t>
            </w:r>
            <w:r>
              <w:rPr>
                <w:rFonts w:hint="eastAsia"/>
                <w:bCs/>
                <w:snapToGrid w:val="0"/>
                <w:kern w:val="0"/>
                <w:sz w:val="24"/>
                <w:lang w:eastAsia="zh-CN"/>
              </w:rPr>
              <w:t>可以</w:t>
            </w:r>
            <w:r>
              <w:rPr>
                <w:rFonts w:hint="eastAsia"/>
                <w:bCs/>
                <w:snapToGrid w:val="0"/>
                <w:kern w:val="0"/>
                <w:sz w:val="24"/>
              </w:rPr>
              <w:t>看出：本项目无组织粉尘厂界最大落地浓度为0.03844mg/m</w:t>
            </w:r>
            <w:r>
              <w:rPr>
                <w:rFonts w:hint="eastAsia"/>
                <w:bCs/>
                <w:snapToGrid w:val="0"/>
                <w:kern w:val="0"/>
                <w:sz w:val="24"/>
                <w:vertAlign w:val="superscript"/>
              </w:rPr>
              <w:t>3</w:t>
            </w:r>
            <w:r>
              <w:rPr>
                <w:rFonts w:hint="eastAsia"/>
                <w:bCs/>
                <w:snapToGrid w:val="0"/>
                <w:kern w:val="0"/>
                <w:sz w:val="24"/>
              </w:rPr>
              <w:t>，能够满足</w:t>
            </w:r>
            <w:r>
              <w:rPr>
                <w:rFonts w:hint="eastAsia"/>
                <w:bCs/>
                <w:snapToGrid w:val="0"/>
                <w:kern w:val="0"/>
                <w:sz w:val="24"/>
                <w:lang w:val="en-US" w:eastAsia="zh-CN"/>
              </w:rPr>
              <w:t>2020年7月31日《新乡市生态环境局关于进一步规范工业颗粒物排放限值的通知》</w:t>
            </w:r>
            <w:r>
              <w:rPr>
                <w:rFonts w:hint="eastAsia"/>
                <w:bCs/>
                <w:snapToGrid w:val="0"/>
                <w:kern w:val="0"/>
                <w:sz w:val="24"/>
                <w:lang w:eastAsia="zh-CN"/>
              </w:rPr>
              <w:t>厂界颗粒物排放浓度不高于</w:t>
            </w:r>
            <w:r>
              <w:rPr>
                <w:rFonts w:hint="eastAsia"/>
                <w:bCs/>
                <w:snapToGrid w:val="0"/>
                <w:kern w:val="0"/>
                <w:sz w:val="24"/>
                <w:lang w:val="en-US" w:eastAsia="zh-CN"/>
              </w:rPr>
              <w:t>0.5</w:t>
            </w:r>
            <w:r>
              <w:rPr>
                <w:rFonts w:hint="eastAsia"/>
                <w:bCs/>
                <w:snapToGrid w:val="0"/>
                <w:kern w:val="0"/>
                <w:sz w:val="24"/>
              </w:rPr>
              <w:t>mg/m</w:t>
            </w:r>
            <w:r>
              <w:rPr>
                <w:rFonts w:hint="eastAsia"/>
                <w:bCs/>
                <w:snapToGrid w:val="0"/>
                <w:kern w:val="0"/>
                <w:sz w:val="24"/>
                <w:vertAlign w:val="superscript"/>
              </w:rPr>
              <w:t>3</w:t>
            </w:r>
            <w:r>
              <w:rPr>
                <w:rFonts w:hint="eastAsia"/>
                <w:bCs/>
                <w:snapToGrid w:val="0"/>
                <w:kern w:val="0"/>
                <w:sz w:val="24"/>
                <w:lang w:eastAsia="zh-CN"/>
              </w:rPr>
              <w:t>的标准要求。</w:t>
            </w:r>
          </w:p>
          <w:p>
            <w:pPr>
              <w:spacing w:line="440" w:lineRule="exact"/>
              <w:ind w:firstLine="480" w:firstLineChars="200"/>
              <w:textAlignment w:val="baseline"/>
              <w:rPr>
                <w:bCs/>
                <w:color w:val="000000"/>
                <w:sz w:val="24"/>
              </w:rPr>
            </w:pPr>
            <w:r>
              <w:rPr>
                <w:bCs/>
                <w:sz w:val="24"/>
              </w:rPr>
              <w:t>（5）评价等级判定</w:t>
            </w:r>
          </w:p>
          <w:p>
            <w:pPr>
              <w:adjustRightInd w:val="0"/>
              <w:snapToGrid w:val="0"/>
              <w:spacing w:line="440" w:lineRule="exact"/>
              <w:ind w:firstLine="480" w:firstLineChars="200"/>
              <w:rPr>
                <w:snapToGrid w:val="0"/>
                <w:color w:val="000000"/>
                <w:kern w:val="0"/>
                <w:sz w:val="24"/>
              </w:rPr>
            </w:pPr>
            <w:r>
              <w:rPr>
                <w:snapToGrid w:val="0"/>
                <w:color w:val="000000"/>
                <w:kern w:val="0"/>
                <w:sz w:val="24"/>
              </w:rPr>
              <w:t>由上表结果看出：</w:t>
            </w:r>
            <w:r>
              <w:rPr>
                <w:rFonts w:hint="eastAsia"/>
                <w:snapToGrid w:val="0"/>
                <w:kern w:val="0"/>
                <w:sz w:val="24"/>
              </w:rPr>
              <w:t>本项目</w:t>
            </w:r>
            <w:r>
              <w:rPr>
                <w:snapToGrid w:val="0"/>
                <w:color w:val="000000"/>
                <w:kern w:val="0"/>
                <w:sz w:val="24"/>
              </w:rPr>
              <w:t>大气污染源排放的污染物经估算模式预测，本项目污染源最大值为车间</w:t>
            </w:r>
            <w:r>
              <w:rPr>
                <w:snapToGrid w:val="0"/>
                <w:kern w:val="0"/>
                <w:sz w:val="24"/>
              </w:rPr>
              <w:t>颗粒物</w:t>
            </w:r>
            <w:r>
              <w:rPr>
                <w:snapToGrid w:val="0"/>
                <w:color w:val="000000"/>
                <w:kern w:val="0"/>
                <w:sz w:val="24"/>
              </w:rPr>
              <w:t>最大落地浓度值以及占标率分别为</w:t>
            </w:r>
            <w:r>
              <w:rPr>
                <w:rFonts w:hint="eastAsia"/>
                <w:snapToGrid w:val="0"/>
                <w:color w:val="000000"/>
                <w:kern w:val="0"/>
                <w:sz w:val="24"/>
              </w:rPr>
              <w:t>38.44</w:t>
            </w:r>
            <w:r>
              <w:rPr>
                <w:snapToGrid w:val="0"/>
                <w:color w:val="000000"/>
                <w:kern w:val="0"/>
                <w:sz w:val="24"/>
              </w:rPr>
              <w:t>μg/m</w:t>
            </w:r>
            <w:r>
              <w:rPr>
                <w:snapToGrid w:val="0"/>
                <w:color w:val="000000"/>
                <w:kern w:val="0"/>
                <w:sz w:val="24"/>
                <w:vertAlign w:val="superscript"/>
              </w:rPr>
              <w:t>3</w:t>
            </w:r>
            <w:r>
              <w:rPr>
                <w:snapToGrid w:val="0"/>
                <w:color w:val="000000"/>
                <w:kern w:val="0"/>
                <w:sz w:val="24"/>
              </w:rPr>
              <w:t>和</w:t>
            </w:r>
            <w:r>
              <w:rPr>
                <w:rFonts w:hint="eastAsia"/>
                <w:snapToGrid w:val="0"/>
                <w:color w:val="000000"/>
                <w:kern w:val="0"/>
                <w:sz w:val="24"/>
              </w:rPr>
              <w:t>8.54</w:t>
            </w:r>
            <w:r>
              <w:rPr>
                <w:snapToGrid w:val="0"/>
                <w:color w:val="000000"/>
                <w:kern w:val="0"/>
                <w:sz w:val="24"/>
              </w:rPr>
              <w:t>%；根据《环境影响评价技术导则大气环境》（HJ/2.2-2018）的大气评价工作分级依据，分级依据见下表</w:t>
            </w:r>
            <w:r>
              <w:rPr>
                <w:rFonts w:hint="eastAsia"/>
                <w:snapToGrid w:val="0"/>
                <w:color w:val="000000"/>
                <w:kern w:val="0"/>
                <w:sz w:val="24"/>
              </w:rPr>
              <w:t>：</w:t>
            </w:r>
          </w:p>
          <w:p>
            <w:pPr>
              <w:adjustRightInd w:val="0"/>
              <w:snapToGrid w:val="0"/>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31</w:t>
            </w:r>
            <w:r>
              <w:rPr>
                <w:rFonts w:eastAsia="黑体"/>
                <w:color w:val="000000"/>
                <w:sz w:val="24"/>
              </w:rPr>
              <w:t xml:space="preserve">               大气评价工作分级判据</w:t>
            </w:r>
          </w:p>
          <w:tbl>
            <w:tblPr>
              <w:tblStyle w:val="24"/>
              <w:tblW w:w="9071" w:type="dxa"/>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4025"/>
              <w:gridCol w:w="5046"/>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18" w:type="pct"/>
                  <w:tcBorders>
                    <w:bottom w:val="single" w:color="000000" w:sz="8" w:space="0"/>
                  </w:tcBorders>
                </w:tcPr>
                <w:p>
                  <w:pPr>
                    <w:pStyle w:val="113"/>
                    <w:kinsoku w:val="0"/>
                    <w:overflowPunct w:val="0"/>
                    <w:spacing w:before="56"/>
                    <w:ind w:left="101"/>
                    <w:jc w:val="center"/>
                    <w:rPr>
                      <w:b/>
                      <w:color w:val="000000"/>
                      <w:kern w:val="2"/>
                      <w:sz w:val="21"/>
                      <w:szCs w:val="21"/>
                    </w:rPr>
                  </w:pPr>
                  <w:r>
                    <w:rPr>
                      <w:b/>
                      <w:color w:val="000000"/>
                      <w:kern w:val="2"/>
                      <w:sz w:val="21"/>
                      <w:szCs w:val="21"/>
                    </w:rPr>
                    <w:t>评价工作等级</w:t>
                  </w:r>
                </w:p>
              </w:tc>
              <w:tc>
                <w:tcPr>
                  <w:tcW w:w="2781" w:type="pct"/>
                  <w:tcBorders>
                    <w:bottom w:val="single" w:color="000000" w:sz="8" w:space="0"/>
                  </w:tcBorders>
                </w:tcPr>
                <w:p>
                  <w:pPr>
                    <w:pStyle w:val="113"/>
                    <w:kinsoku w:val="0"/>
                    <w:overflowPunct w:val="0"/>
                    <w:spacing w:before="56"/>
                    <w:ind w:left="1591"/>
                    <w:rPr>
                      <w:b/>
                      <w:color w:val="000000"/>
                      <w:kern w:val="2"/>
                      <w:sz w:val="21"/>
                      <w:szCs w:val="21"/>
                    </w:rPr>
                  </w:pPr>
                  <w:r>
                    <w:rPr>
                      <w:b/>
                      <w:color w:val="000000"/>
                      <w:kern w:val="2"/>
                      <w:sz w:val="21"/>
                      <w:szCs w:val="21"/>
                    </w:rPr>
                    <w:t>评价工作分级依据</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18" w:type="pct"/>
                  <w:tcBorders>
                    <w:top w:val="single" w:color="000000" w:sz="8" w:space="0"/>
                  </w:tcBorders>
                </w:tcPr>
                <w:p>
                  <w:pPr>
                    <w:pStyle w:val="113"/>
                    <w:kinsoku w:val="0"/>
                    <w:overflowPunct w:val="0"/>
                    <w:spacing w:before="28"/>
                    <w:ind w:left="96"/>
                    <w:jc w:val="center"/>
                    <w:rPr>
                      <w:color w:val="000000"/>
                      <w:kern w:val="2"/>
                      <w:sz w:val="21"/>
                      <w:szCs w:val="21"/>
                    </w:rPr>
                  </w:pPr>
                  <w:r>
                    <w:rPr>
                      <w:color w:val="000000"/>
                      <w:kern w:val="2"/>
                      <w:sz w:val="21"/>
                      <w:szCs w:val="21"/>
                    </w:rPr>
                    <w:t>一级</w:t>
                  </w:r>
                </w:p>
              </w:tc>
              <w:tc>
                <w:tcPr>
                  <w:tcW w:w="2781" w:type="pct"/>
                  <w:tcBorders>
                    <w:top w:val="single" w:color="000000" w:sz="8" w:space="0"/>
                  </w:tcBorders>
                </w:tcPr>
                <w:p>
                  <w:pPr>
                    <w:pStyle w:val="113"/>
                    <w:kinsoku w:val="0"/>
                    <w:overflowPunct w:val="0"/>
                    <w:spacing w:before="28"/>
                    <w:ind w:left="1898"/>
                    <w:rPr>
                      <w:color w:val="000000"/>
                      <w:kern w:val="2"/>
                      <w:sz w:val="21"/>
                      <w:szCs w:val="21"/>
                    </w:rPr>
                  </w:pPr>
                  <w:r>
                    <w:rPr>
                      <w:color w:val="000000"/>
                      <w:kern w:val="2"/>
                      <w:sz w:val="21"/>
                      <w:szCs w:val="21"/>
                    </w:rPr>
                    <w:t>Pmax≥10%</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18" w:type="pct"/>
                </w:tcPr>
                <w:p>
                  <w:pPr>
                    <w:pStyle w:val="113"/>
                    <w:kinsoku w:val="0"/>
                    <w:overflowPunct w:val="0"/>
                    <w:spacing w:before="27"/>
                    <w:ind w:left="96"/>
                    <w:jc w:val="center"/>
                    <w:rPr>
                      <w:color w:val="000000"/>
                      <w:kern w:val="2"/>
                      <w:sz w:val="21"/>
                      <w:szCs w:val="21"/>
                    </w:rPr>
                  </w:pPr>
                  <w:r>
                    <w:rPr>
                      <w:color w:val="000000"/>
                      <w:kern w:val="2"/>
                      <w:sz w:val="21"/>
                      <w:szCs w:val="21"/>
                    </w:rPr>
                    <w:t>二级</w:t>
                  </w:r>
                </w:p>
              </w:tc>
              <w:tc>
                <w:tcPr>
                  <w:tcW w:w="2781" w:type="pct"/>
                </w:tcPr>
                <w:p>
                  <w:pPr>
                    <w:pStyle w:val="113"/>
                    <w:kinsoku w:val="0"/>
                    <w:overflowPunct w:val="0"/>
                    <w:spacing w:before="27"/>
                    <w:ind w:left="1651"/>
                    <w:rPr>
                      <w:color w:val="000000"/>
                      <w:kern w:val="2"/>
                      <w:sz w:val="21"/>
                      <w:szCs w:val="21"/>
                    </w:rPr>
                  </w:pPr>
                  <w:r>
                    <w:rPr>
                      <w:color w:val="000000"/>
                      <w:kern w:val="2"/>
                      <w:sz w:val="21"/>
                      <w:szCs w:val="21"/>
                    </w:rPr>
                    <w:t>1%≤Pmax＜10%</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18" w:type="pct"/>
                </w:tcPr>
                <w:p>
                  <w:pPr>
                    <w:pStyle w:val="113"/>
                    <w:kinsoku w:val="0"/>
                    <w:overflowPunct w:val="0"/>
                    <w:spacing w:before="28"/>
                    <w:ind w:left="96"/>
                    <w:jc w:val="center"/>
                    <w:rPr>
                      <w:color w:val="000000"/>
                      <w:kern w:val="2"/>
                      <w:sz w:val="21"/>
                      <w:szCs w:val="21"/>
                    </w:rPr>
                  </w:pPr>
                  <w:r>
                    <w:rPr>
                      <w:color w:val="000000"/>
                      <w:kern w:val="2"/>
                      <w:sz w:val="21"/>
                      <w:szCs w:val="21"/>
                    </w:rPr>
                    <w:t>三级</w:t>
                  </w:r>
                </w:p>
              </w:tc>
              <w:tc>
                <w:tcPr>
                  <w:tcW w:w="2781" w:type="pct"/>
                </w:tcPr>
                <w:p>
                  <w:pPr>
                    <w:pStyle w:val="113"/>
                    <w:kinsoku w:val="0"/>
                    <w:overflowPunct w:val="0"/>
                    <w:spacing w:before="28"/>
                    <w:ind w:left="431"/>
                    <w:jc w:val="center"/>
                    <w:rPr>
                      <w:color w:val="000000"/>
                      <w:kern w:val="2"/>
                      <w:sz w:val="21"/>
                      <w:szCs w:val="21"/>
                    </w:rPr>
                  </w:pPr>
                  <w:r>
                    <w:rPr>
                      <w:color w:val="000000"/>
                      <w:kern w:val="2"/>
                      <w:sz w:val="21"/>
                      <w:szCs w:val="21"/>
                    </w:rPr>
                    <w:t>Pmax＜1%</w:t>
                  </w:r>
                </w:p>
              </w:tc>
            </w:tr>
          </w:tbl>
          <w:p>
            <w:pPr>
              <w:snapToGrid w:val="0"/>
              <w:spacing w:line="440" w:lineRule="exact"/>
              <w:ind w:firstLine="480" w:firstLineChars="200"/>
              <w:jc w:val="left"/>
              <w:rPr>
                <w:color w:val="000000"/>
                <w:sz w:val="24"/>
              </w:rPr>
            </w:pPr>
            <w:r>
              <w:rPr>
                <w:color w:val="000000"/>
                <w:sz w:val="24"/>
              </w:rPr>
              <w:t>结合估算结果可知</w:t>
            </w:r>
            <w:r>
              <w:rPr>
                <w:rFonts w:hint="eastAsia"/>
                <w:color w:val="000000"/>
                <w:sz w:val="24"/>
                <w:szCs w:val="20"/>
              </w:rPr>
              <w:t>，本项目大气评价等级为二级，根据《环境影响评价技术导则大气环境》（HJ2.2-2018）的要求：</w:t>
            </w:r>
            <w:r>
              <w:rPr>
                <w:rFonts w:hint="eastAsia"/>
                <w:color w:val="000000"/>
                <w:sz w:val="24"/>
              </w:rPr>
              <w:t>“二</w:t>
            </w:r>
            <w:r>
              <w:rPr>
                <w:color w:val="000000"/>
                <w:sz w:val="24"/>
              </w:rPr>
              <w:t>级</w:t>
            </w:r>
            <w:r>
              <w:rPr>
                <w:rFonts w:hint="eastAsia"/>
                <w:color w:val="000000"/>
                <w:sz w:val="24"/>
              </w:rPr>
              <w:t>评价不</w:t>
            </w:r>
            <w:r>
              <w:rPr>
                <w:color w:val="000000"/>
                <w:sz w:val="24"/>
              </w:rPr>
              <w:t>进行进一步预测与评价，只对污染物排放量进行核算</w:t>
            </w:r>
            <w:r>
              <w:rPr>
                <w:rFonts w:hint="eastAsia"/>
                <w:color w:val="000000"/>
                <w:sz w:val="24"/>
              </w:rPr>
              <w:t>”</w:t>
            </w:r>
            <w:r>
              <w:rPr>
                <w:color w:val="000000"/>
                <w:sz w:val="24"/>
              </w:rPr>
              <w:t>。评价范围确定为自厂界外延2.5km的矩形区域。</w:t>
            </w:r>
          </w:p>
          <w:p>
            <w:pPr>
              <w:pStyle w:val="4"/>
              <w:kinsoku w:val="0"/>
              <w:overflowPunct w:val="0"/>
              <w:snapToGrid w:val="0"/>
              <w:spacing w:line="440" w:lineRule="exact"/>
              <w:ind w:firstLine="482" w:firstLineChars="200"/>
              <w:rPr>
                <w:b/>
                <w:bCs/>
                <w:color w:val="000000"/>
                <w:sz w:val="24"/>
              </w:rPr>
            </w:pPr>
            <w:r>
              <w:rPr>
                <w:rFonts w:hint="eastAsia"/>
                <w:b/>
                <w:bCs/>
                <w:color w:val="000000"/>
                <w:sz w:val="24"/>
              </w:rPr>
              <w:t>3</w:t>
            </w:r>
            <w:r>
              <w:rPr>
                <w:b/>
                <w:bCs/>
                <w:color w:val="000000"/>
                <w:sz w:val="24"/>
              </w:rPr>
              <w:t>、污染物排放量核算</w:t>
            </w:r>
          </w:p>
          <w:p>
            <w:pPr>
              <w:pStyle w:val="4"/>
              <w:kinsoku w:val="0"/>
              <w:overflowPunct w:val="0"/>
              <w:snapToGrid w:val="0"/>
              <w:spacing w:line="440" w:lineRule="exact"/>
              <w:ind w:firstLine="480" w:firstLineChars="200"/>
              <w:rPr>
                <w:color w:val="000000"/>
                <w:sz w:val="24"/>
              </w:rPr>
            </w:pPr>
            <w:r>
              <w:rPr>
                <w:color w:val="000000"/>
                <w:sz w:val="24"/>
              </w:rPr>
              <w:t>根据工程分析，对</w:t>
            </w:r>
            <w:r>
              <w:rPr>
                <w:rFonts w:hint="eastAsia"/>
                <w:color w:val="000000"/>
                <w:sz w:val="24"/>
              </w:rPr>
              <w:t>本项目</w:t>
            </w:r>
            <w:r>
              <w:rPr>
                <w:color w:val="000000"/>
                <w:sz w:val="24"/>
              </w:rPr>
              <w:t>排放污染物进行核算，具体的核算排放浓度、排放速率及污染物年排放量见下表</w:t>
            </w:r>
            <w:r>
              <w:rPr>
                <w:rFonts w:hint="eastAsia"/>
                <w:color w:val="000000"/>
                <w:sz w:val="24"/>
              </w:rPr>
              <w:t>：</w:t>
            </w:r>
          </w:p>
          <w:p>
            <w:pPr>
              <w:spacing w:line="440" w:lineRule="exact"/>
              <w:ind w:firstLine="480" w:firstLineChars="200"/>
              <w:rPr>
                <w:rFonts w:eastAsia="黑体"/>
                <w:sz w:val="24"/>
              </w:rPr>
            </w:pPr>
            <w:r>
              <w:rPr>
                <w:rFonts w:eastAsia="黑体"/>
                <w:sz w:val="24"/>
              </w:rPr>
              <w:t>表</w:t>
            </w:r>
            <w:r>
              <w:rPr>
                <w:rFonts w:hint="eastAsia" w:eastAsia="黑体"/>
                <w:sz w:val="24"/>
              </w:rPr>
              <w:t xml:space="preserve">32               </w:t>
            </w:r>
            <w:r>
              <w:rPr>
                <w:rFonts w:eastAsia="黑体"/>
                <w:sz w:val="24"/>
              </w:rPr>
              <w:t>大气污染物有组织排放量核算表</w:t>
            </w:r>
          </w:p>
          <w:tbl>
            <w:tblPr>
              <w:tblStyle w:val="24"/>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3343"/>
              <w:gridCol w:w="1203"/>
              <w:gridCol w:w="1508"/>
              <w:gridCol w:w="1510"/>
              <w:gridCol w:w="150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343" w:type="dxa"/>
                  <w:tcBorders>
                    <w:bottom w:val="single" w:color="auto" w:sz="8" w:space="0"/>
                  </w:tcBorders>
                  <w:vAlign w:val="center"/>
                </w:tcPr>
                <w:p>
                  <w:pPr>
                    <w:widowControl/>
                    <w:jc w:val="center"/>
                    <w:rPr>
                      <w:b/>
                      <w:kern w:val="0"/>
                      <w:szCs w:val="21"/>
                    </w:rPr>
                  </w:pPr>
                  <w:r>
                    <w:rPr>
                      <w:b/>
                      <w:kern w:val="0"/>
                      <w:szCs w:val="21"/>
                    </w:rPr>
                    <w:t>排放口编号</w:t>
                  </w:r>
                </w:p>
              </w:tc>
              <w:tc>
                <w:tcPr>
                  <w:tcW w:w="1203" w:type="dxa"/>
                  <w:tcBorders>
                    <w:bottom w:val="single" w:color="auto" w:sz="8" w:space="0"/>
                  </w:tcBorders>
                  <w:vAlign w:val="center"/>
                </w:tcPr>
                <w:p>
                  <w:pPr>
                    <w:widowControl/>
                    <w:jc w:val="center"/>
                    <w:rPr>
                      <w:b/>
                      <w:kern w:val="0"/>
                      <w:szCs w:val="21"/>
                    </w:rPr>
                  </w:pPr>
                  <w:r>
                    <w:rPr>
                      <w:b/>
                      <w:kern w:val="0"/>
                      <w:szCs w:val="21"/>
                    </w:rPr>
                    <w:t>污染物</w:t>
                  </w:r>
                </w:p>
              </w:tc>
              <w:tc>
                <w:tcPr>
                  <w:tcW w:w="1508" w:type="dxa"/>
                  <w:tcBorders>
                    <w:bottom w:val="single" w:color="auto" w:sz="8" w:space="0"/>
                  </w:tcBorders>
                  <w:vAlign w:val="center"/>
                </w:tcPr>
                <w:p>
                  <w:pPr>
                    <w:widowControl/>
                    <w:jc w:val="center"/>
                    <w:rPr>
                      <w:b/>
                      <w:kern w:val="0"/>
                      <w:szCs w:val="21"/>
                    </w:rPr>
                  </w:pPr>
                  <w:r>
                    <w:rPr>
                      <w:b/>
                      <w:kern w:val="0"/>
                      <w:szCs w:val="21"/>
                    </w:rPr>
                    <w:t>核算排放浓度</w:t>
                  </w:r>
                  <w:r>
                    <w:rPr>
                      <w:b/>
                      <w:szCs w:val="21"/>
                    </w:rPr>
                    <w:t>（</w:t>
                  </w:r>
                  <w:r>
                    <w:rPr>
                      <w:rFonts w:hint="eastAsia"/>
                      <w:b/>
                      <w:szCs w:val="21"/>
                    </w:rPr>
                    <w:t>m</w:t>
                  </w:r>
                  <w:r>
                    <w:rPr>
                      <w:b/>
                      <w:szCs w:val="21"/>
                    </w:rPr>
                    <w:t>g/m</w:t>
                  </w:r>
                  <w:r>
                    <w:rPr>
                      <w:b/>
                      <w:szCs w:val="21"/>
                      <w:vertAlign w:val="superscript"/>
                    </w:rPr>
                    <w:t>3</w:t>
                  </w:r>
                  <w:r>
                    <w:rPr>
                      <w:b/>
                      <w:szCs w:val="21"/>
                    </w:rPr>
                    <w:t>）</w:t>
                  </w:r>
                </w:p>
              </w:tc>
              <w:tc>
                <w:tcPr>
                  <w:tcW w:w="1510" w:type="dxa"/>
                  <w:tcBorders>
                    <w:bottom w:val="single" w:color="auto" w:sz="8" w:space="0"/>
                  </w:tcBorders>
                  <w:vAlign w:val="center"/>
                </w:tcPr>
                <w:p>
                  <w:pPr>
                    <w:widowControl/>
                    <w:jc w:val="center"/>
                    <w:rPr>
                      <w:b/>
                      <w:kern w:val="0"/>
                      <w:szCs w:val="21"/>
                    </w:rPr>
                  </w:pPr>
                  <w:r>
                    <w:rPr>
                      <w:b/>
                      <w:kern w:val="0"/>
                      <w:szCs w:val="21"/>
                    </w:rPr>
                    <w:t>核算排放速率（kg/h）</w:t>
                  </w:r>
                </w:p>
              </w:tc>
              <w:tc>
                <w:tcPr>
                  <w:tcW w:w="1507" w:type="dxa"/>
                  <w:tcBorders>
                    <w:bottom w:val="single" w:color="auto" w:sz="8" w:space="0"/>
                  </w:tcBorders>
                  <w:vAlign w:val="center"/>
                </w:tcPr>
                <w:p>
                  <w:pPr>
                    <w:widowControl/>
                    <w:jc w:val="center"/>
                    <w:rPr>
                      <w:b/>
                      <w:kern w:val="0"/>
                      <w:szCs w:val="21"/>
                    </w:rPr>
                  </w:pPr>
                  <w:r>
                    <w:rPr>
                      <w:b/>
                      <w:kern w:val="0"/>
                      <w:szCs w:val="21"/>
                    </w:rPr>
                    <w:t>核算年排放量（t/a）</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343" w:type="dxa"/>
                  <w:tcBorders>
                    <w:top w:val="single" w:color="auto" w:sz="8" w:space="0"/>
                    <w:tl2br w:val="nil"/>
                    <w:tr2bl w:val="nil"/>
                  </w:tcBorders>
                  <w:vAlign w:val="center"/>
                </w:tcPr>
                <w:p>
                  <w:pPr>
                    <w:widowControl/>
                    <w:jc w:val="center"/>
                    <w:rPr>
                      <w:bCs/>
                      <w:kern w:val="0"/>
                      <w:szCs w:val="21"/>
                    </w:rPr>
                  </w:pPr>
                  <w:r>
                    <w:rPr>
                      <w:rFonts w:hint="eastAsia"/>
                      <w:bCs/>
                      <w:kern w:val="0"/>
                      <w:szCs w:val="21"/>
                    </w:rPr>
                    <w:t>P</w:t>
                  </w:r>
                  <w:r>
                    <w:rPr>
                      <w:bCs/>
                      <w:kern w:val="0"/>
                      <w:szCs w:val="21"/>
                    </w:rPr>
                    <w:t>排气筒</w:t>
                  </w:r>
                  <w:r>
                    <w:rPr>
                      <w:rFonts w:hint="eastAsia"/>
                      <w:bCs/>
                      <w:kern w:val="0"/>
                      <w:szCs w:val="21"/>
                    </w:rPr>
                    <w:t>抛光工序</w:t>
                  </w:r>
                </w:p>
              </w:tc>
              <w:tc>
                <w:tcPr>
                  <w:tcW w:w="1203" w:type="dxa"/>
                  <w:tcBorders>
                    <w:top w:val="single" w:color="auto" w:sz="8" w:space="0"/>
                    <w:tl2br w:val="nil"/>
                    <w:tr2bl w:val="nil"/>
                  </w:tcBorders>
                  <w:vAlign w:val="center"/>
                </w:tcPr>
                <w:p>
                  <w:pPr>
                    <w:adjustRightInd w:val="0"/>
                    <w:snapToGrid w:val="0"/>
                    <w:jc w:val="center"/>
                    <w:rPr>
                      <w:bCs/>
                      <w:kern w:val="0"/>
                      <w:szCs w:val="21"/>
                    </w:rPr>
                  </w:pPr>
                  <w:r>
                    <w:rPr>
                      <w:bCs/>
                      <w:szCs w:val="21"/>
                    </w:rPr>
                    <w:t>颗粒物</w:t>
                  </w:r>
                </w:p>
              </w:tc>
              <w:tc>
                <w:tcPr>
                  <w:tcW w:w="1508" w:type="dxa"/>
                  <w:tcBorders>
                    <w:top w:val="single" w:color="auto" w:sz="8" w:space="0"/>
                    <w:tl2br w:val="nil"/>
                    <w:tr2bl w:val="nil"/>
                  </w:tcBorders>
                  <w:vAlign w:val="center"/>
                </w:tcPr>
                <w:p>
                  <w:pPr>
                    <w:adjustRightInd w:val="0"/>
                    <w:snapToGrid w:val="0"/>
                    <w:jc w:val="center"/>
                    <w:rPr>
                      <w:rFonts w:hint="default" w:eastAsia="宋体"/>
                      <w:bCs/>
                      <w:kern w:val="0"/>
                      <w:szCs w:val="21"/>
                      <w:lang w:val="en-US" w:eastAsia="zh-CN"/>
                    </w:rPr>
                  </w:pPr>
                  <w:r>
                    <w:rPr>
                      <w:rFonts w:hint="eastAsia"/>
                      <w:bCs/>
                      <w:szCs w:val="21"/>
                      <w:lang w:val="en-US" w:eastAsia="zh-CN"/>
                    </w:rPr>
                    <w:t>9.1</w:t>
                  </w:r>
                </w:p>
              </w:tc>
              <w:tc>
                <w:tcPr>
                  <w:tcW w:w="1510" w:type="dxa"/>
                  <w:tcBorders>
                    <w:top w:val="single" w:color="auto" w:sz="8" w:space="0"/>
                    <w:tl2br w:val="nil"/>
                    <w:tr2bl w:val="nil"/>
                  </w:tcBorders>
                  <w:vAlign w:val="center"/>
                </w:tcPr>
                <w:p>
                  <w:pPr>
                    <w:adjustRightInd w:val="0"/>
                    <w:snapToGrid w:val="0"/>
                    <w:jc w:val="center"/>
                    <w:rPr>
                      <w:bCs/>
                      <w:kern w:val="0"/>
                      <w:szCs w:val="21"/>
                    </w:rPr>
                  </w:pPr>
                  <w:r>
                    <w:rPr>
                      <w:rFonts w:hint="eastAsia"/>
                      <w:bCs/>
                      <w:szCs w:val="21"/>
                    </w:rPr>
                    <w:t>0.0228</w:t>
                  </w:r>
                </w:p>
              </w:tc>
              <w:tc>
                <w:tcPr>
                  <w:tcW w:w="1507" w:type="dxa"/>
                  <w:tcBorders>
                    <w:top w:val="single" w:color="auto" w:sz="8" w:space="0"/>
                    <w:tl2br w:val="nil"/>
                    <w:tr2bl w:val="nil"/>
                  </w:tcBorders>
                  <w:vAlign w:val="center"/>
                </w:tcPr>
                <w:p>
                  <w:pPr>
                    <w:adjustRightInd w:val="0"/>
                    <w:snapToGrid w:val="0"/>
                    <w:jc w:val="center"/>
                    <w:rPr>
                      <w:bCs/>
                      <w:kern w:val="0"/>
                      <w:szCs w:val="21"/>
                    </w:rPr>
                  </w:pPr>
                  <w:r>
                    <w:rPr>
                      <w:rFonts w:hint="eastAsia"/>
                      <w:bCs/>
                      <w:szCs w:val="21"/>
                    </w:rPr>
                    <w:t>0.0171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343" w:type="dxa"/>
                  <w:tcBorders>
                    <w:tl2br w:val="nil"/>
                    <w:tr2bl w:val="nil"/>
                  </w:tcBorders>
                  <w:vAlign w:val="center"/>
                </w:tcPr>
                <w:p>
                  <w:pPr>
                    <w:widowControl/>
                    <w:jc w:val="center"/>
                    <w:rPr>
                      <w:bCs/>
                      <w:kern w:val="0"/>
                      <w:szCs w:val="21"/>
                    </w:rPr>
                  </w:pPr>
                  <w:r>
                    <w:rPr>
                      <w:bCs/>
                      <w:kern w:val="0"/>
                      <w:szCs w:val="21"/>
                    </w:rPr>
                    <w:t>有组织排放总计</w:t>
                  </w:r>
                </w:p>
              </w:tc>
              <w:tc>
                <w:tcPr>
                  <w:tcW w:w="4221" w:type="dxa"/>
                  <w:gridSpan w:val="3"/>
                  <w:tcBorders>
                    <w:tl2br w:val="nil"/>
                    <w:tr2bl w:val="nil"/>
                  </w:tcBorders>
                  <w:vAlign w:val="center"/>
                </w:tcPr>
                <w:p>
                  <w:pPr>
                    <w:adjustRightInd w:val="0"/>
                    <w:snapToGrid w:val="0"/>
                    <w:jc w:val="center"/>
                    <w:rPr>
                      <w:bCs/>
                      <w:szCs w:val="21"/>
                    </w:rPr>
                  </w:pPr>
                  <w:r>
                    <w:rPr>
                      <w:bCs/>
                      <w:szCs w:val="21"/>
                    </w:rPr>
                    <w:t>颗粒物</w:t>
                  </w:r>
                </w:p>
              </w:tc>
              <w:tc>
                <w:tcPr>
                  <w:tcW w:w="1507" w:type="dxa"/>
                  <w:tcBorders>
                    <w:tl2br w:val="nil"/>
                    <w:tr2bl w:val="nil"/>
                  </w:tcBorders>
                  <w:vAlign w:val="center"/>
                </w:tcPr>
                <w:p>
                  <w:pPr>
                    <w:adjustRightInd w:val="0"/>
                    <w:snapToGrid w:val="0"/>
                    <w:jc w:val="center"/>
                    <w:rPr>
                      <w:bCs/>
                      <w:kern w:val="0"/>
                      <w:szCs w:val="21"/>
                    </w:rPr>
                  </w:pPr>
                  <w:r>
                    <w:rPr>
                      <w:rFonts w:hint="eastAsia"/>
                      <w:bCs/>
                      <w:kern w:val="0"/>
                      <w:szCs w:val="21"/>
                    </w:rPr>
                    <w:t>0.0171</w:t>
                  </w:r>
                </w:p>
              </w:tc>
            </w:tr>
          </w:tbl>
          <w:p>
            <w:pPr>
              <w:spacing w:line="520" w:lineRule="exact"/>
              <w:ind w:firstLine="480" w:firstLineChars="200"/>
              <w:rPr>
                <w:rFonts w:eastAsia="黑体"/>
                <w:sz w:val="24"/>
              </w:rPr>
            </w:pPr>
            <w:r>
              <w:rPr>
                <w:rFonts w:eastAsia="黑体"/>
                <w:sz w:val="24"/>
              </w:rPr>
              <w:t>表</w:t>
            </w:r>
            <w:r>
              <w:rPr>
                <w:rFonts w:hint="eastAsia" w:eastAsia="黑体"/>
                <w:sz w:val="24"/>
              </w:rPr>
              <w:t xml:space="preserve">33              </w:t>
            </w:r>
            <w:r>
              <w:rPr>
                <w:rFonts w:eastAsia="黑体"/>
                <w:sz w:val="24"/>
              </w:rPr>
              <w:t>大气污染物无组织排放量核算表</w:t>
            </w:r>
          </w:p>
          <w:tbl>
            <w:tblPr>
              <w:tblStyle w:val="24"/>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10"/>
              <w:gridCol w:w="845"/>
              <w:gridCol w:w="988"/>
              <w:gridCol w:w="1095"/>
              <w:gridCol w:w="1515"/>
              <w:gridCol w:w="1783"/>
              <w:gridCol w:w="1059"/>
              <w:gridCol w:w="1276"/>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10" w:type="dxa"/>
                  <w:vMerge w:val="restart"/>
                  <w:tcBorders>
                    <w:tl2br w:val="nil"/>
                    <w:tr2bl w:val="nil"/>
                  </w:tcBorders>
                  <w:vAlign w:val="center"/>
                </w:tcPr>
                <w:p>
                  <w:pPr>
                    <w:widowControl/>
                    <w:jc w:val="center"/>
                    <w:rPr>
                      <w:b/>
                      <w:kern w:val="0"/>
                      <w:szCs w:val="21"/>
                    </w:rPr>
                  </w:pPr>
                  <w:r>
                    <w:rPr>
                      <w:b/>
                      <w:kern w:val="0"/>
                      <w:szCs w:val="21"/>
                    </w:rPr>
                    <w:t>序号</w:t>
                  </w:r>
                </w:p>
              </w:tc>
              <w:tc>
                <w:tcPr>
                  <w:tcW w:w="845" w:type="dxa"/>
                  <w:vMerge w:val="restart"/>
                  <w:tcBorders>
                    <w:tl2br w:val="nil"/>
                    <w:tr2bl w:val="nil"/>
                  </w:tcBorders>
                  <w:vAlign w:val="center"/>
                </w:tcPr>
                <w:p>
                  <w:pPr>
                    <w:widowControl/>
                    <w:jc w:val="center"/>
                    <w:rPr>
                      <w:b/>
                      <w:kern w:val="0"/>
                      <w:szCs w:val="21"/>
                    </w:rPr>
                  </w:pPr>
                  <w:r>
                    <w:rPr>
                      <w:b/>
                      <w:kern w:val="0"/>
                      <w:szCs w:val="21"/>
                    </w:rPr>
                    <w:t>排放口</w:t>
                  </w:r>
                </w:p>
                <w:p>
                  <w:pPr>
                    <w:widowControl/>
                    <w:jc w:val="center"/>
                    <w:rPr>
                      <w:b/>
                      <w:kern w:val="0"/>
                      <w:szCs w:val="21"/>
                    </w:rPr>
                  </w:pPr>
                  <w:r>
                    <w:rPr>
                      <w:b/>
                      <w:kern w:val="0"/>
                      <w:szCs w:val="21"/>
                    </w:rPr>
                    <w:t>编号</w:t>
                  </w:r>
                </w:p>
              </w:tc>
              <w:tc>
                <w:tcPr>
                  <w:tcW w:w="988" w:type="dxa"/>
                  <w:vMerge w:val="restart"/>
                  <w:tcBorders>
                    <w:tl2br w:val="nil"/>
                    <w:tr2bl w:val="nil"/>
                  </w:tcBorders>
                  <w:vAlign w:val="center"/>
                </w:tcPr>
                <w:p>
                  <w:pPr>
                    <w:widowControl/>
                    <w:jc w:val="center"/>
                    <w:rPr>
                      <w:b/>
                      <w:kern w:val="0"/>
                      <w:szCs w:val="21"/>
                    </w:rPr>
                  </w:pPr>
                  <w:r>
                    <w:rPr>
                      <w:b/>
                      <w:kern w:val="0"/>
                      <w:szCs w:val="21"/>
                    </w:rPr>
                    <w:t>产污环节</w:t>
                  </w:r>
                </w:p>
              </w:tc>
              <w:tc>
                <w:tcPr>
                  <w:tcW w:w="1095" w:type="dxa"/>
                  <w:vMerge w:val="restart"/>
                  <w:tcBorders>
                    <w:tl2br w:val="nil"/>
                    <w:tr2bl w:val="nil"/>
                  </w:tcBorders>
                  <w:vAlign w:val="center"/>
                </w:tcPr>
                <w:p>
                  <w:pPr>
                    <w:widowControl/>
                    <w:jc w:val="center"/>
                    <w:rPr>
                      <w:b/>
                      <w:kern w:val="0"/>
                      <w:szCs w:val="21"/>
                    </w:rPr>
                  </w:pPr>
                  <w:r>
                    <w:rPr>
                      <w:b/>
                      <w:kern w:val="0"/>
                      <w:szCs w:val="21"/>
                    </w:rPr>
                    <w:t>污染物</w:t>
                  </w:r>
                </w:p>
              </w:tc>
              <w:tc>
                <w:tcPr>
                  <w:tcW w:w="1515" w:type="dxa"/>
                  <w:vMerge w:val="restart"/>
                  <w:tcBorders>
                    <w:tl2br w:val="nil"/>
                    <w:tr2bl w:val="nil"/>
                  </w:tcBorders>
                  <w:vAlign w:val="center"/>
                </w:tcPr>
                <w:p>
                  <w:pPr>
                    <w:widowControl/>
                    <w:jc w:val="center"/>
                    <w:rPr>
                      <w:b/>
                      <w:kern w:val="0"/>
                      <w:szCs w:val="21"/>
                    </w:rPr>
                  </w:pPr>
                  <w:r>
                    <w:rPr>
                      <w:b/>
                      <w:kern w:val="0"/>
                      <w:szCs w:val="21"/>
                    </w:rPr>
                    <w:t>主要防治措施</w:t>
                  </w:r>
                </w:p>
              </w:tc>
              <w:tc>
                <w:tcPr>
                  <w:tcW w:w="2842" w:type="dxa"/>
                  <w:gridSpan w:val="2"/>
                  <w:tcBorders>
                    <w:tl2br w:val="nil"/>
                    <w:tr2bl w:val="nil"/>
                  </w:tcBorders>
                  <w:vAlign w:val="center"/>
                </w:tcPr>
                <w:p>
                  <w:pPr>
                    <w:widowControl/>
                    <w:jc w:val="center"/>
                    <w:rPr>
                      <w:b/>
                      <w:kern w:val="0"/>
                      <w:szCs w:val="21"/>
                    </w:rPr>
                  </w:pPr>
                  <w:r>
                    <w:rPr>
                      <w:b/>
                      <w:kern w:val="0"/>
                      <w:szCs w:val="21"/>
                    </w:rPr>
                    <w:t>国家或地方污染物排放标准</w:t>
                  </w:r>
                </w:p>
              </w:tc>
              <w:tc>
                <w:tcPr>
                  <w:tcW w:w="1276" w:type="dxa"/>
                  <w:vMerge w:val="restart"/>
                  <w:tcBorders>
                    <w:tl2br w:val="nil"/>
                    <w:tr2bl w:val="nil"/>
                  </w:tcBorders>
                  <w:vAlign w:val="center"/>
                </w:tcPr>
                <w:p>
                  <w:pPr>
                    <w:widowControl/>
                    <w:jc w:val="center"/>
                    <w:rPr>
                      <w:b/>
                      <w:kern w:val="0"/>
                      <w:szCs w:val="21"/>
                    </w:rPr>
                  </w:pPr>
                  <w:r>
                    <w:rPr>
                      <w:b/>
                      <w:kern w:val="0"/>
                      <w:szCs w:val="21"/>
                    </w:rPr>
                    <w:t>年排放量（t/a）</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10" w:type="dxa"/>
                  <w:vMerge w:val="continue"/>
                  <w:tcBorders>
                    <w:bottom w:val="single" w:color="auto" w:sz="8" w:space="0"/>
                    <w:tl2br w:val="nil"/>
                    <w:tr2bl w:val="nil"/>
                  </w:tcBorders>
                  <w:vAlign w:val="center"/>
                </w:tcPr>
                <w:p>
                  <w:pPr>
                    <w:widowControl/>
                    <w:jc w:val="center"/>
                    <w:rPr>
                      <w:bCs/>
                    </w:rPr>
                  </w:pPr>
                </w:p>
              </w:tc>
              <w:tc>
                <w:tcPr>
                  <w:tcW w:w="845" w:type="dxa"/>
                  <w:vMerge w:val="continue"/>
                  <w:tcBorders>
                    <w:bottom w:val="single" w:color="auto" w:sz="8" w:space="0"/>
                    <w:tl2br w:val="nil"/>
                    <w:tr2bl w:val="nil"/>
                  </w:tcBorders>
                  <w:vAlign w:val="center"/>
                </w:tcPr>
                <w:p>
                  <w:pPr>
                    <w:widowControl/>
                    <w:jc w:val="center"/>
                    <w:rPr>
                      <w:bCs/>
                    </w:rPr>
                  </w:pPr>
                </w:p>
              </w:tc>
              <w:tc>
                <w:tcPr>
                  <w:tcW w:w="988" w:type="dxa"/>
                  <w:vMerge w:val="continue"/>
                  <w:tcBorders>
                    <w:bottom w:val="single" w:color="auto" w:sz="8" w:space="0"/>
                    <w:tl2br w:val="nil"/>
                    <w:tr2bl w:val="nil"/>
                  </w:tcBorders>
                  <w:vAlign w:val="center"/>
                </w:tcPr>
                <w:p>
                  <w:pPr>
                    <w:widowControl/>
                    <w:jc w:val="center"/>
                    <w:rPr>
                      <w:bCs/>
                    </w:rPr>
                  </w:pPr>
                </w:p>
              </w:tc>
              <w:tc>
                <w:tcPr>
                  <w:tcW w:w="1095" w:type="dxa"/>
                  <w:vMerge w:val="continue"/>
                  <w:tcBorders>
                    <w:bottom w:val="single" w:color="auto" w:sz="8" w:space="0"/>
                    <w:tl2br w:val="nil"/>
                    <w:tr2bl w:val="nil"/>
                  </w:tcBorders>
                  <w:vAlign w:val="center"/>
                </w:tcPr>
                <w:p>
                  <w:pPr>
                    <w:widowControl/>
                    <w:jc w:val="center"/>
                    <w:rPr>
                      <w:bCs/>
                    </w:rPr>
                  </w:pPr>
                </w:p>
              </w:tc>
              <w:tc>
                <w:tcPr>
                  <w:tcW w:w="1515" w:type="dxa"/>
                  <w:vMerge w:val="continue"/>
                  <w:tcBorders>
                    <w:bottom w:val="single" w:color="auto" w:sz="8" w:space="0"/>
                    <w:tl2br w:val="nil"/>
                    <w:tr2bl w:val="nil"/>
                  </w:tcBorders>
                  <w:vAlign w:val="center"/>
                </w:tcPr>
                <w:p>
                  <w:pPr>
                    <w:widowControl/>
                    <w:jc w:val="center"/>
                    <w:rPr>
                      <w:bCs/>
                    </w:rPr>
                  </w:pPr>
                </w:p>
              </w:tc>
              <w:tc>
                <w:tcPr>
                  <w:tcW w:w="1783" w:type="dxa"/>
                  <w:tcBorders>
                    <w:bottom w:val="single" w:color="auto" w:sz="8" w:space="0"/>
                    <w:tl2br w:val="nil"/>
                    <w:tr2bl w:val="nil"/>
                  </w:tcBorders>
                  <w:vAlign w:val="center"/>
                </w:tcPr>
                <w:p>
                  <w:pPr>
                    <w:widowControl/>
                    <w:adjustRightInd w:val="0"/>
                    <w:snapToGrid w:val="0"/>
                    <w:jc w:val="center"/>
                    <w:rPr>
                      <w:b/>
                      <w:kern w:val="0"/>
                      <w:szCs w:val="21"/>
                    </w:rPr>
                  </w:pPr>
                  <w:r>
                    <w:rPr>
                      <w:b/>
                      <w:kern w:val="0"/>
                      <w:szCs w:val="21"/>
                    </w:rPr>
                    <w:t>标准名称</w:t>
                  </w:r>
                </w:p>
              </w:tc>
              <w:tc>
                <w:tcPr>
                  <w:tcW w:w="1059" w:type="dxa"/>
                  <w:tcBorders>
                    <w:bottom w:val="single" w:color="auto" w:sz="8" w:space="0"/>
                    <w:tl2br w:val="nil"/>
                    <w:tr2bl w:val="nil"/>
                  </w:tcBorders>
                  <w:vAlign w:val="center"/>
                </w:tcPr>
                <w:p>
                  <w:pPr>
                    <w:widowControl/>
                    <w:adjustRightInd w:val="0"/>
                    <w:snapToGrid w:val="0"/>
                    <w:jc w:val="center"/>
                    <w:rPr>
                      <w:b/>
                      <w:kern w:val="0"/>
                      <w:szCs w:val="21"/>
                    </w:rPr>
                  </w:pPr>
                  <w:r>
                    <w:rPr>
                      <w:b/>
                      <w:kern w:val="0"/>
                      <w:szCs w:val="21"/>
                    </w:rPr>
                    <w:t>浓度</w:t>
                  </w:r>
                  <w:r>
                    <w:rPr>
                      <w:b/>
                      <w:szCs w:val="21"/>
                    </w:rPr>
                    <w:t>（mg/m</w:t>
                  </w:r>
                  <w:r>
                    <w:rPr>
                      <w:b/>
                      <w:szCs w:val="21"/>
                      <w:vertAlign w:val="superscript"/>
                    </w:rPr>
                    <w:t>3</w:t>
                  </w:r>
                  <w:r>
                    <w:rPr>
                      <w:b/>
                      <w:szCs w:val="21"/>
                    </w:rPr>
                    <w:t>）</w:t>
                  </w:r>
                </w:p>
              </w:tc>
              <w:tc>
                <w:tcPr>
                  <w:tcW w:w="1276" w:type="dxa"/>
                  <w:vMerge w:val="continue"/>
                  <w:tcBorders>
                    <w:bottom w:val="single" w:color="auto" w:sz="8" w:space="0"/>
                    <w:tl2br w:val="nil"/>
                    <w:tr2bl w:val="nil"/>
                  </w:tcBorders>
                  <w:vAlign w:val="center"/>
                </w:tcPr>
                <w:p>
                  <w:pPr>
                    <w:widowControl/>
                    <w:jc w:val="center"/>
                    <w:rPr>
                      <w:bCs/>
                      <w:kern w:val="0"/>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10" w:type="dxa"/>
                  <w:tcBorders>
                    <w:top w:val="single" w:color="auto" w:sz="8" w:space="0"/>
                  </w:tcBorders>
                  <w:vAlign w:val="center"/>
                </w:tcPr>
                <w:p>
                  <w:pPr>
                    <w:widowControl/>
                    <w:jc w:val="center"/>
                    <w:rPr>
                      <w:bCs/>
                    </w:rPr>
                  </w:pPr>
                  <w:r>
                    <w:rPr>
                      <w:rFonts w:hint="eastAsia"/>
                      <w:bCs/>
                      <w:kern w:val="0"/>
                      <w:szCs w:val="21"/>
                    </w:rPr>
                    <w:t>1</w:t>
                  </w:r>
                </w:p>
              </w:tc>
              <w:tc>
                <w:tcPr>
                  <w:tcW w:w="845" w:type="dxa"/>
                  <w:tcBorders>
                    <w:top w:val="single" w:color="auto" w:sz="8" w:space="0"/>
                  </w:tcBorders>
                  <w:vAlign w:val="center"/>
                </w:tcPr>
                <w:p>
                  <w:pPr>
                    <w:widowControl/>
                    <w:jc w:val="center"/>
                    <w:rPr>
                      <w:bCs/>
                      <w:kern w:val="0"/>
                      <w:szCs w:val="21"/>
                    </w:rPr>
                  </w:pPr>
                  <w:r>
                    <w:rPr>
                      <w:rFonts w:hint="eastAsia"/>
                      <w:bCs/>
                      <w:kern w:val="0"/>
                      <w:szCs w:val="21"/>
                    </w:rPr>
                    <w:t>抛光</w:t>
                  </w:r>
                </w:p>
                <w:p>
                  <w:pPr>
                    <w:widowControl/>
                    <w:jc w:val="center"/>
                    <w:rPr>
                      <w:bCs/>
                    </w:rPr>
                  </w:pPr>
                  <w:r>
                    <w:rPr>
                      <w:rFonts w:hint="eastAsia"/>
                      <w:bCs/>
                    </w:rPr>
                    <w:t>工序</w:t>
                  </w:r>
                </w:p>
              </w:tc>
              <w:tc>
                <w:tcPr>
                  <w:tcW w:w="988" w:type="dxa"/>
                  <w:tcBorders>
                    <w:top w:val="single" w:color="auto" w:sz="8" w:space="0"/>
                  </w:tcBorders>
                  <w:vAlign w:val="center"/>
                </w:tcPr>
                <w:p>
                  <w:pPr>
                    <w:widowControl/>
                    <w:jc w:val="center"/>
                    <w:rPr>
                      <w:bCs/>
                    </w:rPr>
                  </w:pPr>
                  <w:r>
                    <w:rPr>
                      <w:rFonts w:hint="eastAsia"/>
                      <w:bCs/>
                      <w:kern w:val="0"/>
                      <w:szCs w:val="21"/>
                    </w:rPr>
                    <w:t>抛光</w:t>
                  </w:r>
                  <w:r>
                    <w:rPr>
                      <w:rFonts w:hint="eastAsia"/>
                      <w:bCs/>
                    </w:rPr>
                    <w:t>过程</w:t>
                  </w:r>
                </w:p>
              </w:tc>
              <w:tc>
                <w:tcPr>
                  <w:tcW w:w="1095" w:type="dxa"/>
                  <w:tcBorders>
                    <w:top w:val="single" w:color="auto" w:sz="8" w:space="0"/>
                  </w:tcBorders>
                  <w:vAlign w:val="center"/>
                </w:tcPr>
                <w:p>
                  <w:pPr>
                    <w:widowControl/>
                    <w:jc w:val="center"/>
                    <w:rPr>
                      <w:bCs/>
                    </w:rPr>
                  </w:pPr>
                  <w:r>
                    <w:rPr>
                      <w:bCs/>
                      <w:szCs w:val="21"/>
                    </w:rPr>
                    <w:t>颗粒物</w:t>
                  </w:r>
                </w:p>
              </w:tc>
              <w:tc>
                <w:tcPr>
                  <w:tcW w:w="1515" w:type="dxa"/>
                  <w:tcBorders>
                    <w:top w:val="single" w:color="auto" w:sz="8" w:space="0"/>
                  </w:tcBorders>
                  <w:vAlign w:val="center"/>
                </w:tcPr>
                <w:p>
                  <w:pPr>
                    <w:adjustRightInd w:val="0"/>
                    <w:snapToGrid w:val="0"/>
                    <w:jc w:val="center"/>
                    <w:rPr>
                      <w:bCs/>
                    </w:rPr>
                  </w:pPr>
                  <w:r>
                    <w:rPr>
                      <w:rFonts w:hint="eastAsia"/>
                      <w:szCs w:val="21"/>
                    </w:rPr>
                    <w:t>抛光车间进行密闭</w:t>
                  </w:r>
                </w:p>
              </w:tc>
              <w:tc>
                <w:tcPr>
                  <w:tcW w:w="1783" w:type="dxa"/>
                  <w:tcBorders>
                    <w:top w:val="single" w:color="auto" w:sz="8" w:space="0"/>
                  </w:tcBorders>
                  <w:vAlign w:val="center"/>
                </w:tcPr>
                <w:p>
                  <w:pPr>
                    <w:adjustRightInd w:val="0"/>
                    <w:snapToGrid w:val="0"/>
                    <w:jc w:val="left"/>
                    <w:rPr>
                      <w:bCs/>
                      <w:kern w:val="0"/>
                      <w:szCs w:val="21"/>
                    </w:rPr>
                  </w:pPr>
                  <w:r>
                    <w:rPr>
                      <w:rFonts w:hint="eastAsia"/>
                      <w:bCs/>
                      <w:snapToGrid w:val="0"/>
                      <w:kern w:val="0"/>
                      <w:sz w:val="21"/>
                      <w:szCs w:val="21"/>
                      <w:lang w:val="en-US" w:eastAsia="zh-CN"/>
                    </w:rPr>
                    <w:t>2020年7月31日《新乡市生态环境局关于进一步规范工业颗粒物排放限值的通知》</w:t>
                  </w:r>
                </w:p>
              </w:tc>
              <w:tc>
                <w:tcPr>
                  <w:tcW w:w="1059" w:type="dxa"/>
                  <w:tcBorders>
                    <w:top w:val="single" w:color="auto" w:sz="8" w:space="0"/>
                  </w:tcBorders>
                  <w:vAlign w:val="center"/>
                </w:tcPr>
                <w:p>
                  <w:pPr>
                    <w:adjustRightInd w:val="0"/>
                    <w:snapToGrid w:val="0"/>
                    <w:jc w:val="center"/>
                    <w:rPr>
                      <w:rFonts w:hint="default" w:eastAsia="宋体"/>
                      <w:bCs/>
                      <w:kern w:val="0"/>
                      <w:szCs w:val="21"/>
                      <w:lang w:val="en-US" w:eastAsia="zh-CN"/>
                    </w:rPr>
                  </w:pPr>
                  <w:r>
                    <w:rPr>
                      <w:rFonts w:hint="eastAsia"/>
                      <w:bCs/>
                      <w:szCs w:val="21"/>
                      <w:lang w:val="en-US" w:eastAsia="zh-CN"/>
                    </w:rPr>
                    <w:t>0.5</w:t>
                  </w:r>
                </w:p>
              </w:tc>
              <w:tc>
                <w:tcPr>
                  <w:tcW w:w="1276" w:type="dxa"/>
                  <w:tcBorders>
                    <w:top w:val="single" w:color="auto" w:sz="8" w:space="0"/>
                  </w:tcBorders>
                  <w:vAlign w:val="center"/>
                </w:tcPr>
                <w:p>
                  <w:pPr>
                    <w:adjustRightInd w:val="0"/>
                    <w:snapToGrid w:val="0"/>
                    <w:jc w:val="center"/>
                    <w:rPr>
                      <w:bCs/>
                      <w:kern w:val="0"/>
                      <w:szCs w:val="21"/>
                    </w:rPr>
                  </w:pPr>
                  <w:r>
                    <w:rPr>
                      <w:rFonts w:hint="eastAsia"/>
                      <w:bCs/>
                      <w:szCs w:val="21"/>
                    </w:rPr>
                    <w:t>0.0854</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3438" w:type="dxa"/>
                  <w:gridSpan w:val="4"/>
                  <w:tcBorders>
                    <w:tl2br w:val="nil"/>
                    <w:tr2bl w:val="nil"/>
                  </w:tcBorders>
                  <w:vAlign w:val="center"/>
                </w:tcPr>
                <w:p>
                  <w:pPr>
                    <w:widowControl/>
                    <w:jc w:val="center"/>
                    <w:rPr>
                      <w:bCs/>
                      <w:kern w:val="0"/>
                      <w:szCs w:val="21"/>
                    </w:rPr>
                  </w:pPr>
                  <w:r>
                    <w:rPr>
                      <w:bCs/>
                      <w:kern w:val="0"/>
                      <w:szCs w:val="21"/>
                    </w:rPr>
                    <w:t>无组织排放合计</w:t>
                  </w:r>
                </w:p>
              </w:tc>
              <w:tc>
                <w:tcPr>
                  <w:tcW w:w="3298" w:type="dxa"/>
                  <w:gridSpan w:val="2"/>
                  <w:tcBorders>
                    <w:tl2br w:val="nil"/>
                    <w:tr2bl w:val="nil"/>
                  </w:tcBorders>
                  <w:vAlign w:val="center"/>
                </w:tcPr>
                <w:p>
                  <w:pPr>
                    <w:adjustRightInd w:val="0"/>
                    <w:snapToGrid w:val="0"/>
                    <w:jc w:val="center"/>
                    <w:rPr>
                      <w:bCs/>
                      <w:szCs w:val="21"/>
                    </w:rPr>
                  </w:pPr>
                  <w:r>
                    <w:rPr>
                      <w:bCs/>
                      <w:szCs w:val="21"/>
                    </w:rPr>
                    <w:t>颗粒物</w:t>
                  </w:r>
                </w:p>
              </w:tc>
              <w:tc>
                <w:tcPr>
                  <w:tcW w:w="2335" w:type="dxa"/>
                  <w:gridSpan w:val="2"/>
                  <w:tcBorders>
                    <w:tl2br w:val="nil"/>
                    <w:tr2bl w:val="nil"/>
                  </w:tcBorders>
                  <w:vAlign w:val="center"/>
                </w:tcPr>
                <w:p>
                  <w:pPr>
                    <w:adjustRightInd w:val="0"/>
                    <w:snapToGrid w:val="0"/>
                    <w:jc w:val="center"/>
                    <w:rPr>
                      <w:bCs/>
                      <w:kern w:val="0"/>
                      <w:szCs w:val="21"/>
                    </w:rPr>
                  </w:pPr>
                  <w:r>
                    <w:rPr>
                      <w:rFonts w:hint="eastAsia"/>
                      <w:bCs/>
                      <w:szCs w:val="21"/>
                    </w:rPr>
                    <w:t>0.0854</w:t>
                  </w:r>
                </w:p>
              </w:tc>
            </w:tr>
          </w:tbl>
          <w:p>
            <w:pPr>
              <w:spacing w:line="520" w:lineRule="exact"/>
              <w:ind w:firstLine="480" w:firstLineChars="200"/>
              <w:rPr>
                <w:rFonts w:eastAsia="黑体"/>
                <w:sz w:val="24"/>
              </w:rPr>
            </w:pPr>
            <w:r>
              <w:rPr>
                <w:rFonts w:eastAsia="黑体"/>
                <w:sz w:val="24"/>
              </w:rPr>
              <w:t>表</w:t>
            </w:r>
            <w:r>
              <w:rPr>
                <w:rFonts w:hint="eastAsia" w:eastAsia="黑体"/>
                <w:sz w:val="24"/>
              </w:rPr>
              <w:t xml:space="preserve">34               </w:t>
            </w:r>
            <w:r>
              <w:rPr>
                <w:rFonts w:eastAsia="黑体"/>
                <w:sz w:val="24"/>
              </w:rPr>
              <w:t>大气污染物年排放量核算表</w:t>
            </w:r>
          </w:p>
          <w:tbl>
            <w:tblPr>
              <w:tblStyle w:val="24"/>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3025"/>
              <w:gridCol w:w="3026"/>
              <w:gridCol w:w="302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25" w:type="dxa"/>
                  <w:tcBorders>
                    <w:bottom w:val="single" w:color="auto" w:sz="8" w:space="0"/>
                  </w:tcBorders>
                  <w:vAlign w:val="center"/>
                </w:tcPr>
                <w:p>
                  <w:pPr>
                    <w:widowControl/>
                    <w:spacing w:line="240" w:lineRule="atLeast"/>
                    <w:jc w:val="center"/>
                    <w:rPr>
                      <w:b/>
                      <w:kern w:val="0"/>
                      <w:szCs w:val="21"/>
                    </w:rPr>
                  </w:pPr>
                  <w:r>
                    <w:rPr>
                      <w:b/>
                      <w:kern w:val="0"/>
                      <w:szCs w:val="21"/>
                    </w:rPr>
                    <w:t>序号</w:t>
                  </w:r>
                </w:p>
              </w:tc>
              <w:tc>
                <w:tcPr>
                  <w:tcW w:w="3026" w:type="dxa"/>
                  <w:tcBorders>
                    <w:bottom w:val="single" w:color="auto" w:sz="8" w:space="0"/>
                  </w:tcBorders>
                  <w:vAlign w:val="center"/>
                </w:tcPr>
                <w:p>
                  <w:pPr>
                    <w:widowControl/>
                    <w:spacing w:line="240" w:lineRule="atLeast"/>
                    <w:jc w:val="center"/>
                    <w:rPr>
                      <w:b/>
                      <w:kern w:val="0"/>
                      <w:szCs w:val="21"/>
                    </w:rPr>
                  </w:pPr>
                  <w:r>
                    <w:rPr>
                      <w:b/>
                      <w:kern w:val="0"/>
                      <w:szCs w:val="21"/>
                    </w:rPr>
                    <w:t>污染物</w:t>
                  </w:r>
                </w:p>
              </w:tc>
              <w:tc>
                <w:tcPr>
                  <w:tcW w:w="3020" w:type="dxa"/>
                  <w:tcBorders>
                    <w:bottom w:val="single" w:color="auto" w:sz="8" w:space="0"/>
                  </w:tcBorders>
                  <w:vAlign w:val="center"/>
                </w:tcPr>
                <w:p>
                  <w:pPr>
                    <w:widowControl/>
                    <w:spacing w:line="240" w:lineRule="atLeast"/>
                    <w:jc w:val="center"/>
                    <w:rPr>
                      <w:b/>
                      <w:kern w:val="0"/>
                      <w:szCs w:val="21"/>
                    </w:rPr>
                  </w:pPr>
                  <w:r>
                    <w:rPr>
                      <w:b/>
                      <w:kern w:val="0"/>
                      <w:szCs w:val="21"/>
                    </w:rPr>
                    <w:t>年排放量（t/a）</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25" w:type="dxa"/>
                  <w:tcBorders>
                    <w:top w:val="single" w:color="auto" w:sz="8" w:space="0"/>
                    <w:tl2br w:val="nil"/>
                    <w:tr2bl w:val="nil"/>
                  </w:tcBorders>
                  <w:vAlign w:val="center"/>
                </w:tcPr>
                <w:p>
                  <w:pPr>
                    <w:widowControl/>
                    <w:spacing w:line="240" w:lineRule="atLeast"/>
                    <w:jc w:val="center"/>
                    <w:rPr>
                      <w:bCs/>
                      <w:kern w:val="0"/>
                      <w:szCs w:val="21"/>
                    </w:rPr>
                  </w:pPr>
                  <w:r>
                    <w:rPr>
                      <w:bCs/>
                      <w:kern w:val="0"/>
                      <w:szCs w:val="21"/>
                    </w:rPr>
                    <w:t>1</w:t>
                  </w:r>
                </w:p>
              </w:tc>
              <w:tc>
                <w:tcPr>
                  <w:tcW w:w="3026" w:type="dxa"/>
                  <w:tcBorders>
                    <w:top w:val="single" w:color="auto" w:sz="8" w:space="0"/>
                    <w:tl2br w:val="nil"/>
                    <w:tr2bl w:val="nil"/>
                  </w:tcBorders>
                  <w:vAlign w:val="center"/>
                </w:tcPr>
                <w:p>
                  <w:pPr>
                    <w:adjustRightInd w:val="0"/>
                    <w:snapToGrid w:val="0"/>
                    <w:spacing w:line="400" w:lineRule="exact"/>
                    <w:jc w:val="center"/>
                    <w:rPr>
                      <w:bCs/>
                      <w:kern w:val="0"/>
                      <w:szCs w:val="21"/>
                    </w:rPr>
                  </w:pPr>
                  <w:r>
                    <w:rPr>
                      <w:bCs/>
                      <w:szCs w:val="21"/>
                    </w:rPr>
                    <w:t>颗粒物</w:t>
                  </w:r>
                </w:p>
              </w:tc>
              <w:tc>
                <w:tcPr>
                  <w:tcW w:w="3020" w:type="dxa"/>
                  <w:tcBorders>
                    <w:top w:val="single" w:color="auto" w:sz="8" w:space="0"/>
                    <w:tl2br w:val="nil"/>
                    <w:tr2bl w:val="nil"/>
                  </w:tcBorders>
                  <w:vAlign w:val="center"/>
                </w:tcPr>
                <w:p>
                  <w:pPr>
                    <w:widowControl/>
                    <w:spacing w:line="240" w:lineRule="atLeast"/>
                    <w:jc w:val="center"/>
                    <w:rPr>
                      <w:bCs/>
                      <w:kern w:val="0"/>
                      <w:szCs w:val="21"/>
                    </w:rPr>
                  </w:pPr>
                  <w:r>
                    <w:rPr>
                      <w:rFonts w:hint="eastAsia"/>
                      <w:bCs/>
                      <w:kern w:val="0"/>
                      <w:szCs w:val="21"/>
                    </w:rPr>
                    <w:t>0.1025</w:t>
                  </w:r>
                </w:p>
              </w:tc>
            </w:tr>
          </w:tbl>
          <w:p>
            <w:pPr>
              <w:autoSpaceDE w:val="0"/>
              <w:autoSpaceDN w:val="0"/>
              <w:adjustRightInd w:val="0"/>
              <w:spacing w:line="440" w:lineRule="exact"/>
              <w:ind w:firstLine="480" w:firstLineChars="200"/>
              <w:jc w:val="left"/>
              <w:rPr>
                <w:sz w:val="24"/>
              </w:rPr>
            </w:pPr>
            <w:r>
              <w:rPr>
                <w:rFonts w:hint="eastAsia"/>
                <w:sz w:val="24"/>
              </w:rPr>
              <w:t>项目大气环境自查表见附件5。</w:t>
            </w:r>
          </w:p>
          <w:p>
            <w:pPr>
              <w:pStyle w:val="5"/>
              <w:keepNext w:val="0"/>
              <w:tabs>
                <w:tab w:val="left" w:pos="1230"/>
              </w:tabs>
              <w:spacing w:line="440" w:lineRule="exact"/>
              <w:ind w:firstLine="482" w:firstLineChars="200"/>
              <w:jc w:val="both"/>
              <w:rPr>
                <w:b/>
                <w:bCs/>
                <w:sz w:val="24"/>
              </w:rPr>
            </w:pPr>
            <w:r>
              <w:rPr>
                <w:rFonts w:hint="eastAsia"/>
                <w:b/>
                <w:bCs/>
                <w:sz w:val="24"/>
              </w:rPr>
              <w:t>4</w:t>
            </w:r>
            <w:r>
              <w:rPr>
                <w:b/>
                <w:bCs/>
                <w:sz w:val="24"/>
              </w:rPr>
              <w:t>、防护距离</w:t>
            </w:r>
          </w:p>
          <w:p>
            <w:pPr>
              <w:adjustRightInd w:val="0"/>
              <w:snapToGrid w:val="0"/>
              <w:spacing w:line="440" w:lineRule="exact"/>
              <w:ind w:firstLine="480" w:firstLineChars="200"/>
              <w:rPr>
                <w:rFonts w:hint="eastAsia"/>
                <w:snapToGrid w:val="0"/>
                <w:color w:val="000000"/>
                <w:sz w:val="24"/>
              </w:rPr>
            </w:pPr>
            <w:r>
              <w:rPr>
                <w:sz w:val="24"/>
              </w:rPr>
              <w:fldChar w:fldCharType="begin"/>
            </w:r>
            <w:r>
              <w:rPr>
                <w:sz w:val="24"/>
              </w:rPr>
              <w:instrText xml:space="preserve"> = 1 \* GB3 \* MERGEFORMAT </w:instrText>
            </w:r>
            <w:r>
              <w:rPr>
                <w:sz w:val="24"/>
              </w:rPr>
              <w:fldChar w:fldCharType="separate"/>
            </w:r>
            <w:r>
              <w:rPr>
                <w:sz w:val="24"/>
              </w:rPr>
              <w:t>①</w:t>
            </w:r>
            <w:r>
              <w:rPr>
                <w:sz w:val="24"/>
              </w:rPr>
              <w:fldChar w:fldCharType="end"/>
            </w:r>
            <w:r>
              <w:rPr>
                <w:sz w:val="24"/>
              </w:rPr>
              <w:t>大气环境防护距离</w:t>
            </w:r>
          </w:p>
          <w:p>
            <w:pPr>
              <w:adjustRightInd w:val="0"/>
              <w:snapToGrid w:val="0"/>
              <w:spacing w:line="440" w:lineRule="exact"/>
              <w:ind w:firstLine="480" w:firstLineChars="200"/>
              <w:rPr>
                <w:snapToGrid w:val="0"/>
                <w:color w:val="000000"/>
                <w:kern w:val="0"/>
                <w:sz w:val="24"/>
              </w:rPr>
            </w:pPr>
            <w:r>
              <w:rPr>
                <w:rFonts w:hint="eastAsia"/>
                <w:snapToGrid w:val="0"/>
                <w:color w:val="000000"/>
                <w:sz w:val="24"/>
              </w:rPr>
              <w:t>经预测，本项目完成后全厂无组织排放</w:t>
            </w:r>
            <w:r>
              <w:rPr>
                <w:snapToGrid w:val="0"/>
                <w:color w:val="000000"/>
                <w:sz w:val="24"/>
              </w:rPr>
              <w:t>粉尘最大落地浓度值以及占标率分别</w:t>
            </w:r>
            <w:r>
              <w:rPr>
                <w:snapToGrid w:val="0"/>
                <w:sz w:val="24"/>
              </w:rPr>
              <w:t>为</w:t>
            </w:r>
            <w:r>
              <w:rPr>
                <w:rFonts w:hint="eastAsia"/>
                <w:snapToGrid w:val="0"/>
                <w:color w:val="000000"/>
                <w:kern w:val="0"/>
                <w:sz w:val="24"/>
              </w:rPr>
              <w:t>38.44</w:t>
            </w:r>
            <w:r>
              <w:rPr>
                <w:snapToGrid w:val="0"/>
                <w:color w:val="000000"/>
                <w:kern w:val="0"/>
                <w:sz w:val="24"/>
              </w:rPr>
              <w:t>μg/m</w:t>
            </w:r>
            <w:r>
              <w:rPr>
                <w:snapToGrid w:val="0"/>
                <w:color w:val="000000"/>
                <w:kern w:val="0"/>
                <w:sz w:val="24"/>
                <w:vertAlign w:val="superscript"/>
              </w:rPr>
              <w:t>3</w:t>
            </w:r>
            <w:r>
              <w:rPr>
                <w:snapToGrid w:val="0"/>
                <w:color w:val="000000"/>
                <w:kern w:val="0"/>
                <w:sz w:val="24"/>
              </w:rPr>
              <w:t>和</w:t>
            </w:r>
            <w:r>
              <w:rPr>
                <w:rFonts w:hint="eastAsia"/>
                <w:snapToGrid w:val="0"/>
                <w:color w:val="000000"/>
                <w:kern w:val="0"/>
                <w:sz w:val="24"/>
              </w:rPr>
              <w:t>8.54</w:t>
            </w:r>
            <w:r>
              <w:rPr>
                <w:snapToGrid w:val="0"/>
                <w:color w:val="000000"/>
                <w:kern w:val="0"/>
                <w:sz w:val="24"/>
              </w:rPr>
              <w:t>%</w:t>
            </w:r>
            <w:r>
              <w:rPr>
                <w:snapToGrid w:val="0"/>
                <w:sz w:val="24"/>
              </w:rPr>
              <w:t>。粉尘最大落地浓度远小于《</w:t>
            </w:r>
            <w:r>
              <w:rPr>
                <w:sz w:val="24"/>
              </w:rPr>
              <w:t>环境空气质量标准</w:t>
            </w:r>
            <w:r>
              <w:rPr>
                <w:snapToGrid w:val="0"/>
                <w:sz w:val="24"/>
              </w:rPr>
              <w:t>》（</w:t>
            </w:r>
            <w:r>
              <w:rPr>
                <w:sz w:val="24"/>
              </w:rPr>
              <w:t>GB3095-2012</w:t>
            </w:r>
            <w:r>
              <w:rPr>
                <w:snapToGrid w:val="0"/>
                <w:sz w:val="24"/>
              </w:rPr>
              <w:t>）</w:t>
            </w:r>
            <w:r>
              <w:rPr>
                <w:rFonts w:hint="eastAsia"/>
                <w:snapToGrid w:val="0"/>
                <w:color w:val="000000"/>
                <w:sz w:val="24"/>
                <w:lang w:eastAsia="zh-CN"/>
              </w:rPr>
              <w:t>及期</w:t>
            </w:r>
            <w:r>
              <w:rPr>
                <w:rFonts w:hint="eastAsia"/>
                <w:snapToGrid w:val="0"/>
                <w:color w:val="000000"/>
                <w:sz w:val="24"/>
                <w:lang w:val="en-US" w:eastAsia="zh-CN"/>
              </w:rPr>
              <w:t>2018年修改单</w:t>
            </w:r>
            <w:r>
              <w:rPr>
                <w:sz w:val="24"/>
              </w:rPr>
              <w:t>限值要求（450</w:t>
            </w:r>
            <w:r>
              <w:rPr>
                <w:bCs/>
                <w:color w:val="000000"/>
                <w:sz w:val="24"/>
              </w:rPr>
              <w:t>µ</w:t>
            </w:r>
            <w:r>
              <w:rPr>
                <w:sz w:val="24"/>
              </w:rPr>
              <w:t>g/m</w:t>
            </w:r>
            <w:r>
              <w:rPr>
                <w:sz w:val="24"/>
                <w:vertAlign w:val="superscript"/>
              </w:rPr>
              <w:t>3</w:t>
            </w:r>
            <w:r>
              <w:rPr>
                <w:sz w:val="24"/>
              </w:rPr>
              <w:t>）</w:t>
            </w:r>
            <w:r>
              <w:rPr>
                <w:color w:val="000000"/>
                <w:sz w:val="24"/>
              </w:rPr>
              <w:t>，因此无需设置大气环境防护距离。</w:t>
            </w:r>
          </w:p>
          <w:p>
            <w:pPr>
              <w:adjustRightInd w:val="0"/>
              <w:snapToGrid w:val="0"/>
              <w:spacing w:line="440" w:lineRule="exact"/>
              <w:ind w:firstLine="480" w:firstLineChars="200"/>
              <w:rPr>
                <w:sz w:val="24"/>
              </w:rPr>
            </w:pPr>
            <w:r>
              <w:rPr>
                <w:sz w:val="24"/>
              </w:rPr>
              <w:fldChar w:fldCharType="begin"/>
            </w:r>
            <w:r>
              <w:rPr>
                <w:sz w:val="24"/>
              </w:rPr>
              <w:instrText xml:space="preserve"> = 2 \* GB3 \* MERGEFORMAT </w:instrText>
            </w:r>
            <w:r>
              <w:rPr>
                <w:sz w:val="24"/>
              </w:rPr>
              <w:fldChar w:fldCharType="separate"/>
            </w:r>
            <w:r>
              <w:t>②</w:t>
            </w:r>
            <w:r>
              <w:rPr>
                <w:sz w:val="24"/>
              </w:rPr>
              <w:fldChar w:fldCharType="end"/>
            </w:r>
            <w:r>
              <w:rPr>
                <w:sz w:val="24"/>
              </w:rPr>
              <w:t>卫生防护距离</w:t>
            </w:r>
          </w:p>
          <w:p>
            <w:pPr>
              <w:adjustRightInd w:val="0"/>
              <w:snapToGrid w:val="0"/>
              <w:spacing w:line="440" w:lineRule="exact"/>
              <w:ind w:firstLine="480" w:firstLineChars="200"/>
              <w:rPr>
                <w:sz w:val="24"/>
              </w:rPr>
            </w:pPr>
            <w:r>
              <w:rPr>
                <w:sz w:val="24"/>
              </w:rPr>
              <w:t>依据《制定地方大气污染物排放标准的技术方法》(GB/T 13201-91)的规定，无组织排放源所在的生产单元与居住区之间应设置卫生防护距离，其计算公式为：</w:t>
            </w:r>
          </w:p>
          <w:p>
            <w:pPr>
              <w:adjustRightInd w:val="0"/>
              <w:snapToGrid w:val="0"/>
              <w:spacing w:line="440" w:lineRule="exact"/>
              <w:ind w:firstLine="480" w:firstLineChars="200"/>
              <w:jc w:val="center"/>
              <w:rPr>
                <w:sz w:val="24"/>
              </w:rPr>
            </w:pPr>
            <w:r>
              <w:rPr>
                <w:position w:val="-30"/>
                <w:sz w:val="24"/>
              </w:rPr>
              <w:pict>
                <v:shape id="_x0000_s2357" o:spid="_x0000_s2357" o:spt="75" type="#_x0000_t75" style="position:absolute;left:0pt;margin-left:109.45pt;margin-top:7.5pt;height:34.6pt;width:212.1pt;mso-wrap-distance-bottom:0pt;mso-wrap-distance-left:9pt;mso-wrap-distance-right:9pt;mso-wrap-distance-top:0pt;z-index:251685888;mso-width-relative:page;mso-height-relative:page;" filled="f" o:preferrelative="t" stroked="f" coordsize="21600,21600">
                  <v:path/>
                  <v:fill on="f" focussize="0,0"/>
                  <v:stroke on="f" joinstyle="miter"/>
                  <v:imagedata r:id="rId17" o:title=""/>
                  <o:lock v:ext="edit" aspectratio="t"/>
                  <w10:wrap type="square"/>
                </v:shape>
              </w:pict>
            </w:r>
          </w:p>
          <w:p>
            <w:pPr>
              <w:adjustRightInd w:val="0"/>
              <w:snapToGrid w:val="0"/>
              <w:spacing w:line="440" w:lineRule="exact"/>
              <w:ind w:firstLine="480" w:firstLineChars="200"/>
              <w:rPr>
                <w:sz w:val="24"/>
              </w:rPr>
            </w:pPr>
          </w:p>
          <w:p>
            <w:pPr>
              <w:adjustRightInd w:val="0"/>
              <w:snapToGrid w:val="0"/>
              <w:spacing w:line="440" w:lineRule="exact"/>
              <w:ind w:firstLine="480" w:firstLineChars="200"/>
              <w:rPr>
                <w:sz w:val="24"/>
              </w:rPr>
            </w:pPr>
            <w:r>
              <w:rPr>
                <w:sz w:val="24"/>
              </w:rPr>
              <w:t>式中：</w:t>
            </w:r>
          </w:p>
          <w:p>
            <w:pPr>
              <w:adjustRightInd w:val="0"/>
              <w:snapToGrid w:val="0"/>
              <w:spacing w:line="440" w:lineRule="exact"/>
              <w:ind w:firstLine="480" w:firstLineChars="200"/>
              <w:rPr>
                <w:sz w:val="24"/>
              </w:rPr>
            </w:pPr>
            <w:r>
              <w:rPr>
                <w:sz w:val="24"/>
              </w:rPr>
              <w:t>Cm—标准浓度限值，mg/m</w:t>
            </w:r>
            <w:r>
              <w:rPr>
                <w:sz w:val="24"/>
                <w:vertAlign w:val="superscript"/>
              </w:rPr>
              <w:t>3</w:t>
            </w:r>
            <w:r>
              <w:rPr>
                <w:sz w:val="24"/>
              </w:rPr>
              <w:t>；</w:t>
            </w:r>
          </w:p>
          <w:p>
            <w:pPr>
              <w:adjustRightInd w:val="0"/>
              <w:snapToGrid w:val="0"/>
              <w:spacing w:line="440" w:lineRule="exact"/>
              <w:ind w:firstLine="480" w:firstLineChars="200"/>
              <w:rPr>
                <w:sz w:val="24"/>
              </w:rPr>
            </w:pPr>
            <w:r>
              <w:rPr>
                <w:sz w:val="24"/>
              </w:rPr>
              <w:t>L—工业企业所需卫生防护距离，m；</w:t>
            </w:r>
          </w:p>
          <w:p>
            <w:pPr>
              <w:adjustRightInd w:val="0"/>
              <w:snapToGrid w:val="0"/>
              <w:spacing w:line="440" w:lineRule="exact"/>
              <w:ind w:firstLine="480" w:firstLineChars="200"/>
              <w:rPr>
                <w:sz w:val="24"/>
              </w:rPr>
            </w:pPr>
            <w:r>
              <w:rPr>
                <w:sz w:val="24"/>
              </w:rPr>
              <w:t>r—有害气体无组织排放源所在生产单元的等效半径，m。根据该生产单元占地面积S(m</w:t>
            </w:r>
            <w:r>
              <w:rPr>
                <w:sz w:val="24"/>
                <w:vertAlign w:val="superscript"/>
              </w:rPr>
              <w:t>2</w:t>
            </w:r>
            <w:r>
              <w:rPr>
                <w:sz w:val="24"/>
              </w:rPr>
              <w:t>)计算，r=(S/π)</w:t>
            </w:r>
            <w:r>
              <w:rPr>
                <w:sz w:val="24"/>
                <w:vertAlign w:val="superscript"/>
              </w:rPr>
              <w:t>0.5</w:t>
            </w:r>
            <w:r>
              <w:rPr>
                <w:sz w:val="24"/>
              </w:rPr>
              <w:t>；</w:t>
            </w:r>
          </w:p>
          <w:p>
            <w:pPr>
              <w:adjustRightInd w:val="0"/>
              <w:snapToGrid w:val="0"/>
              <w:spacing w:line="440" w:lineRule="exact"/>
              <w:ind w:firstLine="480" w:firstLineChars="200"/>
              <w:rPr>
                <w:sz w:val="24"/>
              </w:rPr>
            </w:pPr>
            <w:r>
              <w:rPr>
                <w:sz w:val="24"/>
              </w:rPr>
              <w:t>A，B，C，D—卫生防护距离计算系数，无因次，根据工业企业所在地区近五年平均风速及工业企业大气污染源构成类别确定；</w:t>
            </w:r>
          </w:p>
          <w:p>
            <w:pPr>
              <w:adjustRightInd w:val="0"/>
              <w:snapToGrid w:val="0"/>
              <w:spacing w:line="440" w:lineRule="exact"/>
              <w:ind w:firstLine="480" w:firstLineChars="200"/>
              <w:rPr>
                <w:sz w:val="24"/>
              </w:rPr>
            </w:pPr>
            <w:r>
              <w:rPr>
                <w:sz w:val="24"/>
              </w:rPr>
              <w:t>Qc—工业企业有害气体无组织排放量可以达到的控制水平，kg/h。</w:t>
            </w:r>
          </w:p>
          <w:p>
            <w:pPr>
              <w:adjustRightInd w:val="0"/>
              <w:snapToGrid w:val="0"/>
              <w:spacing w:line="440" w:lineRule="exact"/>
              <w:ind w:firstLine="480" w:firstLineChars="200"/>
              <w:rPr>
                <w:sz w:val="24"/>
              </w:rPr>
            </w:pPr>
            <w:r>
              <w:rPr>
                <w:sz w:val="24"/>
              </w:rPr>
              <w:t>无组织排放卫生防护距离计算结果见下表</w:t>
            </w:r>
            <w:r>
              <w:rPr>
                <w:rFonts w:hint="eastAsia"/>
                <w:sz w:val="24"/>
              </w:rPr>
              <w:t>：</w:t>
            </w:r>
          </w:p>
          <w:p>
            <w:pPr>
              <w:adjustRightInd w:val="0"/>
              <w:snapToGrid w:val="0"/>
              <w:spacing w:line="440" w:lineRule="exact"/>
              <w:ind w:firstLine="480" w:firstLineChars="200"/>
              <w:rPr>
                <w:rFonts w:eastAsia="黑体"/>
                <w:color w:val="000000"/>
                <w:sz w:val="24"/>
              </w:rPr>
            </w:pPr>
            <w:r>
              <w:rPr>
                <w:rFonts w:eastAsia="黑体"/>
                <w:color w:val="000000"/>
                <w:sz w:val="24"/>
              </w:rPr>
              <w:t>表</w:t>
            </w:r>
            <w:r>
              <w:rPr>
                <w:rFonts w:hint="eastAsia" w:eastAsia="黑体"/>
                <w:color w:val="000000"/>
                <w:sz w:val="24"/>
              </w:rPr>
              <w:t>35</w:t>
            </w:r>
            <w:r>
              <w:rPr>
                <w:rFonts w:eastAsia="黑体"/>
                <w:color w:val="000000"/>
                <w:sz w:val="24"/>
              </w:rPr>
              <w:t xml:space="preserve">            卫生防护距离计算参数及结果</w:t>
            </w:r>
          </w:p>
          <w:tbl>
            <w:tblPr>
              <w:tblStyle w:val="24"/>
              <w:tblW w:w="9071" w:type="dxa"/>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010"/>
              <w:gridCol w:w="1118"/>
              <w:gridCol w:w="551"/>
              <w:gridCol w:w="550"/>
              <w:gridCol w:w="539"/>
              <w:gridCol w:w="584"/>
              <w:gridCol w:w="715"/>
              <w:gridCol w:w="829"/>
              <w:gridCol w:w="1042"/>
              <w:gridCol w:w="1072"/>
              <w:gridCol w:w="1061"/>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570" w:type="pct"/>
                  <w:vMerge w:val="restart"/>
                  <w:tcBorders>
                    <w:bottom w:val="nil"/>
                  </w:tcBorders>
                  <w:vAlign w:val="center"/>
                </w:tcPr>
                <w:p>
                  <w:pPr>
                    <w:jc w:val="center"/>
                    <w:rPr>
                      <w:b/>
                      <w:bCs/>
                      <w:szCs w:val="21"/>
                    </w:rPr>
                  </w:pPr>
                  <w:r>
                    <w:rPr>
                      <w:b/>
                      <w:bCs/>
                      <w:szCs w:val="21"/>
                    </w:rPr>
                    <w:t>排放源</w:t>
                  </w:r>
                </w:p>
              </w:tc>
              <w:tc>
                <w:tcPr>
                  <w:tcW w:w="629" w:type="pct"/>
                  <w:vMerge w:val="restart"/>
                  <w:tcBorders>
                    <w:bottom w:val="nil"/>
                  </w:tcBorders>
                  <w:vAlign w:val="center"/>
                </w:tcPr>
                <w:p>
                  <w:pPr>
                    <w:jc w:val="center"/>
                    <w:rPr>
                      <w:b/>
                      <w:bCs/>
                      <w:szCs w:val="21"/>
                    </w:rPr>
                  </w:pPr>
                  <w:r>
                    <w:rPr>
                      <w:b/>
                      <w:bCs/>
                      <w:szCs w:val="21"/>
                    </w:rPr>
                    <w:t>污染</w:t>
                  </w:r>
                </w:p>
                <w:p>
                  <w:pPr>
                    <w:jc w:val="center"/>
                    <w:rPr>
                      <w:b/>
                      <w:bCs/>
                      <w:szCs w:val="21"/>
                    </w:rPr>
                  </w:pPr>
                  <w:r>
                    <w:rPr>
                      <w:b/>
                      <w:bCs/>
                      <w:szCs w:val="21"/>
                    </w:rPr>
                    <w:t>因子</w:t>
                  </w:r>
                </w:p>
              </w:tc>
              <w:tc>
                <w:tcPr>
                  <w:tcW w:w="1278" w:type="pct"/>
                  <w:gridSpan w:val="4"/>
                  <w:tcBorders>
                    <w:bottom w:val="single" w:color="000000" w:sz="4" w:space="0"/>
                  </w:tcBorders>
                  <w:vAlign w:val="center"/>
                </w:tcPr>
                <w:p>
                  <w:pPr>
                    <w:jc w:val="center"/>
                    <w:rPr>
                      <w:b/>
                      <w:bCs/>
                      <w:szCs w:val="21"/>
                    </w:rPr>
                  </w:pPr>
                  <w:r>
                    <w:rPr>
                      <w:b/>
                      <w:bCs/>
                      <w:szCs w:val="21"/>
                    </w:rPr>
                    <w:t>计算系数</w:t>
                  </w:r>
                </w:p>
              </w:tc>
              <w:tc>
                <w:tcPr>
                  <w:tcW w:w="407" w:type="pct"/>
                  <w:vMerge w:val="restart"/>
                  <w:tcBorders>
                    <w:bottom w:val="single" w:color="000000" w:sz="12" w:space="0"/>
                  </w:tcBorders>
                  <w:vAlign w:val="center"/>
                </w:tcPr>
                <w:p>
                  <w:pPr>
                    <w:adjustRightInd w:val="0"/>
                    <w:snapToGrid w:val="0"/>
                    <w:jc w:val="center"/>
                    <w:rPr>
                      <w:b/>
                      <w:bCs/>
                      <w:szCs w:val="21"/>
                    </w:rPr>
                  </w:pPr>
                  <w:r>
                    <w:rPr>
                      <w:b/>
                      <w:bCs/>
                      <w:szCs w:val="21"/>
                    </w:rPr>
                    <w:t>S</w:t>
                  </w:r>
                </w:p>
                <w:p>
                  <w:pPr>
                    <w:adjustRightInd w:val="0"/>
                    <w:snapToGrid w:val="0"/>
                    <w:jc w:val="center"/>
                    <w:rPr>
                      <w:b/>
                      <w:bCs/>
                      <w:szCs w:val="21"/>
                    </w:rPr>
                  </w:pPr>
                  <w:r>
                    <w:rPr>
                      <w:b/>
                      <w:bCs/>
                      <w:szCs w:val="21"/>
                    </w:rPr>
                    <w:t>(m</w:t>
                  </w:r>
                  <w:r>
                    <w:rPr>
                      <w:b/>
                      <w:bCs/>
                      <w:szCs w:val="21"/>
                      <w:vertAlign w:val="superscript"/>
                    </w:rPr>
                    <w:t>2</w:t>
                  </w:r>
                  <w:r>
                    <w:rPr>
                      <w:b/>
                      <w:bCs/>
                      <w:szCs w:val="21"/>
                    </w:rPr>
                    <w:t>)</w:t>
                  </w:r>
                </w:p>
              </w:tc>
              <w:tc>
                <w:tcPr>
                  <w:tcW w:w="324" w:type="pct"/>
                  <w:vMerge w:val="restart"/>
                  <w:tcBorders>
                    <w:bottom w:val="single" w:color="000000" w:sz="12" w:space="0"/>
                  </w:tcBorders>
                  <w:vAlign w:val="center"/>
                </w:tcPr>
                <w:p>
                  <w:pPr>
                    <w:adjustRightInd w:val="0"/>
                    <w:snapToGrid w:val="0"/>
                    <w:jc w:val="center"/>
                    <w:rPr>
                      <w:b/>
                      <w:bCs/>
                      <w:szCs w:val="21"/>
                    </w:rPr>
                  </w:pPr>
                  <w:r>
                    <w:rPr>
                      <w:b/>
                      <w:bCs/>
                      <w:szCs w:val="21"/>
                    </w:rPr>
                    <w:t>Qc</w:t>
                  </w:r>
                </w:p>
                <w:p>
                  <w:pPr>
                    <w:adjustRightInd w:val="0"/>
                    <w:snapToGrid w:val="0"/>
                    <w:jc w:val="center"/>
                    <w:rPr>
                      <w:b/>
                      <w:bCs/>
                      <w:szCs w:val="21"/>
                    </w:rPr>
                  </w:pPr>
                  <w:r>
                    <w:rPr>
                      <w:b/>
                      <w:bCs/>
                      <w:szCs w:val="21"/>
                    </w:rPr>
                    <w:t>（kg/h）</w:t>
                  </w:r>
                </w:p>
              </w:tc>
              <w:tc>
                <w:tcPr>
                  <w:tcW w:w="587" w:type="pct"/>
                  <w:vMerge w:val="restart"/>
                  <w:tcBorders>
                    <w:bottom w:val="single" w:color="000000" w:sz="12" w:space="0"/>
                  </w:tcBorders>
                  <w:vAlign w:val="center"/>
                </w:tcPr>
                <w:p>
                  <w:pPr>
                    <w:adjustRightInd w:val="0"/>
                    <w:snapToGrid w:val="0"/>
                    <w:jc w:val="center"/>
                    <w:rPr>
                      <w:b/>
                      <w:bCs/>
                      <w:szCs w:val="21"/>
                    </w:rPr>
                  </w:pPr>
                  <w:r>
                    <w:rPr>
                      <w:b/>
                      <w:bCs/>
                      <w:szCs w:val="21"/>
                    </w:rPr>
                    <w:t>Cm</w:t>
                  </w:r>
                </w:p>
                <w:p>
                  <w:pPr>
                    <w:adjustRightInd w:val="0"/>
                    <w:snapToGrid w:val="0"/>
                    <w:jc w:val="center"/>
                    <w:rPr>
                      <w:b/>
                      <w:bCs/>
                      <w:szCs w:val="21"/>
                    </w:rPr>
                  </w:pPr>
                  <w:r>
                    <w:rPr>
                      <w:b/>
                      <w:bCs/>
                      <w:szCs w:val="21"/>
                    </w:rPr>
                    <w:t>（mg/m</w:t>
                  </w:r>
                  <w:r>
                    <w:rPr>
                      <w:b/>
                      <w:bCs/>
                      <w:szCs w:val="21"/>
                      <w:vertAlign w:val="superscript"/>
                    </w:rPr>
                    <w:t>3</w:t>
                  </w:r>
                  <w:r>
                    <w:rPr>
                      <w:b/>
                      <w:bCs/>
                      <w:szCs w:val="21"/>
                    </w:rPr>
                    <w:t>）</w:t>
                  </w:r>
                </w:p>
              </w:tc>
              <w:tc>
                <w:tcPr>
                  <w:tcW w:w="604" w:type="pct"/>
                  <w:vMerge w:val="restart"/>
                  <w:tcBorders>
                    <w:bottom w:val="single" w:color="000000" w:sz="12" w:space="0"/>
                  </w:tcBorders>
                  <w:vAlign w:val="center"/>
                </w:tcPr>
                <w:p>
                  <w:pPr>
                    <w:adjustRightInd w:val="0"/>
                    <w:snapToGrid w:val="0"/>
                    <w:jc w:val="center"/>
                    <w:rPr>
                      <w:b/>
                      <w:bCs/>
                      <w:szCs w:val="21"/>
                    </w:rPr>
                  </w:pPr>
                  <w:r>
                    <w:rPr>
                      <w:b/>
                      <w:bCs/>
                      <w:szCs w:val="21"/>
                    </w:rPr>
                    <w:t>计算卫生防护距离(m)</w:t>
                  </w:r>
                </w:p>
              </w:tc>
              <w:tc>
                <w:tcPr>
                  <w:tcW w:w="598" w:type="pct"/>
                  <w:vMerge w:val="restart"/>
                  <w:tcBorders>
                    <w:bottom w:val="single" w:color="000000" w:sz="12" w:space="0"/>
                  </w:tcBorders>
                  <w:vAlign w:val="center"/>
                </w:tcPr>
                <w:p>
                  <w:pPr>
                    <w:adjustRightInd w:val="0"/>
                    <w:snapToGrid w:val="0"/>
                    <w:jc w:val="center"/>
                    <w:rPr>
                      <w:b/>
                      <w:bCs/>
                      <w:szCs w:val="21"/>
                    </w:rPr>
                  </w:pPr>
                  <w:r>
                    <w:rPr>
                      <w:b/>
                      <w:bCs/>
                      <w:szCs w:val="21"/>
                    </w:rPr>
                    <w:t>确定卫生防护距离(m)</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570" w:type="pct"/>
                  <w:vMerge w:val="continue"/>
                  <w:tcBorders>
                    <w:top w:val="nil"/>
                    <w:bottom w:val="single" w:color="000000" w:sz="8" w:space="0"/>
                  </w:tcBorders>
                  <w:vAlign w:val="center"/>
                </w:tcPr>
                <w:p>
                  <w:pPr>
                    <w:jc w:val="center"/>
                    <w:rPr>
                      <w:szCs w:val="21"/>
                    </w:rPr>
                  </w:pPr>
                </w:p>
              </w:tc>
              <w:tc>
                <w:tcPr>
                  <w:tcW w:w="629" w:type="pct"/>
                  <w:vMerge w:val="continue"/>
                  <w:tcBorders>
                    <w:top w:val="nil"/>
                    <w:bottom w:val="single" w:color="000000" w:sz="8" w:space="0"/>
                  </w:tcBorders>
                  <w:vAlign w:val="center"/>
                </w:tcPr>
                <w:p>
                  <w:pPr>
                    <w:jc w:val="center"/>
                    <w:rPr>
                      <w:szCs w:val="21"/>
                    </w:rPr>
                  </w:pPr>
                </w:p>
              </w:tc>
              <w:tc>
                <w:tcPr>
                  <w:tcW w:w="317" w:type="pct"/>
                  <w:tcBorders>
                    <w:top w:val="single" w:color="000000" w:sz="4" w:space="0"/>
                    <w:bottom w:val="single" w:color="000000" w:sz="8" w:space="0"/>
                  </w:tcBorders>
                  <w:vAlign w:val="center"/>
                </w:tcPr>
                <w:p>
                  <w:pPr>
                    <w:jc w:val="center"/>
                    <w:rPr>
                      <w:b/>
                      <w:bCs/>
                      <w:szCs w:val="21"/>
                    </w:rPr>
                  </w:pPr>
                  <w:r>
                    <w:rPr>
                      <w:b/>
                      <w:bCs/>
                      <w:szCs w:val="21"/>
                    </w:rPr>
                    <w:t>A</w:t>
                  </w:r>
                </w:p>
              </w:tc>
              <w:tc>
                <w:tcPr>
                  <w:tcW w:w="316" w:type="pct"/>
                  <w:tcBorders>
                    <w:top w:val="single" w:color="000000" w:sz="4" w:space="0"/>
                    <w:bottom w:val="single" w:color="000000" w:sz="8" w:space="0"/>
                  </w:tcBorders>
                  <w:vAlign w:val="center"/>
                </w:tcPr>
                <w:p>
                  <w:pPr>
                    <w:jc w:val="center"/>
                    <w:rPr>
                      <w:b/>
                      <w:bCs/>
                      <w:szCs w:val="21"/>
                    </w:rPr>
                  </w:pPr>
                  <w:r>
                    <w:rPr>
                      <w:b/>
                      <w:bCs/>
                      <w:szCs w:val="21"/>
                    </w:rPr>
                    <w:t>B</w:t>
                  </w:r>
                </w:p>
              </w:tc>
              <w:tc>
                <w:tcPr>
                  <w:tcW w:w="310" w:type="pct"/>
                  <w:tcBorders>
                    <w:top w:val="single" w:color="000000" w:sz="4" w:space="0"/>
                    <w:bottom w:val="single" w:color="000000" w:sz="8" w:space="0"/>
                  </w:tcBorders>
                  <w:vAlign w:val="center"/>
                </w:tcPr>
                <w:p>
                  <w:pPr>
                    <w:jc w:val="center"/>
                    <w:rPr>
                      <w:b/>
                      <w:bCs/>
                      <w:szCs w:val="21"/>
                    </w:rPr>
                  </w:pPr>
                  <w:r>
                    <w:rPr>
                      <w:b/>
                      <w:bCs/>
                      <w:szCs w:val="21"/>
                    </w:rPr>
                    <w:t>C</w:t>
                  </w:r>
                </w:p>
              </w:tc>
              <w:tc>
                <w:tcPr>
                  <w:tcW w:w="335" w:type="pct"/>
                  <w:tcBorders>
                    <w:top w:val="single" w:color="000000" w:sz="4" w:space="0"/>
                    <w:bottom w:val="single" w:color="000000" w:sz="8" w:space="0"/>
                  </w:tcBorders>
                  <w:vAlign w:val="center"/>
                </w:tcPr>
                <w:p>
                  <w:pPr>
                    <w:jc w:val="center"/>
                    <w:rPr>
                      <w:b/>
                      <w:bCs/>
                      <w:szCs w:val="21"/>
                    </w:rPr>
                  </w:pPr>
                  <w:r>
                    <w:rPr>
                      <w:b/>
                      <w:bCs/>
                      <w:szCs w:val="21"/>
                    </w:rPr>
                    <w:t>D</w:t>
                  </w:r>
                </w:p>
              </w:tc>
              <w:tc>
                <w:tcPr>
                  <w:tcW w:w="407" w:type="pct"/>
                  <w:vMerge w:val="continue"/>
                  <w:tcBorders>
                    <w:top w:val="single" w:color="000000" w:sz="12" w:space="0"/>
                    <w:bottom w:val="single" w:color="000000" w:sz="8" w:space="0"/>
                  </w:tcBorders>
                  <w:vAlign w:val="center"/>
                </w:tcPr>
                <w:p>
                  <w:pPr>
                    <w:jc w:val="center"/>
                    <w:rPr>
                      <w:szCs w:val="21"/>
                    </w:rPr>
                  </w:pPr>
                </w:p>
              </w:tc>
              <w:tc>
                <w:tcPr>
                  <w:tcW w:w="324" w:type="pct"/>
                  <w:vMerge w:val="continue"/>
                  <w:tcBorders>
                    <w:top w:val="single" w:color="000000" w:sz="12" w:space="0"/>
                    <w:bottom w:val="single" w:color="000000" w:sz="8" w:space="0"/>
                  </w:tcBorders>
                  <w:vAlign w:val="center"/>
                </w:tcPr>
                <w:p>
                  <w:pPr>
                    <w:jc w:val="center"/>
                    <w:rPr>
                      <w:szCs w:val="21"/>
                    </w:rPr>
                  </w:pPr>
                </w:p>
              </w:tc>
              <w:tc>
                <w:tcPr>
                  <w:tcW w:w="587" w:type="pct"/>
                  <w:vMerge w:val="continue"/>
                  <w:tcBorders>
                    <w:top w:val="single" w:color="000000" w:sz="12" w:space="0"/>
                    <w:bottom w:val="single" w:color="000000" w:sz="8" w:space="0"/>
                  </w:tcBorders>
                  <w:vAlign w:val="center"/>
                </w:tcPr>
                <w:p>
                  <w:pPr>
                    <w:jc w:val="center"/>
                    <w:rPr>
                      <w:szCs w:val="21"/>
                    </w:rPr>
                  </w:pPr>
                </w:p>
              </w:tc>
              <w:tc>
                <w:tcPr>
                  <w:tcW w:w="604" w:type="pct"/>
                  <w:vMerge w:val="continue"/>
                  <w:tcBorders>
                    <w:top w:val="single" w:color="000000" w:sz="12" w:space="0"/>
                    <w:bottom w:val="single" w:color="000000" w:sz="8" w:space="0"/>
                  </w:tcBorders>
                  <w:vAlign w:val="center"/>
                </w:tcPr>
                <w:p>
                  <w:pPr>
                    <w:jc w:val="center"/>
                    <w:rPr>
                      <w:szCs w:val="21"/>
                    </w:rPr>
                  </w:pPr>
                </w:p>
              </w:tc>
              <w:tc>
                <w:tcPr>
                  <w:tcW w:w="598" w:type="pct"/>
                  <w:vMerge w:val="continue"/>
                  <w:tcBorders>
                    <w:top w:val="single" w:color="000000" w:sz="12" w:space="0"/>
                    <w:bottom w:val="single" w:color="000000" w:sz="8" w:space="0"/>
                  </w:tcBorders>
                  <w:vAlign w:val="center"/>
                </w:tcPr>
                <w:p>
                  <w:pPr>
                    <w:jc w:val="center"/>
                    <w:rPr>
                      <w:szCs w:val="21"/>
                    </w:rPr>
                  </w:pP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570" w:type="pct"/>
                  <w:tcBorders>
                    <w:top w:val="single" w:color="000000" w:sz="8" w:space="0"/>
                  </w:tcBorders>
                  <w:vAlign w:val="center"/>
                </w:tcPr>
                <w:p>
                  <w:pPr>
                    <w:adjustRightInd w:val="0"/>
                    <w:snapToGrid w:val="0"/>
                    <w:jc w:val="center"/>
                    <w:rPr>
                      <w:szCs w:val="21"/>
                    </w:rPr>
                  </w:pPr>
                  <w:r>
                    <w:rPr>
                      <w:szCs w:val="21"/>
                    </w:rPr>
                    <w:t>车间</w:t>
                  </w:r>
                </w:p>
              </w:tc>
              <w:tc>
                <w:tcPr>
                  <w:tcW w:w="629" w:type="pct"/>
                  <w:tcBorders>
                    <w:top w:val="single" w:color="000000" w:sz="8" w:space="0"/>
                  </w:tcBorders>
                  <w:vAlign w:val="center"/>
                </w:tcPr>
                <w:p>
                  <w:pPr>
                    <w:adjustRightInd w:val="0"/>
                    <w:snapToGrid w:val="0"/>
                    <w:jc w:val="center"/>
                    <w:rPr>
                      <w:szCs w:val="21"/>
                    </w:rPr>
                  </w:pPr>
                  <w:r>
                    <w:rPr>
                      <w:rFonts w:hint="eastAsia"/>
                      <w:szCs w:val="21"/>
                    </w:rPr>
                    <w:t>颗粒物</w:t>
                  </w:r>
                </w:p>
              </w:tc>
              <w:tc>
                <w:tcPr>
                  <w:tcW w:w="317" w:type="pct"/>
                  <w:tcBorders>
                    <w:top w:val="single" w:color="000000" w:sz="8" w:space="0"/>
                  </w:tcBorders>
                  <w:vAlign w:val="center"/>
                </w:tcPr>
                <w:p>
                  <w:pPr>
                    <w:jc w:val="center"/>
                    <w:rPr>
                      <w:szCs w:val="21"/>
                    </w:rPr>
                  </w:pPr>
                  <w:r>
                    <w:rPr>
                      <w:szCs w:val="21"/>
                    </w:rPr>
                    <w:t>470</w:t>
                  </w:r>
                </w:p>
              </w:tc>
              <w:tc>
                <w:tcPr>
                  <w:tcW w:w="316" w:type="pct"/>
                  <w:tcBorders>
                    <w:top w:val="single" w:color="000000" w:sz="8" w:space="0"/>
                  </w:tcBorders>
                  <w:vAlign w:val="center"/>
                </w:tcPr>
                <w:p>
                  <w:pPr>
                    <w:jc w:val="center"/>
                    <w:rPr>
                      <w:szCs w:val="21"/>
                    </w:rPr>
                  </w:pPr>
                  <w:r>
                    <w:rPr>
                      <w:szCs w:val="21"/>
                    </w:rPr>
                    <w:t>0.021</w:t>
                  </w:r>
                </w:p>
              </w:tc>
              <w:tc>
                <w:tcPr>
                  <w:tcW w:w="310" w:type="pct"/>
                  <w:tcBorders>
                    <w:top w:val="single" w:color="000000" w:sz="8" w:space="0"/>
                  </w:tcBorders>
                  <w:vAlign w:val="center"/>
                </w:tcPr>
                <w:p>
                  <w:pPr>
                    <w:jc w:val="center"/>
                    <w:rPr>
                      <w:szCs w:val="21"/>
                    </w:rPr>
                  </w:pPr>
                  <w:r>
                    <w:rPr>
                      <w:szCs w:val="21"/>
                    </w:rPr>
                    <w:t>1.85</w:t>
                  </w:r>
                </w:p>
              </w:tc>
              <w:tc>
                <w:tcPr>
                  <w:tcW w:w="335" w:type="pct"/>
                  <w:tcBorders>
                    <w:top w:val="single" w:color="000000" w:sz="8" w:space="0"/>
                  </w:tcBorders>
                  <w:vAlign w:val="center"/>
                </w:tcPr>
                <w:p>
                  <w:pPr>
                    <w:jc w:val="center"/>
                    <w:rPr>
                      <w:szCs w:val="21"/>
                    </w:rPr>
                  </w:pPr>
                  <w:r>
                    <w:rPr>
                      <w:szCs w:val="21"/>
                    </w:rPr>
                    <w:t>0.84</w:t>
                  </w:r>
                </w:p>
              </w:tc>
              <w:tc>
                <w:tcPr>
                  <w:tcW w:w="407" w:type="pct"/>
                  <w:tcBorders>
                    <w:top w:val="single" w:color="000000" w:sz="8" w:space="0"/>
                  </w:tcBorders>
                  <w:vAlign w:val="center"/>
                </w:tcPr>
                <w:p>
                  <w:pPr>
                    <w:jc w:val="center"/>
                    <w:rPr>
                      <w:szCs w:val="21"/>
                    </w:rPr>
                  </w:pPr>
                  <w:r>
                    <w:rPr>
                      <w:rFonts w:hint="eastAsia"/>
                      <w:szCs w:val="21"/>
                    </w:rPr>
                    <w:t>970</w:t>
                  </w:r>
                </w:p>
              </w:tc>
              <w:tc>
                <w:tcPr>
                  <w:tcW w:w="324" w:type="pct"/>
                  <w:tcBorders>
                    <w:top w:val="single" w:color="000000" w:sz="8" w:space="0"/>
                  </w:tcBorders>
                  <w:vAlign w:val="center"/>
                </w:tcPr>
                <w:p>
                  <w:pPr>
                    <w:pStyle w:val="113"/>
                    <w:kinsoku w:val="0"/>
                    <w:overflowPunct w:val="0"/>
                    <w:autoSpaceDE/>
                    <w:autoSpaceDN/>
                    <w:snapToGrid w:val="0"/>
                    <w:jc w:val="center"/>
                    <w:rPr>
                      <w:sz w:val="21"/>
                      <w:szCs w:val="21"/>
                    </w:rPr>
                  </w:pPr>
                  <w:r>
                    <w:rPr>
                      <w:rFonts w:hint="eastAsia"/>
                      <w:color w:val="000000"/>
                      <w:sz w:val="21"/>
                      <w:szCs w:val="21"/>
                    </w:rPr>
                    <w:t>0.1138</w:t>
                  </w:r>
                </w:p>
              </w:tc>
              <w:tc>
                <w:tcPr>
                  <w:tcW w:w="587" w:type="pct"/>
                  <w:tcBorders>
                    <w:top w:val="single" w:color="000000" w:sz="8" w:space="0"/>
                  </w:tcBorders>
                  <w:vAlign w:val="center"/>
                </w:tcPr>
                <w:p>
                  <w:pPr>
                    <w:jc w:val="center"/>
                    <w:rPr>
                      <w:szCs w:val="21"/>
                    </w:rPr>
                  </w:pPr>
                  <w:r>
                    <w:rPr>
                      <w:rFonts w:hint="eastAsia"/>
                      <w:szCs w:val="21"/>
                    </w:rPr>
                    <w:t>0.45</w:t>
                  </w:r>
                </w:p>
              </w:tc>
              <w:tc>
                <w:tcPr>
                  <w:tcW w:w="604" w:type="pct"/>
                  <w:tcBorders>
                    <w:top w:val="single" w:color="000000" w:sz="8" w:space="0"/>
                  </w:tcBorders>
                  <w:vAlign w:val="center"/>
                </w:tcPr>
                <w:p>
                  <w:pPr>
                    <w:jc w:val="center"/>
                    <w:rPr>
                      <w:szCs w:val="21"/>
                    </w:rPr>
                  </w:pPr>
                  <w:r>
                    <w:rPr>
                      <w:rFonts w:hint="eastAsia"/>
                      <w:szCs w:val="21"/>
                    </w:rPr>
                    <w:t>21.251</w:t>
                  </w:r>
                </w:p>
              </w:tc>
              <w:tc>
                <w:tcPr>
                  <w:tcW w:w="598" w:type="pct"/>
                  <w:tcBorders>
                    <w:top w:val="single" w:color="000000" w:sz="8" w:space="0"/>
                  </w:tcBorders>
                  <w:vAlign w:val="center"/>
                </w:tcPr>
                <w:p>
                  <w:pPr>
                    <w:jc w:val="center"/>
                    <w:rPr>
                      <w:szCs w:val="21"/>
                    </w:rPr>
                  </w:pPr>
                  <w:r>
                    <w:rPr>
                      <w:szCs w:val="21"/>
                    </w:rPr>
                    <w:t>50</w:t>
                  </w:r>
                </w:p>
              </w:tc>
            </w:tr>
          </w:tbl>
          <w:p>
            <w:pPr>
              <w:pStyle w:val="14"/>
              <w:spacing w:line="440" w:lineRule="exact"/>
              <w:ind w:firstLine="480" w:firstLineChars="200"/>
              <w:rPr>
                <w:sz w:val="24"/>
              </w:rPr>
            </w:pPr>
            <w:r>
              <w:rPr>
                <w:kern w:val="0"/>
                <w:sz w:val="24"/>
              </w:rPr>
              <w:t>由上表可知，根据《制定地方大气污染物排放标准的技术方法》(GB/T13201-91)的规定：</w:t>
            </w:r>
          </w:p>
          <w:p>
            <w:pPr>
              <w:adjustRightInd w:val="0"/>
              <w:snapToGrid w:val="0"/>
              <w:spacing w:line="440" w:lineRule="exact"/>
              <w:ind w:firstLine="480" w:firstLineChars="200"/>
              <w:rPr>
                <w:b/>
                <w:sz w:val="24"/>
              </w:rPr>
            </w:pPr>
            <w:r>
              <w:rPr>
                <w:sz w:val="24"/>
              </w:rPr>
              <w:t>综上所述，项目生产过程中产生的废气在采取相应的防治措施后均可以达标排放，对周边环境影响较小。</w:t>
            </w:r>
          </w:p>
          <w:p>
            <w:pPr>
              <w:pStyle w:val="122"/>
              <w:adjustRightInd w:val="0"/>
              <w:snapToGrid w:val="0"/>
              <w:spacing w:line="440" w:lineRule="exact"/>
              <w:ind w:firstLine="482"/>
              <w:rPr>
                <w:rFonts w:eastAsiaTheme="minorEastAsia"/>
                <w:b/>
                <w:sz w:val="24"/>
              </w:rPr>
            </w:pPr>
            <w:r>
              <w:rPr>
                <w:rFonts w:hAnsiTheme="minorEastAsia" w:eastAsiaTheme="minorEastAsia"/>
                <w:b/>
                <w:sz w:val="24"/>
              </w:rPr>
              <w:t>二、废水</w:t>
            </w:r>
          </w:p>
          <w:p>
            <w:pPr>
              <w:adjustRightInd w:val="0"/>
              <w:snapToGrid w:val="0"/>
              <w:spacing w:line="440" w:lineRule="exact"/>
              <w:ind w:firstLine="482" w:firstLineChars="200"/>
              <w:rPr>
                <w:rFonts w:eastAsiaTheme="minorEastAsia"/>
                <w:b/>
                <w:bCs/>
                <w:sz w:val="24"/>
              </w:rPr>
            </w:pPr>
            <w:r>
              <w:rPr>
                <w:rFonts w:eastAsiaTheme="minorEastAsia"/>
                <w:b/>
                <w:bCs/>
                <w:sz w:val="24"/>
              </w:rPr>
              <w:t>1</w:t>
            </w:r>
            <w:r>
              <w:rPr>
                <w:rFonts w:hAnsiTheme="minorEastAsia" w:eastAsiaTheme="minorEastAsia"/>
                <w:b/>
                <w:bCs/>
                <w:sz w:val="24"/>
              </w:rPr>
              <w:t>、地表水环境影响分析</w:t>
            </w:r>
          </w:p>
          <w:p>
            <w:pPr>
              <w:autoSpaceDE w:val="0"/>
              <w:autoSpaceDN w:val="0"/>
              <w:adjustRightInd w:val="0"/>
              <w:snapToGrid w:val="0"/>
              <w:spacing w:line="480" w:lineRule="exact"/>
              <w:ind w:firstLine="480" w:firstLineChars="200"/>
              <w:jc w:val="left"/>
              <w:rPr>
                <w:rFonts w:eastAsiaTheme="minorEastAsia"/>
                <w:sz w:val="24"/>
              </w:rPr>
            </w:pPr>
            <w:r>
              <w:rPr>
                <w:rFonts w:hAnsiTheme="minorEastAsia" w:eastAsiaTheme="minorEastAsia"/>
                <w:sz w:val="24"/>
              </w:rPr>
              <w:t>本项目用水主要为职工生活用水和</w:t>
            </w:r>
            <w:r>
              <w:rPr>
                <w:rFonts w:hint="eastAsia" w:hAnsiTheme="minorEastAsia" w:eastAsiaTheme="minorEastAsia"/>
                <w:sz w:val="24"/>
                <w:lang w:eastAsia="zh-CN"/>
              </w:rPr>
              <w:t>湿</w:t>
            </w:r>
            <w:r>
              <w:rPr>
                <w:rFonts w:hAnsiTheme="minorEastAsia" w:eastAsiaTheme="minorEastAsia"/>
                <w:sz w:val="24"/>
              </w:rPr>
              <w:t>拉工序中的循环用水。</w:t>
            </w:r>
          </w:p>
          <w:p>
            <w:pPr>
              <w:adjustRightInd w:val="0"/>
              <w:snapToGrid w:val="0"/>
              <w:spacing w:line="480" w:lineRule="exact"/>
              <w:ind w:firstLine="480" w:firstLineChars="200"/>
              <w:textAlignment w:val="baseline"/>
              <w:rPr>
                <w:rFonts w:eastAsiaTheme="minorEastAsia"/>
                <w:bCs/>
                <w:sz w:val="24"/>
              </w:rPr>
            </w:pPr>
            <w:r>
              <w:rPr>
                <w:rFonts w:hAnsiTheme="minorEastAsia" w:eastAsiaTheme="minorEastAsia"/>
                <w:sz w:val="24"/>
              </w:rPr>
              <w:t>项目劳动定员</w:t>
            </w:r>
            <w:r>
              <w:rPr>
                <w:rFonts w:eastAsiaTheme="minorEastAsia"/>
                <w:sz w:val="24"/>
              </w:rPr>
              <w:t>4</w:t>
            </w:r>
            <w:r>
              <w:rPr>
                <w:rFonts w:hAnsiTheme="minorEastAsia" w:eastAsiaTheme="minorEastAsia"/>
                <w:sz w:val="24"/>
              </w:rPr>
              <w:t>人，厂区不安排食宿，用水量约</w:t>
            </w:r>
            <w:r>
              <w:rPr>
                <w:rFonts w:eastAsiaTheme="minorEastAsia"/>
                <w:sz w:val="24"/>
              </w:rPr>
              <w:t>30L/</w:t>
            </w:r>
            <w:r>
              <w:rPr>
                <w:rFonts w:hAnsiTheme="minorEastAsia" w:eastAsiaTheme="minorEastAsia"/>
                <w:sz w:val="24"/>
              </w:rPr>
              <w:t>天</w:t>
            </w:r>
            <w:r>
              <w:rPr>
                <w:rFonts w:eastAsiaTheme="minorEastAsia"/>
                <w:sz w:val="24"/>
              </w:rPr>
              <w:t>•</w:t>
            </w:r>
            <w:r>
              <w:rPr>
                <w:rFonts w:hAnsiTheme="minorEastAsia" w:eastAsiaTheme="minorEastAsia"/>
                <w:sz w:val="24"/>
              </w:rPr>
              <w:t>人，新鲜水消耗量约为</w:t>
            </w:r>
            <w:r>
              <w:rPr>
                <w:rFonts w:eastAsiaTheme="minorEastAsia"/>
                <w:sz w:val="24"/>
              </w:rPr>
              <w:t>0.12m</w:t>
            </w:r>
            <w:r>
              <w:rPr>
                <w:rFonts w:eastAsiaTheme="minorEastAsia"/>
                <w:sz w:val="24"/>
                <w:vertAlign w:val="superscript"/>
              </w:rPr>
              <w:t>3</w:t>
            </w:r>
            <w:r>
              <w:rPr>
                <w:rFonts w:eastAsiaTheme="minorEastAsia"/>
                <w:sz w:val="24"/>
              </w:rPr>
              <w:t>/d</w:t>
            </w:r>
            <w:r>
              <w:rPr>
                <w:rFonts w:hAnsiTheme="minorEastAsia" w:eastAsiaTheme="minorEastAsia"/>
                <w:sz w:val="24"/>
              </w:rPr>
              <w:t>（</w:t>
            </w:r>
            <w:r>
              <w:rPr>
                <w:rFonts w:eastAsiaTheme="minorEastAsia"/>
                <w:sz w:val="24"/>
              </w:rPr>
              <w:t>36m</w:t>
            </w:r>
            <w:r>
              <w:rPr>
                <w:rFonts w:eastAsiaTheme="minorEastAsia"/>
                <w:sz w:val="24"/>
                <w:vertAlign w:val="superscript"/>
              </w:rPr>
              <w:t>3</w:t>
            </w:r>
            <w:r>
              <w:rPr>
                <w:rFonts w:eastAsiaTheme="minorEastAsia"/>
                <w:sz w:val="24"/>
              </w:rPr>
              <w:t>/a</w:t>
            </w:r>
            <w:r>
              <w:rPr>
                <w:rFonts w:hAnsiTheme="minorEastAsia" w:eastAsiaTheme="minorEastAsia"/>
                <w:sz w:val="24"/>
              </w:rPr>
              <w:t>），排污系数取</w:t>
            </w:r>
            <w:r>
              <w:rPr>
                <w:rFonts w:eastAsiaTheme="minorEastAsia"/>
                <w:sz w:val="24"/>
              </w:rPr>
              <w:t>0.8</w:t>
            </w:r>
            <w:r>
              <w:rPr>
                <w:rFonts w:hAnsiTheme="minorEastAsia" w:eastAsiaTheme="minorEastAsia"/>
                <w:sz w:val="24"/>
              </w:rPr>
              <w:t>，则生活污水产生量约为</w:t>
            </w:r>
            <w:r>
              <w:rPr>
                <w:rFonts w:eastAsiaTheme="minorEastAsia"/>
                <w:sz w:val="24"/>
              </w:rPr>
              <w:t>0.096m</w:t>
            </w:r>
            <w:r>
              <w:rPr>
                <w:rFonts w:eastAsiaTheme="minorEastAsia"/>
                <w:sz w:val="24"/>
                <w:vertAlign w:val="superscript"/>
              </w:rPr>
              <w:t>3</w:t>
            </w:r>
            <w:r>
              <w:rPr>
                <w:rFonts w:eastAsiaTheme="minorEastAsia"/>
                <w:sz w:val="24"/>
              </w:rPr>
              <w:t>/d</w:t>
            </w:r>
            <w:r>
              <w:rPr>
                <w:rFonts w:hAnsiTheme="minorEastAsia" w:eastAsiaTheme="minorEastAsia"/>
                <w:sz w:val="24"/>
              </w:rPr>
              <w:t>（</w:t>
            </w:r>
            <w:r>
              <w:rPr>
                <w:rFonts w:eastAsiaTheme="minorEastAsia"/>
                <w:sz w:val="24"/>
              </w:rPr>
              <w:t>28.8m</w:t>
            </w:r>
            <w:r>
              <w:rPr>
                <w:rFonts w:eastAsiaTheme="minorEastAsia"/>
                <w:sz w:val="24"/>
                <w:vertAlign w:val="superscript"/>
              </w:rPr>
              <w:t>3</w:t>
            </w:r>
            <w:r>
              <w:rPr>
                <w:rFonts w:eastAsiaTheme="minorEastAsia"/>
                <w:sz w:val="24"/>
              </w:rPr>
              <w:t>/a</w:t>
            </w:r>
            <w:r>
              <w:rPr>
                <w:rFonts w:hAnsiTheme="minorEastAsia" w:eastAsiaTheme="minorEastAsia"/>
                <w:sz w:val="24"/>
              </w:rPr>
              <w:t>），根据同类水质资料可知，废水中各污染物浓度分别为</w:t>
            </w:r>
            <w:r>
              <w:rPr>
                <w:rFonts w:eastAsiaTheme="minorEastAsia"/>
                <w:sz w:val="24"/>
              </w:rPr>
              <w:t>COD300mg/L</w:t>
            </w:r>
            <w:r>
              <w:rPr>
                <w:rFonts w:hAnsiTheme="minorEastAsia" w:eastAsiaTheme="minorEastAsia"/>
                <w:sz w:val="24"/>
              </w:rPr>
              <w:t>、</w:t>
            </w:r>
            <w:r>
              <w:rPr>
                <w:rFonts w:eastAsiaTheme="minorEastAsia"/>
                <w:sz w:val="24"/>
              </w:rPr>
              <w:t>SS</w:t>
            </w:r>
            <w:r>
              <w:rPr>
                <w:rFonts w:hint="eastAsia" w:eastAsiaTheme="minorEastAsia"/>
                <w:sz w:val="24"/>
              </w:rPr>
              <w:t>250</w:t>
            </w:r>
            <w:r>
              <w:rPr>
                <w:rFonts w:eastAsiaTheme="minorEastAsia"/>
                <w:sz w:val="24"/>
              </w:rPr>
              <w:t>mg/L</w:t>
            </w:r>
            <w:r>
              <w:rPr>
                <w:rFonts w:hAnsiTheme="minorEastAsia" w:eastAsiaTheme="minorEastAsia"/>
                <w:sz w:val="24"/>
              </w:rPr>
              <w:t>、</w:t>
            </w:r>
            <w:r>
              <w:rPr>
                <w:rFonts w:eastAsiaTheme="minorEastAsia"/>
                <w:sz w:val="24"/>
              </w:rPr>
              <w:t>NH</w:t>
            </w:r>
            <w:r>
              <w:rPr>
                <w:rFonts w:eastAsiaTheme="minorEastAsia"/>
                <w:sz w:val="24"/>
                <w:vertAlign w:val="subscript"/>
              </w:rPr>
              <w:t>3</w:t>
            </w:r>
            <w:r>
              <w:rPr>
                <w:rFonts w:eastAsiaTheme="minorEastAsia"/>
                <w:sz w:val="24"/>
              </w:rPr>
              <w:t xml:space="preserve">-N </w:t>
            </w:r>
            <w:r>
              <w:rPr>
                <w:rFonts w:hint="eastAsia" w:eastAsiaTheme="minorEastAsia"/>
                <w:sz w:val="24"/>
              </w:rPr>
              <w:t>30</w:t>
            </w:r>
            <w:r>
              <w:rPr>
                <w:rFonts w:eastAsiaTheme="minorEastAsia"/>
                <w:sz w:val="24"/>
              </w:rPr>
              <w:t>mg/L</w:t>
            </w:r>
            <w:r>
              <w:rPr>
                <w:rFonts w:hAnsiTheme="minorEastAsia" w:eastAsiaTheme="minorEastAsia"/>
                <w:sz w:val="24"/>
              </w:rPr>
              <w:t>、</w:t>
            </w:r>
            <w:r>
              <w:rPr>
                <w:rFonts w:eastAsiaTheme="minorEastAsia"/>
                <w:sz w:val="24"/>
              </w:rPr>
              <w:t>TP</w:t>
            </w:r>
            <w:r>
              <w:rPr>
                <w:rFonts w:hint="eastAsia" w:eastAsiaTheme="minorEastAsia"/>
                <w:sz w:val="24"/>
              </w:rPr>
              <w:t>5</w:t>
            </w:r>
            <w:r>
              <w:rPr>
                <w:rFonts w:eastAsiaTheme="minorEastAsia"/>
                <w:sz w:val="24"/>
              </w:rPr>
              <w:t>mg/L</w:t>
            </w:r>
            <w:r>
              <w:rPr>
                <w:rFonts w:hint="eastAsia" w:hAnsiTheme="minorEastAsia" w:eastAsiaTheme="minorEastAsia"/>
                <w:sz w:val="24"/>
                <w:lang w:eastAsia="zh-CN"/>
              </w:rPr>
              <w:t>、</w:t>
            </w:r>
            <w:r>
              <w:rPr>
                <w:rFonts w:hint="eastAsia" w:hAnsiTheme="minorEastAsia" w:eastAsiaTheme="minorEastAsia"/>
                <w:sz w:val="24"/>
              </w:rPr>
              <w:t>TN30</w:t>
            </w:r>
            <w:r>
              <w:rPr>
                <w:rFonts w:eastAsiaTheme="minorEastAsia"/>
                <w:sz w:val="24"/>
              </w:rPr>
              <w:t>mg/L</w:t>
            </w:r>
            <w:r>
              <w:rPr>
                <w:rFonts w:hint="eastAsia" w:eastAsiaTheme="minorEastAsia"/>
                <w:sz w:val="24"/>
                <w:lang w:eastAsia="zh-CN"/>
              </w:rPr>
              <w:t>，</w:t>
            </w:r>
            <w:r>
              <w:rPr>
                <w:rFonts w:hAnsiTheme="minorEastAsia" w:eastAsiaTheme="minorEastAsia"/>
                <w:sz w:val="24"/>
              </w:rPr>
              <w:t>污染物产生量分别为</w:t>
            </w:r>
            <w:r>
              <w:rPr>
                <w:rFonts w:eastAsiaTheme="minorEastAsia"/>
                <w:sz w:val="24"/>
              </w:rPr>
              <w:t>COD</w:t>
            </w:r>
            <w:r>
              <w:rPr>
                <w:rFonts w:hint="eastAsia" w:eastAsiaTheme="minorEastAsia"/>
                <w:sz w:val="24"/>
              </w:rPr>
              <w:t>0.0086</w:t>
            </w:r>
            <w:r>
              <w:rPr>
                <w:rFonts w:eastAsiaTheme="minorEastAsia"/>
                <w:sz w:val="24"/>
              </w:rPr>
              <w:t>t/a</w:t>
            </w:r>
            <w:r>
              <w:rPr>
                <w:rFonts w:hAnsiTheme="minorEastAsia" w:eastAsiaTheme="minorEastAsia"/>
                <w:sz w:val="24"/>
              </w:rPr>
              <w:t>、</w:t>
            </w:r>
            <w:r>
              <w:rPr>
                <w:rFonts w:eastAsiaTheme="minorEastAsia"/>
                <w:sz w:val="24"/>
              </w:rPr>
              <w:t>SS0.00</w:t>
            </w:r>
            <w:r>
              <w:rPr>
                <w:rFonts w:hint="eastAsia" w:eastAsiaTheme="minorEastAsia"/>
                <w:sz w:val="24"/>
              </w:rPr>
              <w:t>72</w:t>
            </w:r>
            <w:r>
              <w:rPr>
                <w:rFonts w:eastAsiaTheme="minorEastAsia"/>
                <w:sz w:val="24"/>
              </w:rPr>
              <w:t>t/a</w:t>
            </w:r>
            <w:r>
              <w:rPr>
                <w:rFonts w:hAnsiTheme="minorEastAsia" w:eastAsiaTheme="minorEastAsia"/>
                <w:sz w:val="24"/>
              </w:rPr>
              <w:t>、</w:t>
            </w:r>
            <w:r>
              <w:rPr>
                <w:rFonts w:eastAsiaTheme="minorEastAsia"/>
                <w:sz w:val="24"/>
              </w:rPr>
              <w:t>NH</w:t>
            </w:r>
            <w:r>
              <w:rPr>
                <w:rFonts w:eastAsiaTheme="minorEastAsia"/>
                <w:sz w:val="24"/>
                <w:vertAlign w:val="subscript"/>
              </w:rPr>
              <w:t>3</w:t>
            </w:r>
            <w:r>
              <w:rPr>
                <w:rFonts w:eastAsiaTheme="minorEastAsia"/>
                <w:sz w:val="24"/>
              </w:rPr>
              <w:t>-N0.000</w:t>
            </w:r>
            <w:r>
              <w:rPr>
                <w:rFonts w:hint="eastAsia" w:eastAsiaTheme="minorEastAsia"/>
                <w:sz w:val="24"/>
              </w:rPr>
              <w:t>9</w:t>
            </w:r>
            <w:r>
              <w:rPr>
                <w:rFonts w:eastAsiaTheme="minorEastAsia"/>
                <w:sz w:val="24"/>
              </w:rPr>
              <w:t>t/a</w:t>
            </w:r>
            <w:r>
              <w:rPr>
                <w:rFonts w:hAnsiTheme="minorEastAsia" w:eastAsiaTheme="minorEastAsia"/>
                <w:sz w:val="24"/>
              </w:rPr>
              <w:t>、</w:t>
            </w:r>
            <w:r>
              <w:rPr>
                <w:rFonts w:eastAsiaTheme="minorEastAsia"/>
                <w:sz w:val="24"/>
              </w:rPr>
              <w:t>TP0.000</w:t>
            </w:r>
            <w:r>
              <w:rPr>
                <w:rFonts w:hint="eastAsia" w:eastAsiaTheme="minorEastAsia"/>
                <w:sz w:val="24"/>
              </w:rPr>
              <w:t>14</w:t>
            </w:r>
            <w:r>
              <w:rPr>
                <w:rFonts w:eastAsiaTheme="minorEastAsia"/>
                <w:sz w:val="24"/>
              </w:rPr>
              <w:t>t/a</w:t>
            </w:r>
            <w:r>
              <w:rPr>
                <w:rFonts w:hint="eastAsia" w:eastAsiaTheme="minorEastAsia"/>
                <w:sz w:val="24"/>
              </w:rPr>
              <w:t>、TN0.0009</w:t>
            </w:r>
            <w:r>
              <w:rPr>
                <w:rFonts w:eastAsiaTheme="minorEastAsia"/>
                <w:sz w:val="24"/>
              </w:rPr>
              <w:t>t/a</w:t>
            </w:r>
            <w:r>
              <w:rPr>
                <w:rFonts w:hAnsiTheme="minorEastAsia" w:eastAsiaTheme="minorEastAsia"/>
                <w:sz w:val="24"/>
              </w:rPr>
              <w:t>。生活</w:t>
            </w:r>
            <w:r>
              <w:rPr>
                <w:rFonts w:hint="eastAsia" w:hAnsiTheme="minorEastAsia" w:eastAsiaTheme="minorEastAsia"/>
                <w:sz w:val="24"/>
                <w:lang w:eastAsia="zh-CN"/>
              </w:rPr>
              <w:t>污</w:t>
            </w:r>
            <w:r>
              <w:rPr>
                <w:rFonts w:hAnsiTheme="minorEastAsia" w:eastAsiaTheme="minorEastAsia"/>
                <w:sz w:val="24"/>
              </w:rPr>
              <w:t>水经厂区现有化粪池（</w:t>
            </w:r>
            <w:r>
              <w:rPr>
                <w:rFonts w:eastAsiaTheme="minorEastAsia"/>
                <w:sz w:val="24"/>
              </w:rPr>
              <w:t>2m</w:t>
            </w:r>
            <w:r>
              <w:rPr>
                <w:rFonts w:eastAsiaTheme="minorEastAsia"/>
                <w:sz w:val="24"/>
                <w:vertAlign w:val="superscript"/>
              </w:rPr>
              <w:t>3</w:t>
            </w:r>
            <w:r>
              <w:rPr>
                <w:rFonts w:hAnsiTheme="minorEastAsia" w:eastAsiaTheme="minorEastAsia"/>
                <w:sz w:val="24"/>
              </w:rPr>
              <w:t>）处理后，定期清。</w:t>
            </w:r>
          </w:p>
          <w:p>
            <w:pPr>
              <w:adjustRightInd w:val="0"/>
              <w:snapToGrid w:val="0"/>
              <w:spacing w:line="480" w:lineRule="exact"/>
              <w:ind w:firstLine="480" w:firstLineChars="200"/>
              <w:rPr>
                <w:rFonts w:hAnsiTheme="minorEastAsia" w:eastAsiaTheme="minorEastAsia"/>
                <w:color w:val="000000"/>
                <w:sz w:val="24"/>
              </w:rPr>
            </w:pPr>
            <w:r>
              <w:rPr>
                <w:rFonts w:hAnsiTheme="minorEastAsia" w:eastAsiaTheme="minorEastAsia"/>
                <w:color w:val="000000"/>
                <w:sz w:val="24"/>
              </w:rPr>
              <w:t>评价要求：</w:t>
            </w:r>
            <w:r>
              <w:rPr>
                <w:rFonts w:hAnsiTheme="minorEastAsia" w:eastAsiaTheme="minorEastAsia"/>
                <w:bCs/>
                <w:iCs/>
                <w:sz w:val="24"/>
              </w:rPr>
              <w:t>化粪池池底、池壁要好水泥硬化、防渗防漏工作</w:t>
            </w:r>
            <w:r>
              <w:rPr>
                <w:rFonts w:hAnsiTheme="minorEastAsia" w:eastAsiaTheme="minorEastAsia"/>
                <w:color w:val="000000"/>
                <w:sz w:val="24"/>
              </w:rPr>
              <w:t>，避免污染地下水。生活污水经以上措施处理后，不会对项目周围地表水环境产生影响。</w:t>
            </w:r>
          </w:p>
          <w:p>
            <w:pPr>
              <w:pStyle w:val="40"/>
              <w:adjustRightInd w:val="0"/>
              <w:snapToGrid w:val="0"/>
              <w:spacing w:line="480" w:lineRule="exact"/>
              <w:ind w:firstLine="480" w:firstLineChars="200"/>
              <w:rPr>
                <w:sz w:val="24"/>
                <w:szCs w:val="24"/>
              </w:rPr>
            </w:pPr>
            <w:r>
              <w:rPr>
                <w:rFonts w:hint="eastAsia"/>
                <w:sz w:val="24"/>
                <w:szCs w:val="24"/>
              </w:rPr>
              <w:t>本项目在水拉工序中，水会清除原材料表面浮尘、杂质等废渣，水中废渣定期清运。水拉工序水循环使用不外排，因此无废水产生。</w:t>
            </w:r>
          </w:p>
          <w:p>
            <w:pPr>
              <w:spacing w:line="440" w:lineRule="exact"/>
              <w:ind w:firstLine="482" w:firstLineChars="200"/>
              <w:rPr>
                <w:rFonts w:eastAsiaTheme="minorEastAsia"/>
                <w:b/>
                <w:bCs/>
                <w:sz w:val="24"/>
              </w:rPr>
            </w:pPr>
            <w:r>
              <w:rPr>
                <w:rFonts w:eastAsiaTheme="minorEastAsia"/>
                <w:b/>
                <w:bCs/>
                <w:sz w:val="24"/>
              </w:rPr>
              <w:t>2</w:t>
            </w:r>
            <w:r>
              <w:rPr>
                <w:rFonts w:hAnsiTheme="minorEastAsia" w:eastAsiaTheme="minorEastAsia"/>
                <w:b/>
                <w:bCs/>
                <w:sz w:val="24"/>
              </w:rPr>
              <w:t>、地下水环境影响分析</w:t>
            </w:r>
          </w:p>
          <w:p>
            <w:pPr>
              <w:adjustRightInd w:val="0"/>
              <w:snapToGrid w:val="0"/>
              <w:spacing w:line="440" w:lineRule="exact"/>
              <w:ind w:firstLine="480" w:firstLineChars="200"/>
              <w:textAlignment w:val="baseline"/>
              <w:rPr>
                <w:rFonts w:eastAsiaTheme="minorEastAsia"/>
                <w:sz w:val="24"/>
              </w:rPr>
            </w:pPr>
            <w:r>
              <w:rPr>
                <w:rFonts w:hAnsiTheme="minorEastAsia" w:eastAsiaTheme="minorEastAsia"/>
                <w:sz w:val="24"/>
              </w:rPr>
              <w:t>本项目属于</w:t>
            </w:r>
            <w:r>
              <w:rPr>
                <w:rFonts w:hint="eastAsia" w:hAnsiTheme="minorEastAsia" w:eastAsiaTheme="minorEastAsia"/>
                <w:sz w:val="24"/>
                <w:lang w:eastAsia="zh-CN"/>
              </w:rPr>
              <w:t>通用设备</w:t>
            </w:r>
            <w:r>
              <w:rPr>
                <w:rFonts w:hAnsiTheme="minorEastAsia" w:eastAsiaTheme="minorEastAsia"/>
                <w:sz w:val="24"/>
              </w:rPr>
              <w:t>制造业项目。根据《环境影响评价技术导则</w:t>
            </w:r>
            <w:r>
              <w:rPr>
                <w:rFonts w:eastAsiaTheme="minorEastAsia"/>
                <w:sz w:val="24"/>
              </w:rPr>
              <w:t>——</w:t>
            </w:r>
            <w:r>
              <w:rPr>
                <w:rFonts w:hAnsiTheme="minorEastAsia" w:eastAsiaTheme="minorEastAsia"/>
                <w:sz w:val="24"/>
              </w:rPr>
              <w:t>地下水环境》（</w:t>
            </w:r>
            <w:r>
              <w:rPr>
                <w:rFonts w:eastAsiaTheme="minorEastAsia"/>
                <w:sz w:val="24"/>
              </w:rPr>
              <w:t>HJ610-2016</w:t>
            </w:r>
            <w:r>
              <w:rPr>
                <w:rFonts w:hAnsiTheme="minorEastAsia" w:eastAsiaTheme="minorEastAsia"/>
                <w:sz w:val="24"/>
              </w:rPr>
              <w:t>），本项目属于</w:t>
            </w:r>
            <w:r>
              <w:rPr>
                <w:rFonts w:eastAsiaTheme="minorEastAsia"/>
                <w:sz w:val="24"/>
              </w:rPr>
              <w:t>IV</w:t>
            </w:r>
            <w:r>
              <w:rPr>
                <w:rFonts w:hAnsiTheme="minorEastAsia" w:eastAsiaTheme="minorEastAsia"/>
                <w:sz w:val="24"/>
              </w:rPr>
              <w:t>类建设项目，因此不再对地下水环境影响进行分析。</w:t>
            </w:r>
          </w:p>
          <w:p>
            <w:pPr>
              <w:adjustRightInd w:val="0"/>
              <w:snapToGrid w:val="0"/>
              <w:spacing w:line="440" w:lineRule="exact"/>
              <w:ind w:firstLine="482" w:firstLineChars="200"/>
              <w:rPr>
                <w:rFonts w:eastAsiaTheme="minorEastAsia"/>
                <w:b/>
                <w:bCs/>
                <w:sz w:val="24"/>
              </w:rPr>
            </w:pPr>
            <w:r>
              <w:rPr>
                <w:rFonts w:hAnsiTheme="minorEastAsia" w:eastAsiaTheme="minorEastAsia"/>
                <w:b/>
                <w:bCs/>
                <w:sz w:val="24"/>
              </w:rPr>
              <w:t>三、</w:t>
            </w:r>
            <w:r>
              <w:rPr>
                <w:rFonts w:hAnsiTheme="minorEastAsia" w:eastAsiaTheme="minorEastAsia"/>
                <w:b/>
                <w:snapToGrid w:val="0"/>
                <w:kern w:val="0"/>
                <w:sz w:val="24"/>
              </w:rPr>
              <w:t>噪声</w:t>
            </w:r>
          </w:p>
          <w:p>
            <w:pPr>
              <w:adjustRightInd w:val="0"/>
              <w:snapToGrid w:val="0"/>
              <w:spacing w:line="440" w:lineRule="exact"/>
              <w:ind w:firstLine="482" w:firstLineChars="200"/>
              <w:rPr>
                <w:rFonts w:eastAsiaTheme="minorEastAsia"/>
                <w:b/>
                <w:bCs/>
                <w:sz w:val="24"/>
              </w:rPr>
            </w:pPr>
            <w:bookmarkStart w:id="3" w:name="OLE_LINK4"/>
            <w:bookmarkStart w:id="4" w:name="OLE_LINK5"/>
            <w:r>
              <w:rPr>
                <w:rFonts w:eastAsiaTheme="minorEastAsia"/>
                <w:b/>
                <w:bCs/>
                <w:sz w:val="24"/>
              </w:rPr>
              <w:t>1</w:t>
            </w:r>
            <w:r>
              <w:rPr>
                <w:rFonts w:hAnsiTheme="minorEastAsia" w:eastAsiaTheme="minorEastAsia"/>
                <w:b/>
                <w:bCs/>
                <w:sz w:val="24"/>
              </w:rPr>
              <w:t>、源强分析</w:t>
            </w:r>
          </w:p>
          <w:p>
            <w:pPr>
              <w:autoSpaceDE w:val="0"/>
              <w:autoSpaceDN w:val="0"/>
              <w:adjustRightInd w:val="0"/>
              <w:spacing w:line="440" w:lineRule="exact"/>
              <w:ind w:right="-23" w:firstLine="480" w:firstLineChars="200"/>
              <w:rPr>
                <w:rFonts w:eastAsiaTheme="minorEastAsia"/>
                <w:kern w:val="0"/>
                <w:sz w:val="24"/>
              </w:rPr>
            </w:pPr>
            <w:r>
              <w:rPr>
                <w:rFonts w:hAnsiTheme="minorEastAsia" w:eastAsiaTheme="minorEastAsia"/>
                <w:sz w:val="24"/>
              </w:rPr>
              <w:t>项目噪声源主要为拔丝机、空压机</w:t>
            </w:r>
            <w:r>
              <w:rPr>
                <w:rFonts w:hint="eastAsia" w:hAnsiTheme="minorEastAsia" w:eastAsiaTheme="minorEastAsia"/>
                <w:sz w:val="24"/>
              </w:rPr>
              <w:t>、制钉机、抛光机</w:t>
            </w:r>
            <w:r>
              <w:rPr>
                <w:rFonts w:hAnsiTheme="minorEastAsia" w:eastAsiaTheme="minorEastAsia"/>
                <w:sz w:val="24"/>
              </w:rPr>
              <w:t>等</w:t>
            </w:r>
            <w:r>
              <w:rPr>
                <w:rFonts w:hAnsiTheme="minorEastAsia" w:eastAsiaTheme="minorEastAsia"/>
                <w:kern w:val="0"/>
                <w:sz w:val="24"/>
              </w:rPr>
              <w:t>运行时产生的机械噪声</w:t>
            </w:r>
            <w:r>
              <w:rPr>
                <w:rFonts w:hAnsiTheme="minorEastAsia" w:eastAsiaTheme="minorEastAsia"/>
                <w:sz w:val="24"/>
              </w:rPr>
              <w:t>，源强在</w:t>
            </w:r>
            <w:r>
              <w:rPr>
                <w:rFonts w:hint="eastAsia" w:eastAsiaTheme="minorEastAsia"/>
                <w:sz w:val="24"/>
              </w:rPr>
              <w:t>70</w:t>
            </w:r>
            <w:r>
              <w:rPr>
                <w:rFonts w:eastAsiaTheme="minorEastAsia"/>
                <w:sz w:val="24"/>
              </w:rPr>
              <w:t>-</w:t>
            </w:r>
            <w:r>
              <w:rPr>
                <w:rFonts w:hint="eastAsia" w:eastAsiaTheme="minorEastAsia"/>
                <w:sz w:val="24"/>
              </w:rPr>
              <w:t>90</w:t>
            </w:r>
            <w:r>
              <w:rPr>
                <w:rFonts w:eastAsiaTheme="minorEastAsia"/>
                <w:sz w:val="24"/>
              </w:rPr>
              <w:t>dB</w:t>
            </w:r>
            <w:r>
              <w:rPr>
                <w:rFonts w:hAnsiTheme="minorEastAsia" w:eastAsiaTheme="minorEastAsia"/>
                <w:sz w:val="24"/>
              </w:rPr>
              <w:t>（</w:t>
            </w:r>
            <w:r>
              <w:rPr>
                <w:rFonts w:eastAsiaTheme="minorEastAsia"/>
                <w:sz w:val="24"/>
              </w:rPr>
              <w:t>A</w:t>
            </w:r>
            <w:r>
              <w:rPr>
                <w:rFonts w:hAnsiTheme="minorEastAsia" w:eastAsiaTheme="minorEastAsia"/>
                <w:sz w:val="24"/>
              </w:rPr>
              <w:t>）之间，</w:t>
            </w:r>
            <w:r>
              <w:rPr>
                <w:rFonts w:hAnsiTheme="minorEastAsia" w:eastAsiaTheme="minorEastAsia"/>
                <w:kern w:val="0"/>
                <w:sz w:val="24"/>
                <w:lang w:val="zh-CN"/>
              </w:rPr>
              <w:t>设备仅在昼间工作。评价建议选用低噪声设备、</w:t>
            </w:r>
            <w:r>
              <w:rPr>
                <w:rFonts w:hAnsiTheme="minorEastAsia" w:eastAsiaTheme="minorEastAsia"/>
                <w:kern w:val="0"/>
                <w:sz w:val="24"/>
              </w:rPr>
              <w:t>厂房</w:t>
            </w:r>
            <w:r>
              <w:rPr>
                <w:rFonts w:hint="eastAsia" w:hAnsiTheme="minorEastAsia" w:eastAsiaTheme="minorEastAsia"/>
                <w:kern w:val="0"/>
                <w:sz w:val="24"/>
              </w:rPr>
              <w:t>密闭</w:t>
            </w:r>
            <w:r>
              <w:rPr>
                <w:rFonts w:hAnsiTheme="minorEastAsia" w:eastAsiaTheme="minorEastAsia"/>
                <w:kern w:val="0"/>
                <w:sz w:val="24"/>
              </w:rPr>
              <w:t>隔音等降噪措施后，</w:t>
            </w:r>
            <w:r>
              <w:rPr>
                <w:rFonts w:hAnsiTheme="minorEastAsia" w:eastAsiaTheme="minorEastAsia"/>
                <w:kern w:val="0"/>
                <w:sz w:val="24"/>
                <w:lang w:val="zh-CN"/>
              </w:rPr>
              <w:t>其噪声源强在</w:t>
            </w:r>
            <w:r>
              <w:rPr>
                <w:rFonts w:hint="eastAsia" w:eastAsiaTheme="minorEastAsia"/>
                <w:kern w:val="0"/>
                <w:sz w:val="24"/>
              </w:rPr>
              <w:t>40-55</w:t>
            </w:r>
            <w:r>
              <w:rPr>
                <w:rFonts w:eastAsiaTheme="minorEastAsia"/>
                <w:kern w:val="0"/>
                <w:sz w:val="24"/>
              </w:rPr>
              <w:t>dB</w:t>
            </w:r>
            <w:r>
              <w:rPr>
                <w:rFonts w:eastAsiaTheme="minorEastAsia"/>
                <w:kern w:val="0"/>
                <w:sz w:val="24"/>
                <w:lang w:val="zh-CN"/>
              </w:rPr>
              <w:t>(A)</w:t>
            </w:r>
            <w:r>
              <w:rPr>
                <w:rFonts w:hAnsiTheme="minorEastAsia" w:eastAsiaTheme="minorEastAsia"/>
                <w:kern w:val="0"/>
                <w:sz w:val="24"/>
                <w:lang w:val="zh-CN"/>
              </w:rPr>
              <w:t>之间</w:t>
            </w:r>
            <w:r>
              <w:rPr>
                <w:rFonts w:hAnsiTheme="minorEastAsia" w:eastAsiaTheme="minorEastAsia"/>
                <w:kern w:val="0"/>
                <w:sz w:val="24"/>
              </w:rPr>
              <w:t>。</w:t>
            </w:r>
          </w:p>
          <w:p>
            <w:pPr>
              <w:spacing w:line="440" w:lineRule="exact"/>
              <w:ind w:firstLine="480" w:firstLineChars="200"/>
              <w:rPr>
                <w:rFonts w:hAnsiTheme="minorEastAsia" w:eastAsiaTheme="minorEastAsia"/>
                <w:sz w:val="24"/>
              </w:rPr>
            </w:pPr>
            <w:r>
              <w:rPr>
                <w:rFonts w:hAnsiTheme="minorEastAsia" w:eastAsiaTheme="minorEastAsia"/>
                <w:sz w:val="24"/>
                <w:lang w:val="zh-CN"/>
              </w:rPr>
              <w:t>项目噪声污染源源强见</w:t>
            </w:r>
            <w:r>
              <w:rPr>
                <w:rFonts w:hint="eastAsia" w:hAnsiTheme="minorEastAsia" w:eastAsiaTheme="minorEastAsia"/>
                <w:sz w:val="24"/>
                <w:lang w:val="zh-CN"/>
              </w:rPr>
              <w:t>下</w:t>
            </w:r>
            <w:r>
              <w:rPr>
                <w:rFonts w:hAnsiTheme="minorEastAsia" w:eastAsiaTheme="minorEastAsia"/>
                <w:sz w:val="24"/>
                <w:lang w:val="zh-CN"/>
              </w:rPr>
              <w:t>表</w:t>
            </w:r>
            <w:r>
              <w:rPr>
                <w:rFonts w:hAnsiTheme="minorEastAsia" w:eastAsiaTheme="minorEastAsia"/>
                <w:sz w:val="24"/>
              </w:rPr>
              <w:t>：</w:t>
            </w:r>
          </w:p>
          <w:p>
            <w:pPr>
              <w:adjustRightInd w:val="0"/>
              <w:snapToGrid w:val="0"/>
              <w:spacing w:line="440" w:lineRule="exact"/>
              <w:ind w:firstLine="480" w:firstLineChars="200"/>
              <w:rPr>
                <w:rFonts w:eastAsia="黑体"/>
                <w:bCs/>
                <w:color w:val="000000"/>
                <w:sz w:val="24"/>
                <w:lang w:val="zh-CN"/>
              </w:rPr>
            </w:pPr>
            <w:r>
              <w:rPr>
                <w:rFonts w:eastAsia="黑体"/>
                <w:bCs/>
                <w:color w:val="000000"/>
                <w:sz w:val="24"/>
                <w:lang w:val="zh-CN"/>
              </w:rPr>
              <w:t>表</w:t>
            </w:r>
            <w:r>
              <w:rPr>
                <w:rFonts w:hint="eastAsia" w:eastAsia="黑体"/>
                <w:bCs/>
                <w:color w:val="000000"/>
                <w:sz w:val="24"/>
              </w:rPr>
              <w:t>36</w:t>
            </w:r>
            <w:r>
              <w:rPr>
                <w:rFonts w:eastAsia="黑体"/>
                <w:bCs/>
                <w:color w:val="000000"/>
                <w:sz w:val="24"/>
                <w:lang w:val="zh-CN"/>
              </w:rPr>
              <w:t>　　　　　　　　　项目噪声污染源源强一览表</w:t>
            </w:r>
          </w:p>
          <w:tbl>
            <w:tblPr>
              <w:tblStyle w:val="24"/>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723"/>
              <w:gridCol w:w="999"/>
              <w:gridCol w:w="1221"/>
              <w:gridCol w:w="2434"/>
              <w:gridCol w:w="1743"/>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bottom w:val="single" w:color="auto" w:sz="8" w:space="0"/>
                  </w:tcBorders>
                  <w:vAlign w:val="center"/>
                </w:tcPr>
                <w:p>
                  <w:pPr>
                    <w:tabs>
                      <w:tab w:val="left" w:pos="8370"/>
                      <w:tab w:val="left" w:pos="8600"/>
                    </w:tabs>
                    <w:jc w:val="center"/>
                    <w:rPr>
                      <w:rFonts w:asciiTheme="minorEastAsia" w:hAnsiTheme="minorEastAsia" w:eastAsiaTheme="minorEastAsia"/>
                      <w:b/>
                      <w:szCs w:val="21"/>
                    </w:rPr>
                  </w:pPr>
                  <w:r>
                    <w:rPr>
                      <w:rFonts w:asciiTheme="minorEastAsia" w:hAnsiTheme="minorEastAsia" w:eastAsiaTheme="minorEastAsia"/>
                      <w:b/>
                      <w:szCs w:val="21"/>
                    </w:rPr>
                    <w:t>序号</w:t>
                  </w:r>
                </w:p>
              </w:tc>
              <w:tc>
                <w:tcPr>
                  <w:tcW w:w="950" w:type="pct"/>
                  <w:tcBorders>
                    <w:bottom w:val="single" w:color="auto" w:sz="8" w:space="0"/>
                  </w:tcBorders>
                  <w:vAlign w:val="center"/>
                </w:tcPr>
                <w:p>
                  <w:pPr>
                    <w:tabs>
                      <w:tab w:val="left" w:pos="8370"/>
                      <w:tab w:val="left" w:pos="8600"/>
                    </w:tabs>
                    <w:jc w:val="center"/>
                    <w:rPr>
                      <w:rFonts w:asciiTheme="minorEastAsia" w:hAnsiTheme="minorEastAsia" w:eastAsiaTheme="minorEastAsia"/>
                      <w:b/>
                      <w:szCs w:val="21"/>
                    </w:rPr>
                  </w:pPr>
                  <w:r>
                    <w:rPr>
                      <w:rFonts w:asciiTheme="minorEastAsia" w:hAnsiTheme="minorEastAsia" w:eastAsiaTheme="minorEastAsia"/>
                      <w:b/>
                      <w:szCs w:val="21"/>
                    </w:rPr>
                    <w:t>设备名称</w:t>
                  </w:r>
                </w:p>
              </w:tc>
              <w:tc>
                <w:tcPr>
                  <w:tcW w:w="551" w:type="pct"/>
                  <w:tcBorders>
                    <w:bottom w:val="single" w:color="auto" w:sz="8" w:space="0"/>
                  </w:tcBorders>
                  <w:vAlign w:val="center"/>
                </w:tcPr>
                <w:p>
                  <w:pPr>
                    <w:tabs>
                      <w:tab w:val="left" w:pos="8370"/>
                      <w:tab w:val="left" w:pos="8600"/>
                    </w:tabs>
                    <w:jc w:val="center"/>
                    <w:rPr>
                      <w:rFonts w:asciiTheme="minorEastAsia" w:hAnsiTheme="minorEastAsia" w:eastAsiaTheme="minorEastAsia"/>
                      <w:b/>
                      <w:szCs w:val="21"/>
                    </w:rPr>
                  </w:pPr>
                  <w:r>
                    <w:rPr>
                      <w:rFonts w:asciiTheme="minorEastAsia" w:hAnsiTheme="minorEastAsia" w:eastAsiaTheme="minorEastAsia"/>
                      <w:b/>
                      <w:szCs w:val="21"/>
                    </w:rPr>
                    <w:t>数量</w:t>
                  </w:r>
                </w:p>
              </w:tc>
              <w:tc>
                <w:tcPr>
                  <w:tcW w:w="673" w:type="pct"/>
                  <w:tcBorders>
                    <w:bottom w:val="single" w:color="auto" w:sz="8" w:space="0"/>
                  </w:tcBorders>
                  <w:vAlign w:val="center"/>
                </w:tcPr>
                <w:p>
                  <w:pPr>
                    <w:tabs>
                      <w:tab w:val="left" w:pos="8370"/>
                      <w:tab w:val="left" w:pos="8600"/>
                    </w:tabs>
                    <w:jc w:val="center"/>
                    <w:rPr>
                      <w:rFonts w:asciiTheme="minorEastAsia" w:hAnsiTheme="minorEastAsia" w:eastAsiaTheme="minorEastAsia"/>
                      <w:b/>
                      <w:szCs w:val="21"/>
                    </w:rPr>
                  </w:pPr>
                  <w:r>
                    <w:rPr>
                      <w:rFonts w:asciiTheme="minorEastAsia" w:hAnsiTheme="minorEastAsia" w:eastAsiaTheme="minorEastAsia"/>
                      <w:b/>
                      <w:szCs w:val="21"/>
                    </w:rPr>
                    <w:t>源强</w:t>
                  </w:r>
                </w:p>
              </w:tc>
              <w:tc>
                <w:tcPr>
                  <w:tcW w:w="1342" w:type="pct"/>
                  <w:tcBorders>
                    <w:bottom w:val="single" w:color="auto" w:sz="8" w:space="0"/>
                  </w:tcBorders>
                  <w:vAlign w:val="center"/>
                </w:tcPr>
                <w:p>
                  <w:pPr>
                    <w:tabs>
                      <w:tab w:val="left" w:pos="8370"/>
                      <w:tab w:val="left" w:pos="8600"/>
                    </w:tabs>
                    <w:jc w:val="center"/>
                    <w:rPr>
                      <w:rFonts w:asciiTheme="minorEastAsia" w:hAnsiTheme="minorEastAsia" w:eastAsiaTheme="minorEastAsia"/>
                      <w:b/>
                      <w:szCs w:val="21"/>
                    </w:rPr>
                  </w:pPr>
                  <w:r>
                    <w:rPr>
                      <w:rFonts w:asciiTheme="minorEastAsia" w:hAnsiTheme="minorEastAsia" w:eastAsiaTheme="minorEastAsia"/>
                      <w:b/>
                      <w:szCs w:val="21"/>
                    </w:rPr>
                    <w:t>治理措施</w:t>
                  </w:r>
                </w:p>
              </w:tc>
              <w:tc>
                <w:tcPr>
                  <w:tcW w:w="961" w:type="pct"/>
                  <w:tcBorders>
                    <w:bottom w:val="single" w:color="auto" w:sz="8" w:space="0"/>
                  </w:tcBorders>
                  <w:vAlign w:val="center"/>
                </w:tcPr>
                <w:p>
                  <w:pPr>
                    <w:tabs>
                      <w:tab w:val="left" w:pos="8370"/>
                      <w:tab w:val="left" w:pos="8600"/>
                    </w:tabs>
                    <w:jc w:val="center"/>
                    <w:rPr>
                      <w:rFonts w:asciiTheme="minorEastAsia" w:hAnsiTheme="minorEastAsia" w:eastAsiaTheme="minorEastAsia"/>
                      <w:b/>
                      <w:szCs w:val="21"/>
                    </w:rPr>
                  </w:pPr>
                  <w:r>
                    <w:rPr>
                      <w:rFonts w:asciiTheme="minorEastAsia" w:hAnsiTheme="minorEastAsia" w:eastAsiaTheme="minorEastAsia"/>
                      <w:b/>
                      <w:szCs w:val="21"/>
                    </w:rPr>
                    <w:t>治理后源强</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op w:val="single" w:color="auto" w:sz="8" w:space="0"/>
                    <w:tl2br w:val="nil"/>
                    <w:tr2bl w:val="nil"/>
                  </w:tcBorders>
                  <w:vAlign w:val="center"/>
                </w:tcPr>
                <w:p>
                  <w:pPr>
                    <w:tabs>
                      <w:tab w:val="left" w:pos="8370"/>
                      <w:tab w:val="left" w:pos="8600"/>
                    </w:tabs>
                    <w:jc w:val="center"/>
                    <w:rPr>
                      <w:rFonts w:eastAsiaTheme="minorEastAsia"/>
                      <w:szCs w:val="21"/>
                    </w:rPr>
                  </w:pPr>
                  <w:r>
                    <w:rPr>
                      <w:rFonts w:eastAsiaTheme="minorEastAsia"/>
                      <w:szCs w:val="21"/>
                    </w:rPr>
                    <w:t>1</w:t>
                  </w:r>
                </w:p>
              </w:tc>
              <w:tc>
                <w:tcPr>
                  <w:tcW w:w="950" w:type="pct"/>
                  <w:tcBorders>
                    <w:top w:val="single" w:color="auto" w:sz="8" w:space="0"/>
                    <w:tl2br w:val="nil"/>
                    <w:tr2bl w:val="nil"/>
                  </w:tcBorders>
                  <w:vAlign w:val="center"/>
                </w:tcPr>
                <w:p>
                  <w:pPr>
                    <w:tabs>
                      <w:tab w:val="left" w:pos="8370"/>
                      <w:tab w:val="left" w:pos="8600"/>
                    </w:tabs>
                    <w:jc w:val="center"/>
                    <w:rPr>
                      <w:rFonts w:eastAsiaTheme="minorEastAsia"/>
                      <w:szCs w:val="21"/>
                    </w:rPr>
                  </w:pPr>
                  <w:r>
                    <w:rPr>
                      <w:rFonts w:hAnsiTheme="minorEastAsia" w:eastAsiaTheme="minorEastAsia"/>
                      <w:szCs w:val="21"/>
                    </w:rPr>
                    <w:t>拔丝机</w:t>
                  </w:r>
                </w:p>
              </w:tc>
              <w:tc>
                <w:tcPr>
                  <w:tcW w:w="551" w:type="pct"/>
                  <w:tcBorders>
                    <w:top w:val="single" w:color="auto" w:sz="8" w:space="0"/>
                    <w:tl2br w:val="nil"/>
                    <w:tr2bl w:val="nil"/>
                  </w:tcBorders>
                  <w:vAlign w:val="center"/>
                </w:tcPr>
                <w:p>
                  <w:pPr>
                    <w:tabs>
                      <w:tab w:val="left" w:pos="8370"/>
                      <w:tab w:val="left" w:pos="8600"/>
                    </w:tabs>
                    <w:jc w:val="center"/>
                    <w:rPr>
                      <w:rFonts w:eastAsiaTheme="minorEastAsia"/>
                      <w:szCs w:val="21"/>
                    </w:rPr>
                  </w:pPr>
                  <w:r>
                    <w:rPr>
                      <w:rFonts w:eastAsiaTheme="minorEastAsia"/>
                      <w:szCs w:val="21"/>
                    </w:rPr>
                    <w:t>5</w:t>
                  </w:r>
                  <w:r>
                    <w:rPr>
                      <w:rFonts w:hAnsiTheme="minorEastAsia" w:eastAsiaTheme="minorEastAsia"/>
                      <w:szCs w:val="21"/>
                    </w:rPr>
                    <w:t>套</w:t>
                  </w:r>
                </w:p>
              </w:tc>
              <w:tc>
                <w:tcPr>
                  <w:tcW w:w="673" w:type="pct"/>
                  <w:tcBorders>
                    <w:top w:val="single" w:color="auto" w:sz="8" w:space="0"/>
                    <w:tl2br w:val="nil"/>
                    <w:tr2bl w:val="nil"/>
                  </w:tcBorders>
                  <w:vAlign w:val="center"/>
                </w:tcPr>
                <w:p>
                  <w:pPr>
                    <w:tabs>
                      <w:tab w:val="left" w:pos="8370"/>
                      <w:tab w:val="left" w:pos="8600"/>
                    </w:tabs>
                    <w:jc w:val="center"/>
                    <w:rPr>
                      <w:rFonts w:eastAsiaTheme="minorEastAsia"/>
                      <w:szCs w:val="21"/>
                    </w:rPr>
                  </w:pPr>
                  <w:r>
                    <w:rPr>
                      <w:rFonts w:eastAsiaTheme="minorEastAsia"/>
                      <w:szCs w:val="21"/>
                    </w:rPr>
                    <w:t>70-75</w:t>
                  </w:r>
                </w:p>
              </w:tc>
              <w:tc>
                <w:tcPr>
                  <w:tcW w:w="1342" w:type="pct"/>
                  <w:vMerge w:val="restart"/>
                  <w:tcBorders>
                    <w:top w:val="single" w:color="auto" w:sz="8" w:space="0"/>
                    <w:tl2br w:val="nil"/>
                    <w:tr2bl w:val="nil"/>
                  </w:tcBorders>
                  <w:vAlign w:val="center"/>
                </w:tcPr>
                <w:p>
                  <w:pPr>
                    <w:tabs>
                      <w:tab w:val="left" w:pos="8370"/>
                      <w:tab w:val="left" w:pos="8600"/>
                    </w:tabs>
                    <w:jc w:val="center"/>
                    <w:rPr>
                      <w:rFonts w:hAnsiTheme="minorEastAsia" w:eastAsiaTheme="minorEastAsia"/>
                      <w:szCs w:val="21"/>
                    </w:rPr>
                  </w:pPr>
                </w:p>
                <w:p>
                  <w:pPr>
                    <w:tabs>
                      <w:tab w:val="left" w:pos="8370"/>
                      <w:tab w:val="left" w:pos="8600"/>
                    </w:tabs>
                    <w:jc w:val="center"/>
                    <w:rPr>
                      <w:rFonts w:eastAsiaTheme="minorEastAsia"/>
                      <w:szCs w:val="21"/>
                    </w:rPr>
                  </w:pPr>
                  <w:r>
                    <w:rPr>
                      <w:rFonts w:hAnsiTheme="minorEastAsia" w:eastAsiaTheme="minorEastAsia"/>
                      <w:szCs w:val="21"/>
                    </w:rPr>
                    <w:t>合理布局、厂房隔音</w:t>
                  </w:r>
                </w:p>
              </w:tc>
              <w:tc>
                <w:tcPr>
                  <w:tcW w:w="961" w:type="pct"/>
                  <w:tcBorders>
                    <w:top w:val="single" w:color="auto" w:sz="8" w:space="0"/>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40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vAlign w:val="center"/>
                </w:tcPr>
                <w:p>
                  <w:pPr>
                    <w:tabs>
                      <w:tab w:val="left" w:pos="8370"/>
                      <w:tab w:val="left" w:pos="8600"/>
                    </w:tabs>
                    <w:jc w:val="center"/>
                    <w:rPr>
                      <w:rFonts w:eastAsiaTheme="minorEastAsia"/>
                      <w:szCs w:val="21"/>
                    </w:rPr>
                  </w:pPr>
                  <w:r>
                    <w:rPr>
                      <w:rFonts w:eastAsiaTheme="minorEastAsia"/>
                      <w:szCs w:val="21"/>
                    </w:rPr>
                    <w:t>2</w:t>
                  </w:r>
                </w:p>
              </w:tc>
              <w:tc>
                <w:tcPr>
                  <w:tcW w:w="950" w:type="pct"/>
                  <w:tcBorders>
                    <w:tl2br w:val="nil"/>
                    <w:tr2bl w:val="nil"/>
                  </w:tcBorders>
                  <w:vAlign w:val="center"/>
                </w:tcPr>
                <w:p>
                  <w:pPr>
                    <w:tabs>
                      <w:tab w:val="left" w:pos="8370"/>
                      <w:tab w:val="left" w:pos="8600"/>
                    </w:tabs>
                    <w:jc w:val="center"/>
                    <w:rPr>
                      <w:rFonts w:eastAsiaTheme="minorEastAsia"/>
                      <w:szCs w:val="21"/>
                    </w:rPr>
                  </w:pPr>
                  <w:r>
                    <w:rPr>
                      <w:rFonts w:hAnsiTheme="minorEastAsia" w:eastAsiaTheme="minorEastAsia"/>
                      <w:szCs w:val="21"/>
                    </w:rPr>
                    <w:t>空压机</w:t>
                  </w:r>
                </w:p>
              </w:tc>
              <w:tc>
                <w:tcPr>
                  <w:tcW w:w="551" w:type="pct"/>
                  <w:tcBorders>
                    <w:tl2br w:val="nil"/>
                    <w:tr2bl w:val="nil"/>
                  </w:tcBorders>
                  <w:vAlign w:val="center"/>
                </w:tcPr>
                <w:p>
                  <w:pPr>
                    <w:tabs>
                      <w:tab w:val="left" w:pos="8370"/>
                      <w:tab w:val="left" w:pos="8600"/>
                    </w:tabs>
                    <w:jc w:val="center"/>
                    <w:rPr>
                      <w:rFonts w:eastAsiaTheme="minorEastAsia"/>
                      <w:szCs w:val="21"/>
                    </w:rPr>
                  </w:pPr>
                  <w:r>
                    <w:rPr>
                      <w:rFonts w:hint="eastAsia" w:hAnsiTheme="minorEastAsia" w:eastAsiaTheme="minorEastAsia"/>
                      <w:szCs w:val="21"/>
                    </w:rPr>
                    <w:t>3</w:t>
                  </w:r>
                  <w:r>
                    <w:rPr>
                      <w:rFonts w:hAnsiTheme="minorEastAsia" w:eastAsiaTheme="minorEastAsia"/>
                      <w:szCs w:val="21"/>
                    </w:rPr>
                    <w:t>个</w:t>
                  </w:r>
                </w:p>
              </w:tc>
              <w:tc>
                <w:tcPr>
                  <w:tcW w:w="673"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70-75</w:t>
                  </w:r>
                </w:p>
              </w:tc>
              <w:tc>
                <w:tcPr>
                  <w:tcW w:w="1342" w:type="pct"/>
                  <w:vMerge w:val="continue"/>
                  <w:tcBorders>
                    <w:tl2br w:val="nil"/>
                    <w:tr2bl w:val="nil"/>
                  </w:tcBorders>
                  <w:vAlign w:val="center"/>
                </w:tcPr>
                <w:p>
                  <w:pPr>
                    <w:tabs>
                      <w:tab w:val="left" w:pos="8370"/>
                      <w:tab w:val="left" w:pos="8600"/>
                    </w:tabs>
                    <w:jc w:val="center"/>
                    <w:rPr>
                      <w:rFonts w:eastAsiaTheme="minorEastAsia"/>
                      <w:kern w:val="0"/>
                      <w:szCs w:val="21"/>
                    </w:rPr>
                  </w:pPr>
                </w:p>
              </w:tc>
              <w:tc>
                <w:tcPr>
                  <w:tcW w:w="961"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40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3</w:t>
                  </w:r>
                </w:p>
              </w:tc>
              <w:tc>
                <w:tcPr>
                  <w:tcW w:w="950" w:type="pct"/>
                  <w:tcBorders>
                    <w:tl2br w:val="nil"/>
                    <w:tr2bl w:val="nil"/>
                  </w:tcBorders>
                  <w:vAlign w:val="center"/>
                </w:tcPr>
                <w:p>
                  <w:pPr>
                    <w:tabs>
                      <w:tab w:val="left" w:pos="8370"/>
                      <w:tab w:val="left" w:pos="8600"/>
                    </w:tabs>
                    <w:jc w:val="center"/>
                    <w:rPr>
                      <w:rFonts w:hAnsiTheme="minorEastAsia" w:eastAsiaTheme="minorEastAsia"/>
                      <w:szCs w:val="21"/>
                    </w:rPr>
                  </w:pPr>
                  <w:r>
                    <w:rPr>
                      <w:rFonts w:hint="eastAsia" w:hAnsiTheme="minorEastAsia" w:eastAsiaTheme="minorEastAsia"/>
                      <w:szCs w:val="21"/>
                    </w:rPr>
                    <w:t>制钉机</w:t>
                  </w:r>
                </w:p>
              </w:tc>
              <w:tc>
                <w:tcPr>
                  <w:tcW w:w="551"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21</w:t>
                  </w:r>
                </w:p>
              </w:tc>
              <w:tc>
                <w:tcPr>
                  <w:tcW w:w="673"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70-90</w:t>
                  </w:r>
                </w:p>
              </w:tc>
              <w:tc>
                <w:tcPr>
                  <w:tcW w:w="1342" w:type="pct"/>
                  <w:vMerge w:val="continue"/>
                  <w:tcBorders>
                    <w:tl2br w:val="nil"/>
                    <w:tr2bl w:val="nil"/>
                  </w:tcBorders>
                  <w:vAlign w:val="center"/>
                </w:tcPr>
                <w:p>
                  <w:pPr>
                    <w:tabs>
                      <w:tab w:val="left" w:pos="8370"/>
                      <w:tab w:val="left" w:pos="8600"/>
                    </w:tabs>
                    <w:jc w:val="center"/>
                    <w:rPr>
                      <w:rFonts w:eastAsiaTheme="minorEastAsia"/>
                      <w:kern w:val="0"/>
                      <w:szCs w:val="21"/>
                    </w:rPr>
                  </w:pPr>
                </w:p>
              </w:tc>
              <w:tc>
                <w:tcPr>
                  <w:tcW w:w="961"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55</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5</w:t>
                  </w:r>
                </w:p>
              </w:tc>
              <w:tc>
                <w:tcPr>
                  <w:tcW w:w="950" w:type="pct"/>
                  <w:tcBorders>
                    <w:tl2br w:val="nil"/>
                    <w:tr2bl w:val="nil"/>
                  </w:tcBorders>
                  <w:vAlign w:val="center"/>
                </w:tcPr>
                <w:p>
                  <w:pPr>
                    <w:tabs>
                      <w:tab w:val="left" w:pos="8370"/>
                      <w:tab w:val="left" w:pos="8600"/>
                    </w:tabs>
                    <w:jc w:val="center"/>
                    <w:rPr>
                      <w:rFonts w:hAnsiTheme="minorEastAsia" w:eastAsiaTheme="minorEastAsia"/>
                      <w:szCs w:val="21"/>
                    </w:rPr>
                  </w:pPr>
                  <w:r>
                    <w:rPr>
                      <w:rFonts w:hint="eastAsia" w:hAnsiTheme="minorEastAsia" w:eastAsiaTheme="minorEastAsia"/>
                      <w:szCs w:val="21"/>
                    </w:rPr>
                    <w:t>抛光机</w:t>
                  </w:r>
                </w:p>
              </w:tc>
              <w:tc>
                <w:tcPr>
                  <w:tcW w:w="551"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2</w:t>
                  </w:r>
                </w:p>
              </w:tc>
              <w:tc>
                <w:tcPr>
                  <w:tcW w:w="673"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70-90</w:t>
                  </w:r>
                </w:p>
              </w:tc>
              <w:tc>
                <w:tcPr>
                  <w:tcW w:w="1342" w:type="pct"/>
                  <w:vMerge w:val="continue"/>
                  <w:tcBorders>
                    <w:tl2br w:val="nil"/>
                    <w:tr2bl w:val="nil"/>
                  </w:tcBorders>
                  <w:vAlign w:val="center"/>
                </w:tcPr>
                <w:p>
                  <w:pPr>
                    <w:tabs>
                      <w:tab w:val="left" w:pos="8370"/>
                      <w:tab w:val="left" w:pos="8600"/>
                    </w:tabs>
                    <w:jc w:val="center"/>
                    <w:rPr>
                      <w:rFonts w:eastAsiaTheme="minorEastAsia"/>
                      <w:kern w:val="0"/>
                      <w:szCs w:val="21"/>
                    </w:rPr>
                  </w:pPr>
                </w:p>
              </w:tc>
              <w:tc>
                <w:tcPr>
                  <w:tcW w:w="961" w:type="pct"/>
                  <w:tcBorders>
                    <w:tl2br w:val="nil"/>
                    <w:tr2bl w:val="nil"/>
                  </w:tcBorders>
                  <w:vAlign w:val="center"/>
                </w:tcPr>
                <w:p>
                  <w:pPr>
                    <w:tabs>
                      <w:tab w:val="left" w:pos="8370"/>
                      <w:tab w:val="left" w:pos="8600"/>
                    </w:tabs>
                    <w:jc w:val="center"/>
                    <w:rPr>
                      <w:rFonts w:eastAsiaTheme="minorEastAsia"/>
                      <w:szCs w:val="21"/>
                    </w:rPr>
                  </w:pPr>
                  <w:r>
                    <w:rPr>
                      <w:rFonts w:hint="eastAsia" w:eastAsiaTheme="minorEastAsia"/>
                      <w:szCs w:val="21"/>
                    </w:rPr>
                    <w:t>55</w:t>
                  </w:r>
                </w:p>
              </w:tc>
            </w:tr>
          </w:tbl>
          <w:p>
            <w:pPr>
              <w:pStyle w:val="90"/>
              <w:snapToGrid w:val="0"/>
              <w:spacing w:line="400" w:lineRule="exact"/>
              <w:ind w:firstLine="480" w:firstLineChars="200"/>
            </w:pPr>
            <w:r>
              <w:rPr>
                <w:rFonts w:ascii="宋体" w:hAnsi="宋体"/>
              </w:rPr>
              <w:t>本次评价分别将厂房内采取降噪措施后的生产设备噪声进行叠加，然后向厂界四周做衰减计算。计算各生产车间的设备合成值。</w:t>
            </w:r>
          </w:p>
          <w:p>
            <w:pPr>
              <w:pStyle w:val="90"/>
              <w:snapToGrid w:val="0"/>
              <w:spacing w:line="400" w:lineRule="exact"/>
              <w:ind w:firstLine="480" w:firstLineChars="200"/>
            </w:pPr>
            <w:r>
              <w:rPr>
                <w:rFonts w:ascii="宋体" w:hAnsi="宋体"/>
              </w:rPr>
              <w:t>合成公式选择为：</w:t>
            </w:r>
          </w:p>
          <w:p>
            <w:r>
              <w:t xml:space="preserve"> </w:t>
            </w:r>
            <w:r>
              <w:rPr>
                <w:rFonts w:hint="eastAsia"/>
              </w:rPr>
              <w:t xml:space="preserve">                          </w:t>
            </w:r>
            <w:r>
              <w:drawing>
                <wp:inline distT="0" distB="0" distL="0" distR="0">
                  <wp:extent cx="1847850" cy="495300"/>
                  <wp:effectExtent l="19050" t="0" r="0" b="0"/>
                  <wp:docPr id="3" name="图片 1" descr="C:\Users\ADMINI~1\AppData\Local\Temp\ksohtml3184\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1\AppData\Local\Temp\ksohtml3184\wps1.png"/>
                          <pic:cNvPicPr>
                            <a:picLocks noChangeAspect="1" noChangeArrowheads="1"/>
                          </pic:cNvPicPr>
                        </pic:nvPicPr>
                        <pic:blipFill>
                          <a:blip r:embed="rId18" cstate="print"/>
                          <a:srcRect/>
                          <a:stretch>
                            <a:fillRect/>
                          </a:stretch>
                        </pic:blipFill>
                        <pic:spPr>
                          <a:xfrm>
                            <a:off x="0" y="0"/>
                            <a:ext cx="1847850" cy="495300"/>
                          </a:xfrm>
                          <a:prstGeom prst="rect">
                            <a:avLst/>
                          </a:prstGeom>
                          <a:noFill/>
                          <a:ln w="9525">
                            <a:noFill/>
                            <a:miter lim="800000"/>
                            <a:headEnd/>
                            <a:tailEnd/>
                          </a:ln>
                        </pic:spPr>
                      </pic:pic>
                    </a:graphicData>
                  </a:graphic>
                </wp:inline>
              </w:drawing>
            </w:r>
          </w:p>
          <w:p>
            <w:pPr>
              <w:adjustRightInd w:val="0"/>
              <w:snapToGrid w:val="0"/>
              <w:spacing w:line="400" w:lineRule="exact"/>
              <w:ind w:firstLine="480" w:firstLineChars="200"/>
              <w:rPr>
                <w:sz w:val="24"/>
              </w:rPr>
            </w:pPr>
            <w:r>
              <w:rPr>
                <w:rFonts w:ascii="宋体" w:hAnsi="宋体"/>
                <w:sz w:val="24"/>
              </w:rPr>
              <w:t>式中：</w:t>
            </w:r>
            <w:r>
              <w:rPr>
                <w:sz w:val="24"/>
              </w:rPr>
              <w:t>Leq——</w:t>
            </w:r>
            <w:r>
              <w:rPr>
                <w:rFonts w:ascii="宋体" w:hAnsi="宋体"/>
                <w:sz w:val="24"/>
              </w:rPr>
              <w:t>等效声级，</w:t>
            </w:r>
            <w:r>
              <w:rPr>
                <w:sz w:val="24"/>
              </w:rPr>
              <w:t>dB(A)</w:t>
            </w:r>
            <w:r>
              <w:rPr>
                <w:rFonts w:ascii="宋体" w:hAnsi="宋体"/>
                <w:sz w:val="24"/>
              </w:rPr>
              <w:t>；</w:t>
            </w:r>
          </w:p>
          <w:p>
            <w:pPr>
              <w:adjustRightInd w:val="0"/>
              <w:snapToGrid w:val="0"/>
              <w:spacing w:line="400" w:lineRule="exact"/>
              <w:ind w:firstLine="480" w:firstLineChars="200"/>
              <w:rPr>
                <w:sz w:val="24"/>
              </w:rPr>
            </w:pPr>
            <w:r>
              <w:rPr>
                <w:sz w:val="24"/>
              </w:rPr>
              <w:t xml:space="preserve">      Li——</w:t>
            </w:r>
            <w:r>
              <w:rPr>
                <w:rFonts w:ascii="宋体" w:hAnsi="宋体"/>
                <w:sz w:val="24"/>
              </w:rPr>
              <w:t>等间隔时间</w:t>
            </w:r>
            <w:r>
              <w:rPr>
                <w:sz w:val="24"/>
              </w:rPr>
              <w:t>t</w:t>
            </w:r>
            <w:r>
              <w:rPr>
                <w:rFonts w:ascii="宋体" w:hAnsi="宋体"/>
                <w:sz w:val="24"/>
              </w:rPr>
              <w:t>时读取的声级值，</w:t>
            </w:r>
            <w:r>
              <w:rPr>
                <w:sz w:val="24"/>
              </w:rPr>
              <w:t>dB(A)</w:t>
            </w:r>
            <w:r>
              <w:rPr>
                <w:rFonts w:ascii="宋体" w:hAnsi="宋体"/>
                <w:sz w:val="24"/>
              </w:rPr>
              <w:t>；</w:t>
            </w:r>
          </w:p>
          <w:p>
            <w:pPr>
              <w:adjustRightInd w:val="0"/>
              <w:snapToGrid w:val="0"/>
              <w:spacing w:line="400" w:lineRule="exact"/>
              <w:ind w:firstLine="480" w:firstLineChars="200"/>
              <w:rPr>
                <w:sz w:val="24"/>
              </w:rPr>
            </w:pPr>
            <w:r>
              <w:rPr>
                <w:sz w:val="24"/>
              </w:rPr>
              <w:t xml:space="preserve">      N——</w:t>
            </w:r>
            <w:r>
              <w:rPr>
                <w:rFonts w:ascii="宋体" w:hAnsi="宋体"/>
                <w:sz w:val="24"/>
              </w:rPr>
              <w:t>读取声级值的总个数。</w:t>
            </w:r>
          </w:p>
          <w:p>
            <w:pPr>
              <w:pStyle w:val="90"/>
              <w:snapToGrid w:val="0"/>
              <w:spacing w:line="400" w:lineRule="exact"/>
              <w:ind w:firstLine="480" w:firstLineChars="200"/>
            </w:pPr>
            <w:r>
              <w:rPr>
                <w:rFonts w:ascii="宋体" w:hAnsi="宋体"/>
              </w:rPr>
              <w:t>评价根据最不利因素进行考虑：即所有高噪声设备同时运行。合成噪声对厂界的影响以噪声源在传播过程中的距离衰减因素为主，对于传播发散、空气吸收、阻挡物的反射因素的影响未做考虑，噪声在传播过程中随距离的衰减按下公式计算：</w:t>
            </w:r>
          </w:p>
          <w:p>
            <w:pPr>
              <w:pStyle w:val="90"/>
              <w:snapToGrid w:val="0"/>
              <w:spacing w:line="400" w:lineRule="exact"/>
              <w:ind w:firstLine="3904" w:firstLineChars="1627"/>
            </w:pPr>
            <w:r>
              <w:t>L</w:t>
            </w:r>
            <w:r>
              <w:rPr>
                <w:vertAlign w:val="subscript"/>
              </w:rPr>
              <w:t>P</w:t>
            </w:r>
            <w:r>
              <w:t>=L</w:t>
            </w:r>
            <w:r>
              <w:rPr>
                <w:rFonts w:ascii="宋体" w:hAnsi="宋体"/>
                <w:b/>
                <w:bCs/>
                <w:vertAlign w:val="subscript"/>
              </w:rPr>
              <w:t>合</w:t>
            </w:r>
            <w:r>
              <w:rPr>
                <w:rFonts w:ascii="宋体" w:hAnsi="宋体"/>
              </w:rPr>
              <w:t>－</w:t>
            </w:r>
            <w:r>
              <w:t>20lgr</w:t>
            </w:r>
          </w:p>
          <w:p>
            <w:pPr>
              <w:adjustRightInd w:val="0"/>
              <w:snapToGrid w:val="0"/>
              <w:spacing w:line="400" w:lineRule="exact"/>
              <w:ind w:firstLine="480" w:firstLineChars="200"/>
              <w:rPr>
                <w:sz w:val="24"/>
              </w:rPr>
            </w:pPr>
            <w:r>
              <w:rPr>
                <w:rFonts w:ascii="宋体" w:hAnsi="宋体"/>
                <w:sz w:val="24"/>
              </w:rPr>
              <w:t>式中：</w:t>
            </w:r>
            <w:r>
              <w:rPr>
                <w:sz w:val="24"/>
              </w:rPr>
              <w:t>L</w:t>
            </w:r>
            <w:r>
              <w:rPr>
                <w:sz w:val="24"/>
                <w:vertAlign w:val="subscript"/>
              </w:rPr>
              <w:t>P</w:t>
            </w:r>
            <w:r>
              <w:rPr>
                <w:sz w:val="24"/>
              </w:rPr>
              <w:t>——</w:t>
            </w:r>
            <w:r>
              <w:rPr>
                <w:rFonts w:ascii="宋体" w:hAnsi="宋体"/>
                <w:sz w:val="24"/>
              </w:rPr>
              <w:t>预测点的噪声值，</w:t>
            </w:r>
            <w:r>
              <w:rPr>
                <w:sz w:val="24"/>
              </w:rPr>
              <w:t>dB(A)</w:t>
            </w:r>
            <w:r>
              <w:rPr>
                <w:rFonts w:ascii="宋体" w:hAnsi="宋体"/>
                <w:sz w:val="24"/>
              </w:rPr>
              <w:t>；</w:t>
            </w:r>
          </w:p>
          <w:p>
            <w:pPr>
              <w:adjustRightInd w:val="0"/>
              <w:snapToGrid w:val="0"/>
              <w:spacing w:line="400" w:lineRule="exact"/>
              <w:ind w:firstLine="480" w:firstLineChars="200"/>
              <w:rPr>
                <w:sz w:val="24"/>
              </w:rPr>
            </w:pPr>
            <w:r>
              <w:rPr>
                <w:sz w:val="24"/>
              </w:rPr>
              <w:t>L</w:t>
            </w:r>
            <w:r>
              <w:rPr>
                <w:rFonts w:ascii="宋体" w:hAnsi="宋体"/>
                <w:sz w:val="24"/>
                <w:vertAlign w:val="subscript"/>
              </w:rPr>
              <w:t>合</w:t>
            </w:r>
            <w:r>
              <w:rPr>
                <w:sz w:val="24"/>
              </w:rPr>
              <w:t>——</w:t>
            </w:r>
            <w:r>
              <w:rPr>
                <w:rFonts w:ascii="宋体" w:hAnsi="宋体"/>
                <w:sz w:val="24"/>
              </w:rPr>
              <w:t>点声源合成噪声值，</w:t>
            </w:r>
            <w:r>
              <w:rPr>
                <w:sz w:val="24"/>
              </w:rPr>
              <w:t>dB(A)</w:t>
            </w:r>
            <w:r>
              <w:rPr>
                <w:rFonts w:ascii="宋体" w:hAnsi="宋体"/>
                <w:sz w:val="24"/>
              </w:rPr>
              <w:t>；</w:t>
            </w:r>
          </w:p>
          <w:p>
            <w:pPr>
              <w:adjustRightInd w:val="0"/>
              <w:snapToGrid w:val="0"/>
              <w:spacing w:line="400" w:lineRule="exact"/>
              <w:ind w:firstLine="480" w:firstLineChars="200"/>
              <w:rPr>
                <w:sz w:val="24"/>
              </w:rPr>
            </w:pPr>
            <w:r>
              <w:rPr>
                <w:sz w:val="24"/>
              </w:rPr>
              <w:t>r——</w:t>
            </w:r>
            <w:r>
              <w:rPr>
                <w:rFonts w:ascii="宋体" w:hAnsi="宋体"/>
                <w:sz w:val="24"/>
              </w:rPr>
              <w:t>衰减距离（</w:t>
            </w:r>
            <w:r>
              <w:rPr>
                <w:sz w:val="24"/>
              </w:rPr>
              <w:t>m</w:t>
            </w:r>
            <w:r>
              <w:rPr>
                <w:rFonts w:ascii="宋体" w:hAnsi="宋体"/>
                <w:sz w:val="24"/>
              </w:rPr>
              <w:t>）。</w:t>
            </w:r>
          </w:p>
          <w:p>
            <w:pPr>
              <w:adjustRightInd w:val="0"/>
              <w:snapToGrid w:val="0"/>
              <w:spacing w:line="400" w:lineRule="exact"/>
              <w:ind w:firstLine="480" w:firstLineChars="200"/>
              <w:rPr>
                <w:rFonts w:ascii="宋体" w:hAnsi="宋体"/>
                <w:color w:val="000000"/>
                <w:sz w:val="24"/>
              </w:rPr>
            </w:pPr>
            <w:r>
              <w:rPr>
                <w:rFonts w:ascii="宋体" w:hAnsi="宋体"/>
                <w:color w:val="000000"/>
                <w:sz w:val="24"/>
              </w:rPr>
              <w:t>根据本工程噪声源的分布，对项目四周厂界噪声排放量进行预测计算，厂界噪声的预测结果见下表：</w:t>
            </w:r>
          </w:p>
          <w:p>
            <w:pPr>
              <w:adjustRightInd w:val="0"/>
              <w:snapToGrid w:val="0"/>
              <w:spacing w:line="400" w:lineRule="exact"/>
              <w:ind w:firstLine="480" w:firstLineChars="200"/>
              <w:rPr>
                <w:rFonts w:eastAsia="黑体"/>
                <w:sz w:val="24"/>
              </w:rPr>
            </w:pPr>
            <w:r>
              <w:rPr>
                <w:rFonts w:ascii="黑体" w:hAnsi="黑体" w:eastAsia="黑体"/>
                <w:sz w:val="24"/>
              </w:rPr>
              <w:t>表</w:t>
            </w:r>
            <w:r>
              <w:rPr>
                <w:rFonts w:hint="eastAsia" w:eastAsia="黑体"/>
                <w:sz w:val="24"/>
              </w:rPr>
              <w:t>37</w:t>
            </w:r>
            <w:r>
              <w:rPr>
                <w:rFonts w:eastAsia="黑体"/>
                <w:sz w:val="24"/>
              </w:rPr>
              <w:t xml:space="preserve">               </w:t>
            </w:r>
            <w:r>
              <w:rPr>
                <w:rFonts w:ascii="黑体" w:hAnsi="黑体" w:eastAsia="黑体"/>
                <w:sz w:val="24"/>
              </w:rPr>
              <w:t>本项目各厂界噪声预测值</w:t>
            </w:r>
            <w:r>
              <w:rPr>
                <w:rFonts w:eastAsia="黑体"/>
                <w:sz w:val="24"/>
              </w:rPr>
              <w:t xml:space="preserve">               </w:t>
            </w:r>
            <w:r>
              <w:rPr>
                <w:rFonts w:ascii="黑体" w:hAnsi="黑体" w:eastAsia="黑体"/>
                <w:sz w:val="24"/>
              </w:rPr>
              <w:t>单位：</w:t>
            </w:r>
            <w:r>
              <w:rPr>
                <w:rFonts w:eastAsia="黑体"/>
                <w:sz w:val="24"/>
              </w:rPr>
              <w:t>dB(A)</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1"/>
              <w:gridCol w:w="1715"/>
              <w:gridCol w:w="1680"/>
              <w:gridCol w:w="1847"/>
              <w:gridCol w:w="1672"/>
              <w:gridCol w:w="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1" w:type="dxa"/>
                  <w:tcBorders>
                    <w:top w:val="single" w:color="auto" w:sz="8" w:space="0"/>
                    <w:left w:val="nil"/>
                    <w:bottom w:val="single" w:color="auto" w:sz="8" w:space="0"/>
                    <w:right w:val="single" w:color="auto" w:sz="4" w:space="0"/>
                  </w:tcBorders>
                  <w:vAlign w:val="center"/>
                </w:tcPr>
                <w:p>
                  <w:pPr>
                    <w:adjustRightInd w:val="0"/>
                    <w:snapToGrid w:val="0"/>
                    <w:jc w:val="center"/>
                    <w:rPr>
                      <w:b/>
                      <w:bCs/>
                      <w:szCs w:val="21"/>
                    </w:rPr>
                  </w:pPr>
                  <w:r>
                    <w:rPr>
                      <w:b/>
                      <w:bCs/>
                    </w:rPr>
                    <w:t>类别</w:t>
                  </w:r>
                </w:p>
              </w:tc>
              <w:tc>
                <w:tcPr>
                  <w:tcW w:w="1715" w:type="dxa"/>
                  <w:tcBorders>
                    <w:top w:val="single" w:color="auto" w:sz="8" w:space="0"/>
                    <w:left w:val="nil"/>
                    <w:bottom w:val="single" w:color="auto" w:sz="8" w:space="0"/>
                    <w:right w:val="single" w:color="auto" w:sz="4" w:space="0"/>
                  </w:tcBorders>
                  <w:vAlign w:val="center"/>
                </w:tcPr>
                <w:p>
                  <w:pPr>
                    <w:adjustRightInd w:val="0"/>
                    <w:snapToGrid w:val="0"/>
                    <w:jc w:val="center"/>
                    <w:rPr>
                      <w:b/>
                      <w:bCs/>
                      <w:szCs w:val="21"/>
                    </w:rPr>
                  </w:pPr>
                  <w:r>
                    <w:rPr>
                      <w:b/>
                      <w:bCs/>
                    </w:rPr>
                    <w:t>东厂界</w:t>
                  </w:r>
                </w:p>
              </w:tc>
              <w:tc>
                <w:tcPr>
                  <w:tcW w:w="1680" w:type="dxa"/>
                  <w:tcBorders>
                    <w:top w:val="single" w:color="auto" w:sz="8" w:space="0"/>
                    <w:left w:val="nil"/>
                    <w:bottom w:val="single" w:color="auto" w:sz="8" w:space="0"/>
                    <w:right w:val="single" w:color="auto" w:sz="4" w:space="0"/>
                  </w:tcBorders>
                  <w:vAlign w:val="center"/>
                </w:tcPr>
                <w:p>
                  <w:pPr>
                    <w:adjustRightInd w:val="0"/>
                    <w:snapToGrid w:val="0"/>
                    <w:jc w:val="center"/>
                    <w:rPr>
                      <w:b/>
                      <w:bCs/>
                      <w:szCs w:val="21"/>
                    </w:rPr>
                  </w:pPr>
                  <w:r>
                    <w:rPr>
                      <w:b/>
                      <w:bCs/>
                    </w:rPr>
                    <w:t>西厂界</w:t>
                  </w:r>
                </w:p>
              </w:tc>
              <w:tc>
                <w:tcPr>
                  <w:tcW w:w="1847" w:type="dxa"/>
                  <w:tcBorders>
                    <w:top w:val="single" w:color="auto" w:sz="8" w:space="0"/>
                    <w:left w:val="nil"/>
                    <w:bottom w:val="single" w:color="auto" w:sz="8" w:space="0"/>
                    <w:right w:val="single" w:color="auto" w:sz="4" w:space="0"/>
                  </w:tcBorders>
                  <w:vAlign w:val="center"/>
                </w:tcPr>
                <w:p>
                  <w:pPr>
                    <w:adjustRightInd w:val="0"/>
                    <w:snapToGrid w:val="0"/>
                    <w:jc w:val="center"/>
                    <w:rPr>
                      <w:b/>
                      <w:bCs/>
                      <w:szCs w:val="21"/>
                    </w:rPr>
                  </w:pPr>
                  <w:r>
                    <w:rPr>
                      <w:b/>
                      <w:bCs/>
                    </w:rPr>
                    <w:t>南厂界</w:t>
                  </w:r>
                </w:p>
              </w:tc>
              <w:tc>
                <w:tcPr>
                  <w:tcW w:w="1679" w:type="dxa"/>
                  <w:gridSpan w:val="2"/>
                  <w:tcBorders>
                    <w:top w:val="single" w:color="auto" w:sz="8" w:space="0"/>
                    <w:left w:val="nil"/>
                    <w:bottom w:val="single" w:color="auto" w:sz="8" w:space="0"/>
                    <w:right w:val="nil"/>
                  </w:tcBorders>
                  <w:vAlign w:val="center"/>
                </w:tcPr>
                <w:p>
                  <w:pPr>
                    <w:adjustRightInd w:val="0"/>
                    <w:snapToGrid w:val="0"/>
                    <w:jc w:val="center"/>
                    <w:rPr>
                      <w:b/>
                      <w:bCs/>
                      <w:szCs w:val="21"/>
                    </w:rPr>
                  </w:pPr>
                  <w:r>
                    <w:rPr>
                      <w:b/>
                      <w:bCs/>
                    </w:rPr>
                    <w:t>北厂界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1" w:type="dxa"/>
                  <w:tcBorders>
                    <w:top w:val="single" w:color="auto" w:sz="8" w:space="0"/>
                    <w:left w:val="nil"/>
                    <w:bottom w:val="single" w:color="auto" w:sz="4" w:space="0"/>
                    <w:right w:val="single" w:color="auto" w:sz="4" w:space="0"/>
                  </w:tcBorders>
                  <w:vAlign w:val="center"/>
                </w:tcPr>
                <w:p>
                  <w:pPr>
                    <w:adjustRightInd w:val="0"/>
                    <w:snapToGrid w:val="0"/>
                    <w:jc w:val="center"/>
                    <w:rPr>
                      <w:szCs w:val="21"/>
                    </w:rPr>
                  </w:pPr>
                  <w:r>
                    <w:t>距离（m</w:t>
                  </w:r>
                  <w:r>
                    <w:rPr>
                      <w:rFonts w:ascii="宋体" w:hAnsi="宋体"/>
                    </w:rPr>
                    <w:t>）</w:t>
                  </w:r>
                </w:p>
              </w:tc>
              <w:tc>
                <w:tcPr>
                  <w:tcW w:w="1715" w:type="dxa"/>
                  <w:tcBorders>
                    <w:top w:val="single" w:color="auto" w:sz="8" w:space="0"/>
                    <w:left w:val="nil"/>
                    <w:bottom w:val="single" w:color="auto" w:sz="4" w:space="0"/>
                    <w:right w:val="single" w:color="auto" w:sz="4" w:space="0"/>
                  </w:tcBorders>
                  <w:vAlign w:val="center"/>
                </w:tcPr>
                <w:p>
                  <w:pPr>
                    <w:adjustRightInd w:val="0"/>
                    <w:snapToGrid w:val="0"/>
                    <w:jc w:val="center"/>
                    <w:rPr>
                      <w:szCs w:val="21"/>
                    </w:rPr>
                  </w:pPr>
                  <w:r>
                    <w:t>1</w:t>
                  </w:r>
                </w:p>
              </w:tc>
              <w:tc>
                <w:tcPr>
                  <w:tcW w:w="1680" w:type="dxa"/>
                  <w:tcBorders>
                    <w:top w:val="single" w:color="auto" w:sz="8" w:space="0"/>
                    <w:left w:val="nil"/>
                    <w:bottom w:val="single" w:color="auto" w:sz="4" w:space="0"/>
                    <w:right w:val="single" w:color="auto" w:sz="4" w:space="0"/>
                  </w:tcBorders>
                  <w:vAlign w:val="center"/>
                </w:tcPr>
                <w:p>
                  <w:pPr>
                    <w:adjustRightInd w:val="0"/>
                    <w:snapToGrid w:val="0"/>
                    <w:jc w:val="center"/>
                    <w:rPr>
                      <w:szCs w:val="21"/>
                    </w:rPr>
                  </w:pPr>
                  <w:r>
                    <w:t>1</w:t>
                  </w:r>
                </w:p>
              </w:tc>
              <w:tc>
                <w:tcPr>
                  <w:tcW w:w="1847" w:type="dxa"/>
                  <w:tcBorders>
                    <w:top w:val="single" w:color="auto" w:sz="8" w:space="0"/>
                    <w:left w:val="nil"/>
                    <w:bottom w:val="single" w:color="auto" w:sz="4" w:space="0"/>
                    <w:right w:val="single" w:color="auto" w:sz="4" w:space="0"/>
                  </w:tcBorders>
                  <w:vAlign w:val="center"/>
                </w:tcPr>
                <w:p>
                  <w:pPr>
                    <w:adjustRightInd w:val="0"/>
                    <w:snapToGrid w:val="0"/>
                    <w:jc w:val="center"/>
                    <w:rPr>
                      <w:szCs w:val="21"/>
                    </w:rPr>
                  </w:pPr>
                  <w:r>
                    <w:t>1</w:t>
                  </w:r>
                </w:p>
              </w:tc>
              <w:tc>
                <w:tcPr>
                  <w:tcW w:w="1679" w:type="dxa"/>
                  <w:gridSpan w:val="2"/>
                  <w:tcBorders>
                    <w:top w:val="single" w:color="auto" w:sz="8" w:space="0"/>
                    <w:left w:val="nil"/>
                    <w:bottom w:val="single" w:color="auto" w:sz="4" w:space="0"/>
                    <w:right w:val="nil"/>
                  </w:tcBorders>
                  <w:vAlign w:val="center"/>
                </w:tcPr>
                <w:p>
                  <w:pPr>
                    <w:adjustRightInd w:val="0"/>
                    <w:snapToGrid w:val="0"/>
                    <w:jc w:val="center"/>
                    <w:rPr>
                      <w:szCs w:val="21"/>
                    </w:rP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1" w:type="dxa"/>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t>贡献值</w:t>
                  </w:r>
                </w:p>
              </w:tc>
              <w:tc>
                <w:tcPr>
                  <w:tcW w:w="1715" w:type="dxa"/>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rFonts w:hint="eastAsia"/>
                    </w:rPr>
                    <w:t>58.1</w:t>
                  </w:r>
                </w:p>
              </w:tc>
              <w:tc>
                <w:tcPr>
                  <w:tcW w:w="1680" w:type="dxa"/>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rFonts w:hint="eastAsia"/>
                    </w:rPr>
                    <w:t>58.1</w:t>
                  </w:r>
                </w:p>
              </w:tc>
              <w:tc>
                <w:tcPr>
                  <w:tcW w:w="1847" w:type="dxa"/>
                  <w:tcBorders>
                    <w:top w:val="single" w:color="auto" w:sz="4" w:space="0"/>
                    <w:left w:val="nil"/>
                    <w:bottom w:val="single" w:color="auto" w:sz="4" w:space="0"/>
                    <w:right w:val="single" w:color="auto" w:sz="4" w:space="0"/>
                  </w:tcBorders>
                  <w:vAlign w:val="center"/>
                </w:tcPr>
                <w:p>
                  <w:pPr>
                    <w:adjustRightInd w:val="0"/>
                    <w:snapToGrid w:val="0"/>
                    <w:jc w:val="center"/>
                    <w:rPr>
                      <w:szCs w:val="21"/>
                    </w:rPr>
                  </w:pPr>
                  <w:r>
                    <w:rPr>
                      <w:rFonts w:hint="eastAsia"/>
                    </w:rPr>
                    <w:t>58.1</w:t>
                  </w:r>
                </w:p>
              </w:tc>
              <w:tc>
                <w:tcPr>
                  <w:tcW w:w="1679" w:type="dxa"/>
                  <w:gridSpan w:val="2"/>
                  <w:tcBorders>
                    <w:top w:val="single" w:color="auto" w:sz="4" w:space="0"/>
                    <w:left w:val="nil"/>
                    <w:bottom w:val="single" w:color="auto" w:sz="4" w:space="0"/>
                    <w:right w:val="nil"/>
                  </w:tcBorders>
                  <w:vAlign w:val="center"/>
                </w:tcPr>
                <w:p>
                  <w:pPr>
                    <w:adjustRightInd w:val="0"/>
                    <w:snapToGrid w:val="0"/>
                    <w:jc w:val="center"/>
                    <w:rPr>
                      <w:szCs w:val="21"/>
                    </w:rPr>
                  </w:pPr>
                  <w:r>
                    <w:rPr>
                      <w:rFonts w:hint="eastAsia"/>
                    </w:rPr>
                    <w:t>58.1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97" w:hRule="atLeast"/>
                <w:jc w:val="center"/>
              </w:trPr>
              <w:tc>
                <w:tcPr>
                  <w:tcW w:w="2151" w:type="dxa"/>
                  <w:tcBorders>
                    <w:top w:val="single" w:color="auto" w:sz="4" w:space="0"/>
                    <w:left w:val="nil"/>
                    <w:bottom w:val="single" w:color="auto" w:sz="8" w:space="0"/>
                    <w:right w:val="single" w:color="auto" w:sz="4" w:space="0"/>
                  </w:tcBorders>
                  <w:vAlign w:val="center"/>
                </w:tcPr>
                <w:p>
                  <w:pPr>
                    <w:adjustRightInd w:val="0"/>
                    <w:snapToGrid w:val="0"/>
                    <w:jc w:val="center"/>
                    <w:rPr>
                      <w:szCs w:val="21"/>
                    </w:rPr>
                  </w:pPr>
                  <w:r>
                    <w:t>标准</w:t>
                  </w:r>
                </w:p>
              </w:tc>
              <w:tc>
                <w:tcPr>
                  <w:tcW w:w="6914" w:type="dxa"/>
                  <w:gridSpan w:val="4"/>
                  <w:tcBorders>
                    <w:top w:val="single" w:color="auto" w:sz="4" w:space="0"/>
                    <w:left w:val="nil"/>
                    <w:bottom w:val="single" w:color="auto" w:sz="8" w:space="0"/>
                    <w:right w:val="nil"/>
                  </w:tcBorders>
                  <w:vAlign w:val="center"/>
                </w:tcPr>
                <w:p>
                  <w:pPr>
                    <w:adjustRightInd w:val="0"/>
                    <w:snapToGrid w:val="0"/>
                    <w:jc w:val="center"/>
                    <w:rPr>
                      <w:szCs w:val="21"/>
                    </w:rPr>
                  </w:pPr>
                  <w:r>
                    <w:t>昼6</w:t>
                  </w:r>
                  <w:r>
                    <w:rPr>
                      <w:rFonts w:hint="eastAsia"/>
                    </w:rPr>
                    <w:t>0</w:t>
                  </w:r>
                  <w:r>
                    <w:t>dB(A)</w:t>
                  </w:r>
                </w:p>
              </w:tc>
            </w:tr>
          </w:tbl>
          <w:p>
            <w:pPr>
              <w:adjustRightInd w:val="0"/>
              <w:snapToGrid w:val="0"/>
              <w:spacing w:line="440" w:lineRule="exact"/>
              <w:ind w:firstLine="480" w:firstLineChars="200"/>
              <w:rPr>
                <w:sz w:val="24"/>
              </w:rPr>
            </w:pPr>
            <w:r>
              <w:rPr>
                <w:rFonts w:ascii="宋体" w:hAnsi="宋体"/>
                <w:sz w:val="24"/>
              </w:rPr>
              <w:t>由上表可知，项目厂界噪声值均能满足《工业企业厂界环境噪声排放标准》（</w:t>
            </w:r>
            <w:r>
              <w:rPr>
                <w:sz w:val="24"/>
              </w:rPr>
              <w:t>GB12348-2008</w:t>
            </w:r>
            <w:r>
              <w:rPr>
                <w:rFonts w:ascii="宋体" w:hAnsi="宋体"/>
                <w:sz w:val="24"/>
              </w:rPr>
              <w:t>）</w:t>
            </w:r>
            <w:r>
              <w:rPr>
                <w:rFonts w:hint="eastAsia"/>
                <w:color w:val="000000"/>
                <w:sz w:val="24"/>
              </w:rPr>
              <w:t>2</w:t>
            </w:r>
            <w:r>
              <w:rPr>
                <w:rFonts w:ascii="宋体" w:hAnsi="宋体"/>
                <w:color w:val="000000"/>
                <w:sz w:val="24"/>
              </w:rPr>
              <w:t>类</w:t>
            </w:r>
            <w:r>
              <w:rPr>
                <w:rFonts w:ascii="宋体" w:hAnsi="宋体"/>
                <w:sz w:val="24"/>
              </w:rPr>
              <w:t>标准昼间</w:t>
            </w:r>
            <w:r>
              <w:rPr>
                <w:sz w:val="24"/>
              </w:rPr>
              <w:t>6</w:t>
            </w:r>
            <w:r>
              <w:rPr>
                <w:rFonts w:hint="eastAsia"/>
                <w:sz w:val="24"/>
              </w:rPr>
              <w:t>0</w:t>
            </w:r>
            <w:r>
              <w:rPr>
                <w:sz w:val="24"/>
              </w:rPr>
              <w:t>dB</w:t>
            </w:r>
            <w:r>
              <w:rPr>
                <w:rFonts w:ascii="宋体" w:hAnsi="宋体"/>
                <w:sz w:val="24"/>
              </w:rPr>
              <w:t>（</w:t>
            </w:r>
            <w:r>
              <w:rPr>
                <w:sz w:val="24"/>
              </w:rPr>
              <w:t>A</w:t>
            </w:r>
            <w:r>
              <w:rPr>
                <w:rFonts w:ascii="宋体" w:hAnsi="宋体"/>
                <w:sz w:val="24"/>
              </w:rPr>
              <w:t>）的要求，因此项目在采取厂房隔声等降噪防治措施噪声不会对周围环境造成影响。</w:t>
            </w:r>
          </w:p>
          <w:p>
            <w:pPr>
              <w:adjustRightInd w:val="0"/>
              <w:snapToGrid w:val="0"/>
              <w:spacing w:line="440" w:lineRule="exact"/>
              <w:ind w:firstLine="482" w:firstLineChars="200"/>
              <w:rPr>
                <w:rFonts w:eastAsiaTheme="minorEastAsia"/>
                <w:b/>
                <w:kern w:val="0"/>
                <w:sz w:val="24"/>
              </w:rPr>
            </w:pPr>
            <w:r>
              <w:rPr>
                <w:rFonts w:hAnsiTheme="minorEastAsia" w:eastAsiaTheme="minorEastAsia"/>
                <w:b/>
                <w:kern w:val="0"/>
                <w:sz w:val="24"/>
              </w:rPr>
              <w:t>四、固废：</w:t>
            </w:r>
          </w:p>
          <w:p>
            <w:pPr>
              <w:adjustRightInd w:val="0"/>
              <w:snapToGrid w:val="0"/>
              <w:spacing w:line="440" w:lineRule="exact"/>
              <w:ind w:firstLine="480" w:firstLineChars="200"/>
              <w:textAlignment w:val="baseline"/>
              <w:rPr>
                <w:bCs/>
                <w:sz w:val="24"/>
              </w:rPr>
            </w:pPr>
            <w:r>
              <w:rPr>
                <w:bCs/>
                <w:sz w:val="24"/>
              </w:rPr>
              <w:t>本项目固废为废铁丝、废铁钉、废</w:t>
            </w:r>
            <w:r>
              <w:rPr>
                <w:rFonts w:hint="eastAsia"/>
                <w:bCs/>
                <w:sz w:val="24"/>
              </w:rPr>
              <w:t>氧化皮</w:t>
            </w:r>
            <w:r>
              <w:rPr>
                <w:bCs/>
                <w:sz w:val="24"/>
              </w:rPr>
              <w:t>、废锯末</w:t>
            </w:r>
            <w:r>
              <w:rPr>
                <w:rFonts w:hint="eastAsia"/>
                <w:bCs/>
                <w:sz w:val="24"/>
              </w:rPr>
              <w:t>、粉尘、废渣</w:t>
            </w:r>
            <w:r>
              <w:rPr>
                <w:bCs/>
                <w:sz w:val="24"/>
              </w:rPr>
              <w:t>等一般固体废物。</w:t>
            </w:r>
          </w:p>
          <w:p>
            <w:pPr>
              <w:adjustRightInd w:val="0"/>
              <w:snapToGrid w:val="0"/>
              <w:spacing w:line="440" w:lineRule="exact"/>
              <w:ind w:firstLine="480" w:firstLineChars="200"/>
              <w:rPr>
                <w:bCs/>
                <w:sz w:val="24"/>
              </w:rPr>
            </w:pPr>
            <w:r>
              <w:rPr>
                <w:rFonts w:hint="eastAsia"/>
                <w:bCs/>
                <w:sz w:val="24"/>
              </w:rPr>
              <w:t>1、废铁丝、废铁钉、废氧化皮</w:t>
            </w:r>
          </w:p>
          <w:p>
            <w:pPr>
              <w:adjustRightInd w:val="0"/>
              <w:snapToGrid w:val="0"/>
              <w:spacing w:line="440" w:lineRule="exact"/>
              <w:ind w:firstLine="480" w:firstLineChars="200"/>
              <w:rPr>
                <w:bCs/>
                <w:sz w:val="24"/>
              </w:rPr>
            </w:pPr>
            <w:r>
              <w:rPr>
                <w:rFonts w:hint="eastAsia"/>
                <w:bCs/>
                <w:sz w:val="24"/>
              </w:rPr>
              <w:t>项目拔丝、制钉过程会产生一定量的废铁丝、废铁钉、废氧化皮，评价建议拔丝机下方安装收集槽用于收集拔丝过程掉落的废氧化皮，</w:t>
            </w:r>
            <w:r>
              <w:rPr>
                <w:bCs/>
                <w:sz w:val="24"/>
              </w:rPr>
              <w:t>根据建设单位提供资料，废铁丝、废</w:t>
            </w:r>
            <w:r>
              <w:rPr>
                <w:rFonts w:hint="eastAsia"/>
                <w:bCs/>
                <w:sz w:val="24"/>
              </w:rPr>
              <w:t>铁钉、废氧化皮</w:t>
            </w:r>
            <w:r>
              <w:rPr>
                <w:bCs/>
                <w:sz w:val="24"/>
              </w:rPr>
              <w:t>产生量</w:t>
            </w:r>
            <w:r>
              <w:rPr>
                <w:rFonts w:hint="eastAsia"/>
                <w:bCs/>
                <w:sz w:val="24"/>
              </w:rPr>
              <w:t>共</w:t>
            </w:r>
            <w:r>
              <w:rPr>
                <w:bCs/>
                <w:sz w:val="24"/>
              </w:rPr>
              <w:t>为</w:t>
            </w:r>
            <w:r>
              <w:rPr>
                <w:rFonts w:hint="eastAsia"/>
                <w:bCs/>
                <w:sz w:val="24"/>
              </w:rPr>
              <w:t>10</w:t>
            </w:r>
            <w:r>
              <w:rPr>
                <w:bCs/>
                <w:sz w:val="24"/>
              </w:rPr>
              <w:t>t/a，经收集后出售</w:t>
            </w:r>
            <w:r>
              <w:rPr>
                <w:rFonts w:hint="eastAsia"/>
                <w:bCs/>
                <w:sz w:val="24"/>
              </w:rPr>
              <w:t>。</w:t>
            </w:r>
          </w:p>
          <w:p>
            <w:pPr>
              <w:pStyle w:val="2"/>
              <w:spacing w:after="0"/>
              <w:ind w:left="0" w:leftChars="0" w:firstLine="0" w:firstLineChars="0"/>
              <w:rPr>
                <w:bCs/>
                <w:sz w:val="24"/>
              </w:rPr>
            </w:pPr>
            <w:r>
              <w:rPr>
                <w:rFonts w:hint="eastAsia"/>
                <w:bCs/>
                <w:sz w:val="24"/>
              </w:rPr>
              <w:t xml:space="preserve">    2、废锯末</w:t>
            </w:r>
          </w:p>
          <w:p>
            <w:pPr>
              <w:pStyle w:val="90"/>
              <w:snapToGrid w:val="0"/>
              <w:spacing w:line="440" w:lineRule="exact"/>
              <w:ind w:firstLine="480" w:firstLineChars="200"/>
              <w:rPr>
                <w:rFonts w:cs="Times New Roman"/>
                <w:bCs/>
              </w:rPr>
            </w:pPr>
            <w:r>
              <w:rPr>
                <w:rFonts w:cs="Times New Roman"/>
              </w:rPr>
              <w:t>项目抛光</w:t>
            </w:r>
            <w:r>
              <w:rPr>
                <w:rFonts w:hint="eastAsia" w:cs="Times New Roman"/>
              </w:rPr>
              <w:t>过程中</w:t>
            </w:r>
            <w:r>
              <w:rPr>
                <w:rFonts w:cs="Times New Roman"/>
              </w:rPr>
              <w:t>产生</w:t>
            </w:r>
            <w:r>
              <w:rPr>
                <w:rFonts w:hint="eastAsia" w:cs="Times New Roman"/>
              </w:rPr>
              <w:t>的废锯末中含有少量铁屑</w:t>
            </w:r>
            <w:r>
              <w:rPr>
                <w:rFonts w:cs="Times New Roman"/>
              </w:rPr>
              <w:t>，</w:t>
            </w:r>
            <w:r>
              <w:rPr>
                <w:rFonts w:cs="Times New Roman"/>
                <w:bCs/>
              </w:rPr>
              <w:t>根据建设单位提供资料</w:t>
            </w:r>
            <w:r>
              <w:rPr>
                <w:rFonts w:cs="Times New Roman"/>
              </w:rPr>
              <w:t>，</w:t>
            </w:r>
            <w:r>
              <w:rPr>
                <w:rFonts w:cs="Times New Roman"/>
                <w:bCs/>
              </w:rPr>
              <w:t>废锯末产生量为</w:t>
            </w:r>
            <w:r>
              <w:rPr>
                <w:rFonts w:hint="eastAsia" w:cs="Times New Roman"/>
                <w:bCs/>
              </w:rPr>
              <w:t>2.4</w:t>
            </w:r>
            <w:r>
              <w:rPr>
                <w:rFonts w:cs="Times New Roman"/>
                <w:bCs/>
              </w:rPr>
              <w:t>t/a。</w:t>
            </w:r>
            <w:r>
              <w:rPr>
                <w:rFonts w:hint="eastAsia" w:cs="Times New Roman"/>
                <w:bCs/>
              </w:rPr>
              <w:t>收集的废锯末存储于铁桶内，铁桶暂存于一般固废暂存场所</w:t>
            </w:r>
            <w:r>
              <w:rPr>
                <w:rFonts w:cs="Times New Roman"/>
                <w:bCs/>
              </w:rPr>
              <w:t>（建筑面积</w:t>
            </w:r>
            <w:r>
              <w:rPr>
                <w:rFonts w:hint="eastAsia" w:cs="Times New Roman"/>
                <w:bCs/>
              </w:rPr>
              <w:t>20</w:t>
            </w:r>
            <w:r>
              <w:rPr>
                <w:rFonts w:cs="Times New Roman"/>
                <w:bCs/>
              </w:rPr>
              <w:t>m</w:t>
            </w:r>
            <w:r>
              <w:rPr>
                <w:rFonts w:cs="Times New Roman"/>
                <w:bCs/>
                <w:vertAlign w:val="superscript"/>
              </w:rPr>
              <w:t>2</w:t>
            </w:r>
            <w:r>
              <w:rPr>
                <w:rFonts w:cs="Times New Roman"/>
                <w:bCs/>
              </w:rPr>
              <w:t>）</w:t>
            </w:r>
            <w:r>
              <w:rPr>
                <w:rFonts w:hint="eastAsia" w:cs="Times New Roman"/>
                <w:bCs/>
              </w:rPr>
              <w:t>，铁桶容积为100L，共3个铁桶，废锯末平均每月出售一次，铁桶容积能够满足项目所需。</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bCs/>
                <w:sz w:val="24"/>
              </w:rPr>
            </w:pPr>
            <w:r>
              <w:rPr>
                <w:rFonts w:hint="eastAsia"/>
                <w:bCs/>
                <w:sz w:val="24"/>
              </w:rPr>
              <w:t>3、</w:t>
            </w:r>
            <w:r>
              <w:rPr>
                <w:bCs/>
                <w:sz w:val="24"/>
              </w:rPr>
              <w:t>袋式除尘器收集的粉尘</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bCs/>
                <w:sz w:val="24"/>
              </w:rPr>
            </w:pPr>
            <w:r>
              <w:rPr>
                <w:bCs/>
                <w:sz w:val="24"/>
              </w:rPr>
              <w:t>根据工程分析，袋式除尘器收集的粉尘量为</w:t>
            </w:r>
            <w:r>
              <w:rPr>
                <w:rFonts w:hint="eastAsia"/>
                <w:bCs/>
                <w:sz w:val="24"/>
              </w:rPr>
              <w:t>3.3969</w:t>
            </w:r>
            <w:r>
              <w:rPr>
                <w:bCs/>
                <w:sz w:val="24"/>
              </w:rPr>
              <w:t>t/a，收集后定期出售。</w:t>
            </w:r>
          </w:p>
          <w:p>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ind w:firstLine="480" w:firstLineChars="200"/>
              <w:textAlignment w:val="auto"/>
              <w:rPr>
                <w:bCs/>
                <w:sz w:val="24"/>
              </w:rPr>
            </w:pPr>
            <w:r>
              <w:rPr>
                <w:rFonts w:hint="eastAsia"/>
                <w:bCs/>
                <w:sz w:val="24"/>
              </w:rPr>
              <w:t>废渣</w:t>
            </w:r>
          </w:p>
          <w:p>
            <w:pPr>
              <w:pStyle w:val="2"/>
              <w:keepNext w:val="0"/>
              <w:keepLines w:val="0"/>
              <w:pageBreakBefore w:val="0"/>
              <w:widowControl w:val="0"/>
              <w:kinsoku/>
              <w:wordWrap/>
              <w:overflowPunct/>
              <w:topLinePunct w:val="0"/>
              <w:autoSpaceDE/>
              <w:autoSpaceDN/>
              <w:bidi w:val="0"/>
              <w:spacing w:line="440" w:lineRule="exact"/>
              <w:ind w:left="0" w:leftChars="0" w:firstLine="0" w:firstLineChars="0"/>
              <w:textAlignment w:val="auto"/>
            </w:pPr>
            <w:r>
              <w:rPr>
                <w:rFonts w:hint="eastAsia"/>
              </w:rPr>
              <w:t xml:space="preserve">   </w:t>
            </w:r>
            <w:r>
              <w:rPr>
                <w:rFonts w:hint="eastAsia"/>
                <w:sz w:val="24"/>
              </w:rPr>
              <w:t>本项目在湿拉工序中，水会清除原材料表面浮尘、杂质等废渣，产生量约为0.2t/a，水中废渣定期清运。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bCs/>
                <w:sz w:val="24"/>
              </w:rPr>
            </w:pPr>
            <w:r>
              <w:rPr>
                <w:rFonts w:hint="eastAsia"/>
                <w:bCs/>
                <w:sz w:val="24"/>
              </w:rPr>
              <w:t>本</w:t>
            </w:r>
            <w:r>
              <w:rPr>
                <w:bCs/>
                <w:sz w:val="24"/>
              </w:rPr>
              <w:t>项目</w:t>
            </w:r>
            <w:r>
              <w:rPr>
                <w:rFonts w:hint="eastAsia"/>
                <w:bCs/>
                <w:sz w:val="24"/>
              </w:rPr>
              <w:t>拟建设一般固废暂存场所</w:t>
            </w:r>
            <w:r>
              <w:rPr>
                <w:bCs/>
                <w:sz w:val="24"/>
              </w:rPr>
              <w:t>（建筑面积</w:t>
            </w:r>
            <w:r>
              <w:rPr>
                <w:rFonts w:hint="eastAsia"/>
                <w:bCs/>
                <w:sz w:val="24"/>
              </w:rPr>
              <w:t>2</w:t>
            </w:r>
            <w:r>
              <w:rPr>
                <w:bCs/>
                <w:sz w:val="24"/>
              </w:rPr>
              <w:t>0m</w:t>
            </w:r>
            <w:r>
              <w:rPr>
                <w:bCs/>
                <w:sz w:val="24"/>
                <w:vertAlign w:val="superscript"/>
              </w:rPr>
              <w:t>2</w:t>
            </w:r>
            <w:r>
              <w:rPr>
                <w:bCs/>
                <w:sz w:val="24"/>
              </w:rPr>
              <w:t>）</w:t>
            </w:r>
            <w:r>
              <w:rPr>
                <w:rFonts w:hint="eastAsia"/>
                <w:bCs/>
                <w:sz w:val="24"/>
              </w:rPr>
              <w:t>，其</w:t>
            </w:r>
            <w:r>
              <w:rPr>
                <w:bCs/>
                <w:sz w:val="24"/>
              </w:rPr>
              <w:t>按照《一般工业固体废物贮存、处置场污染控制标准》（GB18599-2001）及其</w:t>
            </w:r>
            <w:r>
              <w:rPr>
                <w:rFonts w:hint="eastAsia"/>
                <w:bCs/>
                <w:sz w:val="24"/>
              </w:rPr>
              <w:t>2013</w:t>
            </w:r>
            <w:r>
              <w:rPr>
                <w:bCs/>
                <w:sz w:val="24"/>
              </w:rPr>
              <w:t>修改单的相关要求</w:t>
            </w:r>
            <w:r>
              <w:rPr>
                <w:rFonts w:hint="eastAsia"/>
                <w:bCs/>
                <w:sz w:val="24"/>
              </w:rPr>
              <w:t>进行建设</w:t>
            </w:r>
            <w:r>
              <w:rPr>
                <w:bCs/>
                <w:sz w:val="24"/>
              </w:rPr>
              <w:t>：储存区的地面防渗，储存区防风、防晒、防雨等。</w:t>
            </w:r>
          </w:p>
          <w:p>
            <w:pPr>
              <w:adjustRightInd w:val="0"/>
              <w:snapToGrid w:val="0"/>
              <w:spacing w:line="440" w:lineRule="exact"/>
              <w:ind w:firstLine="468" w:firstLineChars="195"/>
              <w:rPr>
                <w:rFonts w:hAnsiTheme="minorEastAsia" w:eastAsiaTheme="minorEastAsia"/>
                <w:b/>
                <w:sz w:val="24"/>
              </w:rPr>
            </w:pPr>
            <w:r>
              <w:rPr>
                <w:sz w:val="24"/>
              </w:rPr>
              <w:t>综上所述，本项目对各种固体废弃物通过分类、妥善处理后，可以综合利用，不会产生二次污染。</w:t>
            </w:r>
          </w:p>
          <w:p>
            <w:pPr>
              <w:adjustRightInd w:val="0"/>
              <w:snapToGrid w:val="0"/>
              <w:spacing w:line="440" w:lineRule="exact"/>
              <w:ind w:firstLine="482" w:firstLineChars="200"/>
              <w:rPr>
                <w:rFonts w:eastAsiaTheme="minorEastAsia"/>
                <w:sz w:val="24"/>
              </w:rPr>
            </w:pPr>
            <w:r>
              <w:rPr>
                <w:rFonts w:hAnsiTheme="minorEastAsia" w:eastAsiaTheme="minorEastAsia"/>
                <w:b/>
                <w:sz w:val="24"/>
              </w:rPr>
              <w:t>五、土壤</w:t>
            </w:r>
          </w:p>
          <w:p>
            <w:pPr>
              <w:adjustRightInd w:val="0"/>
              <w:snapToGrid w:val="0"/>
              <w:spacing w:line="440" w:lineRule="exact"/>
              <w:ind w:firstLine="512" w:firstLineChars="200"/>
              <w:rPr>
                <w:spacing w:val="8"/>
                <w:sz w:val="24"/>
              </w:rPr>
            </w:pPr>
            <w:r>
              <w:rPr>
                <w:rFonts w:ascii="宋体" w:hAnsi="宋体"/>
                <w:spacing w:val="8"/>
                <w:sz w:val="24"/>
              </w:rPr>
              <w:t>根据《环境影响评价技术导则</w:t>
            </w:r>
            <w:r>
              <w:rPr>
                <w:spacing w:val="8"/>
                <w:sz w:val="24"/>
              </w:rPr>
              <w:t xml:space="preserve"> </w:t>
            </w:r>
            <w:r>
              <w:rPr>
                <w:rFonts w:ascii="宋体" w:hAnsi="宋体"/>
                <w:spacing w:val="8"/>
                <w:sz w:val="24"/>
              </w:rPr>
              <w:t>土壤环境（试行）》（</w:t>
            </w:r>
            <w:r>
              <w:rPr>
                <w:spacing w:val="8"/>
                <w:sz w:val="24"/>
              </w:rPr>
              <w:t>HJ964-2018</w:t>
            </w:r>
            <w:r>
              <w:rPr>
                <w:rFonts w:ascii="宋体" w:hAnsi="宋体"/>
                <w:spacing w:val="8"/>
                <w:sz w:val="24"/>
              </w:rPr>
              <w:t>）评价等级划分依据，建设项目评价等级由项目类别、占地规模和环境敏感程度共同判定：</w:t>
            </w:r>
          </w:p>
          <w:p>
            <w:pPr>
              <w:adjustRightInd w:val="0"/>
              <w:snapToGrid w:val="0"/>
              <w:spacing w:line="440" w:lineRule="exact"/>
              <w:ind w:firstLine="512" w:firstLineChars="200"/>
              <w:rPr>
                <w:spacing w:val="8"/>
                <w:sz w:val="24"/>
              </w:rPr>
            </w:pPr>
            <w:r>
              <w:rPr>
                <w:rFonts w:ascii="宋体" w:hAnsi="宋体"/>
                <w:spacing w:val="8"/>
                <w:sz w:val="24"/>
              </w:rPr>
              <w:t>（</w:t>
            </w:r>
            <w:r>
              <w:rPr>
                <w:spacing w:val="8"/>
                <w:sz w:val="24"/>
              </w:rPr>
              <w:t>1</w:t>
            </w:r>
            <w:r>
              <w:rPr>
                <w:rFonts w:ascii="宋体" w:hAnsi="宋体"/>
                <w:spacing w:val="8"/>
                <w:sz w:val="24"/>
              </w:rPr>
              <w:t>）土壤环境影响评价项目类别：根据《环境影响评价技术导则 土壤环境（试行）》（</w:t>
            </w:r>
            <w:r>
              <w:rPr>
                <w:spacing w:val="8"/>
                <w:sz w:val="24"/>
              </w:rPr>
              <w:t>HJ964-2018</w:t>
            </w:r>
            <w:r>
              <w:rPr>
                <w:rFonts w:ascii="宋体" w:hAnsi="宋体"/>
                <w:spacing w:val="8"/>
                <w:sz w:val="24"/>
              </w:rPr>
              <w:t>）附录</w:t>
            </w:r>
            <w:r>
              <w:rPr>
                <w:spacing w:val="8"/>
                <w:sz w:val="24"/>
              </w:rPr>
              <w:t>A“</w:t>
            </w:r>
            <w:r>
              <w:rPr>
                <w:rFonts w:ascii="宋体" w:hAnsi="宋体"/>
                <w:spacing w:val="8"/>
                <w:sz w:val="24"/>
              </w:rPr>
              <w:t>土壤环境影响评价项目类别</w:t>
            </w:r>
            <w:r>
              <w:rPr>
                <w:spacing w:val="8"/>
                <w:sz w:val="24"/>
              </w:rPr>
              <w:t>”</w:t>
            </w:r>
            <w:r>
              <w:rPr>
                <w:rFonts w:ascii="宋体" w:hAnsi="宋体"/>
                <w:spacing w:val="8"/>
                <w:sz w:val="24"/>
              </w:rPr>
              <w:t>，本项目行业类别属于</w:t>
            </w:r>
            <w:r>
              <w:rPr>
                <w:rFonts w:hint="eastAsia"/>
                <w:bCs/>
                <w:sz w:val="24"/>
              </w:rPr>
              <w:t>紧固件制造</w:t>
            </w:r>
            <w:r>
              <w:rPr>
                <w:rFonts w:ascii="宋体" w:hAnsi="宋体"/>
                <w:spacing w:val="8"/>
                <w:sz w:val="24"/>
              </w:rPr>
              <w:t>，因此本项目土壤环境影响评价项目类别为</w:t>
            </w:r>
            <w:r>
              <w:rPr>
                <w:spacing w:val="8"/>
                <w:sz w:val="24"/>
              </w:rPr>
              <w:t>Ⅲ</w:t>
            </w:r>
            <w:r>
              <w:rPr>
                <w:rFonts w:ascii="宋体" w:hAnsi="宋体"/>
                <w:spacing w:val="8"/>
                <w:sz w:val="24"/>
              </w:rPr>
              <w:t>类。</w:t>
            </w:r>
          </w:p>
          <w:p>
            <w:pPr>
              <w:adjustRightInd w:val="0"/>
              <w:snapToGrid w:val="0"/>
              <w:spacing w:line="440" w:lineRule="exact"/>
              <w:ind w:firstLine="512" w:firstLineChars="200"/>
              <w:rPr>
                <w:spacing w:val="8"/>
                <w:sz w:val="24"/>
              </w:rPr>
            </w:pPr>
            <w:r>
              <w:rPr>
                <w:rFonts w:ascii="宋体" w:hAnsi="宋体"/>
                <w:spacing w:val="8"/>
                <w:sz w:val="24"/>
              </w:rPr>
              <w:t>（</w:t>
            </w:r>
            <w:r>
              <w:rPr>
                <w:spacing w:val="8"/>
                <w:sz w:val="24"/>
              </w:rPr>
              <w:t>2</w:t>
            </w:r>
            <w:r>
              <w:rPr>
                <w:rFonts w:ascii="宋体" w:hAnsi="宋体"/>
                <w:spacing w:val="8"/>
                <w:sz w:val="24"/>
              </w:rPr>
              <w:t>）建设项目土壤环境影响类型：根据《环境影响评价技术导则 土壤环境（试行）》（</w:t>
            </w:r>
            <w:r>
              <w:rPr>
                <w:spacing w:val="8"/>
                <w:sz w:val="24"/>
              </w:rPr>
              <w:t>HJ964-2018</w:t>
            </w:r>
            <w:r>
              <w:rPr>
                <w:rFonts w:ascii="宋体" w:hAnsi="宋体"/>
                <w:spacing w:val="8"/>
                <w:sz w:val="24"/>
              </w:rPr>
              <w:t>），建设项目土壤环境影响类型为污染影响性。</w:t>
            </w:r>
          </w:p>
          <w:p>
            <w:pPr>
              <w:adjustRightInd w:val="0"/>
              <w:snapToGrid w:val="0"/>
              <w:spacing w:line="440" w:lineRule="exact"/>
              <w:ind w:firstLine="512" w:firstLineChars="200"/>
              <w:rPr>
                <w:spacing w:val="8"/>
                <w:sz w:val="24"/>
              </w:rPr>
            </w:pPr>
            <w:r>
              <w:rPr>
                <w:rFonts w:ascii="宋体" w:hAnsi="宋体"/>
                <w:spacing w:val="8"/>
                <w:sz w:val="24"/>
              </w:rPr>
              <w:t>（</w:t>
            </w:r>
            <w:r>
              <w:rPr>
                <w:spacing w:val="8"/>
                <w:sz w:val="24"/>
              </w:rPr>
              <w:t>3</w:t>
            </w:r>
            <w:r>
              <w:rPr>
                <w:rFonts w:ascii="宋体" w:hAnsi="宋体"/>
                <w:spacing w:val="8"/>
                <w:sz w:val="24"/>
              </w:rPr>
              <w:t>）建设项目占地规模分为大型（</w:t>
            </w:r>
            <w:r>
              <w:rPr>
                <w:spacing w:val="8"/>
                <w:sz w:val="24"/>
              </w:rPr>
              <w:t>≥50hm</w:t>
            </w:r>
            <w:r>
              <w:rPr>
                <w:spacing w:val="8"/>
                <w:sz w:val="24"/>
                <w:vertAlign w:val="superscript"/>
              </w:rPr>
              <w:t>2</w:t>
            </w:r>
            <w:r>
              <w:rPr>
                <w:rFonts w:ascii="宋体" w:hAnsi="宋体"/>
                <w:spacing w:val="8"/>
                <w:sz w:val="24"/>
              </w:rPr>
              <w:t>）、中型（</w:t>
            </w:r>
            <w:r>
              <w:rPr>
                <w:spacing w:val="8"/>
                <w:sz w:val="24"/>
              </w:rPr>
              <w:t>5~50hm</w:t>
            </w:r>
            <w:r>
              <w:rPr>
                <w:spacing w:val="8"/>
                <w:sz w:val="24"/>
                <w:vertAlign w:val="superscript"/>
              </w:rPr>
              <w:t>2</w:t>
            </w:r>
            <w:r>
              <w:rPr>
                <w:rFonts w:ascii="宋体" w:hAnsi="宋体"/>
                <w:spacing w:val="8"/>
                <w:sz w:val="24"/>
              </w:rPr>
              <w:t>）、小型（</w:t>
            </w:r>
            <w:r>
              <w:rPr>
                <w:spacing w:val="8"/>
                <w:sz w:val="24"/>
              </w:rPr>
              <w:t>≤5hm</w:t>
            </w:r>
            <w:r>
              <w:rPr>
                <w:spacing w:val="8"/>
                <w:sz w:val="24"/>
                <w:vertAlign w:val="superscript"/>
              </w:rPr>
              <w:t>2</w:t>
            </w:r>
            <w:r>
              <w:rPr>
                <w:rFonts w:ascii="宋体" w:hAnsi="宋体"/>
                <w:spacing w:val="8"/>
                <w:sz w:val="24"/>
              </w:rPr>
              <w:t>），本项目占地面积为</w:t>
            </w:r>
            <w:r>
              <w:rPr>
                <w:rFonts w:hint="eastAsia"/>
                <w:spacing w:val="8"/>
                <w:sz w:val="24"/>
              </w:rPr>
              <w:t>1019</w:t>
            </w:r>
            <w:r>
              <w:rPr>
                <w:spacing w:val="8"/>
                <w:sz w:val="24"/>
              </w:rPr>
              <w:t>m</w:t>
            </w:r>
            <w:r>
              <w:rPr>
                <w:spacing w:val="8"/>
                <w:sz w:val="24"/>
                <w:vertAlign w:val="superscript"/>
              </w:rPr>
              <w:t>2</w:t>
            </w:r>
            <w:r>
              <w:rPr>
                <w:rFonts w:ascii="宋体" w:hAnsi="宋体"/>
                <w:spacing w:val="8"/>
                <w:sz w:val="24"/>
              </w:rPr>
              <w:t>，根据项目占地规模分类，本项目属于小型规模。</w:t>
            </w:r>
          </w:p>
          <w:p>
            <w:pPr>
              <w:adjustRightInd w:val="0"/>
              <w:snapToGrid w:val="0"/>
              <w:spacing w:line="440" w:lineRule="exact"/>
              <w:ind w:firstLine="512" w:firstLineChars="200"/>
              <w:rPr>
                <w:rFonts w:ascii="黑体" w:hAnsi="黑体"/>
                <w:bCs/>
                <w:spacing w:val="-6"/>
                <w:sz w:val="24"/>
              </w:rPr>
            </w:pPr>
            <w:r>
              <w:rPr>
                <w:rFonts w:ascii="宋体" w:hAnsi="宋体"/>
                <w:spacing w:val="8"/>
                <w:sz w:val="24"/>
              </w:rPr>
              <w:t>（</w:t>
            </w:r>
            <w:r>
              <w:rPr>
                <w:spacing w:val="8"/>
                <w:sz w:val="24"/>
              </w:rPr>
              <w:t>4</w:t>
            </w:r>
            <w:r>
              <w:rPr>
                <w:rFonts w:ascii="宋体" w:hAnsi="宋体"/>
                <w:spacing w:val="8"/>
                <w:sz w:val="24"/>
              </w:rPr>
              <w:t>）建设项目所在地周边的土壤环境敏感程度：经调查，本项目位于河南省新乡市新乡到合河乡贾桥村工业区西头路北</w:t>
            </w:r>
            <w:r>
              <w:rPr>
                <w:rFonts w:hint="eastAsia" w:ascii="宋体" w:hAnsi="宋体"/>
                <w:spacing w:val="8"/>
                <w:sz w:val="24"/>
              </w:rPr>
              <w:t>4号</w:t>
            </w:r>
            <w:r>
              <w:rPr>
                <w:rFonts w:ascii="宋体" w:hAnsi="宋体"/>
                <w:color w:val="000000"/>
                <w:sz w:val="24"/>
              </w:rPr>
              <w:t>，</w:t>
            </w:r>
            <w:r>
              <w:rPr>
                <w:rFonts w:ascii="宋体" w:hAnsi="宋体"/>
                <w:spacing w:val="8"/>
                <w:sz w:val="24"/>
              </w:rPr>
              <w:t>周围均为其他工业企业，本项目周边</w:t>
            </w:r>
            <w:r>
              <w:rPr>
                <w:spacing w:val="8"/>
                <w:sz w:val="24"/>
              </w:rPr>
              <w:t>50</w:t>
            </w:r>
            <w:r>
              <w:rPr>
                <w:rFonts w:ascii="宋体" w:hAnsi="宋体"/>
                <w:spacing w:val="8"/>
                <w:sz w:val="24"/>
              </w:rPr>
              <w:t>米内不存在耕地、园地、牧草地、饮用水水源地，不存在居民区、学校、医院、疗养院、养老院等土壤环境敏感目标。因此本项目敏感程度为不敏感。具体指标判断见下表</w:t>
            </w:r>
            <w:r>
              <w:rPr>
                <w:rFonts w:hint="eastAsia" w:ascii="宋体" w:hAnsi="宋体"/>
                <w:spacing w:val="8"/>
                <w:sz w:val="24"/>
              </w:rPr>
              <w:t>：</w:t>
            </w:r>
          </w:p>
          <w:p>
            <w:pPr>
              <w:spacing w:line="440" w:lineRule="exact"/>
              <w:ind w:firstLine="456" w:firstLineChars="200"/>
              <w:rPr>
                <w:rFonts w:eastAsia="黑体"/>
                <w:bCs/>
                <w:spacing w:val="-6"/>
                <w:sz w:val="24"/>
              </w:rPr>
            </w:pPr>
            <w:r>
              <w:rPr>
                <w:rFonts w:eastAsia="黑体"/>
                <w:bCs/>
                <w:spacing w:val="-6"/>
                <w:sz w:val="24"/>
              </w:rPr>
              <w:t>表</w:t>
            </w:r>
            <w:r>
              <w:rPr>
                <w:rFonts w:hint="eastAsia" w:eastAsia="黑体"/>
                <w:bCs/>
                <w:spacing w:val="-6"/>
                <w:sz w:val="24"/>
              </w:rPr>
              <w:t>38</w:t>
            </w:r>
            <w:r>
              <w:rPr>
                <w:rFonts w:eastAsia="黑体"/>
                <w:bCs/>
                <w:spacing w:val="-6"/>
                <w:sz w:val="24"/>
              </w:rPr>
              <w:t xml:space="preserve">                 污染影响型评价工作等级划分表</w:t>
            </w:r>
          </w:p>
          <w:tbl>
            <w:tblPr>
              <w:tblStyle w:val="24"/>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11"/>
              <w:gridCol w:w="867"/>
              <w:gridCol w:w="743"/>
              <w:gridCol w:w="874"/>
              <w:gridCol w:w="743"/>
              <w:gridCol w:w="743"/>
              <w:gridCol w:w="749"/>
              <w:gridCol w:w="743"/>
              <w:gridCol w:w="870"/>
              <w:gridCol w:w="824"/>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54" w:type="pct"/>
                  <w:vMerge w:val="restar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szCs w:val="21"/>
                    </w:rPr>
                    <w:pict>
                      <v:line id="_x0000_s2314" o:spid="_x0000_s2314" o:spt="20" style="position:absolute;left:0pt;margin-left:30.7pt;margin-top:0.1pt;height:93.45pt;width:59.7pt;z-index:251659264;mso-width-relative:page;mso-height-relative:page;" coordsize="21600,21600">
                        <v:path arrowok="t"/>
                        <v:fill focussize="0,0"/>
                        <v:stroke/>
                        <v:imagedata o:title=""/>
                        <o:lock v:ext="edit"/>
                      </v:line>
                    </w:pict>
                  </w:r>
                  <w:r>
                    <w:rPr>
                      <w:rFonts w:hint="eastAsia" w:asciiTheme="minorEastAsia" w:hAnsiTheme="minorEastAsia" w:eastAsiaTheme="minorEastAsia"/>
                      <w:b/>
                      <w:bCs/>
                      <w:szCs w:val="21"/>
                    </w:rPr>
                    <w:t xml:space="preserve">       </w:t>
                  </w:r>
                  <w:r>
                    <w:rPr>
                      <w:rFonts w:asciiTheme="minorEastAsia" w:hAnsiTheme="minorEastAsia" w:eastAsiaTheme="minorEastAsia"/>
                      <w:b/>
                      <w:bCs/>
                      <w:szCs w:val="21"/>
                    </w:rPr>
                    <w:t>占</w:t>
                  </w:r>
                  <w:r>
                    <w:rPr>
                      <w:rFonts w:hint="eastAsia" w:asciiTheme="minorEastAsia" w:hAnsiTheme="minorEastAsia" w:eastAsiaTheme="minorEastAsia"/>
                      <w:b/>
                      <w:bCs/>
                      <w:szCs w:val="21"/>
                    </w:rPr>
                    <w:t xml:space="preserve"> </w:t>
                  </w:r>
                  <w:r>
                    <w:rPr>
                      <w:rFonts w:asciiTheme="minorEastAsia" w:hAnsiTheme="minorEastAsia" w:eastAsiaTheme="minorEastAsia"/>
                      <w:b/>
                      <w:bCs/>
                      <w:szCs w:val="21"/>
                    </w:rPr>
                    <w:t>地</w:t>
                  </w:r>
                </w:p>
                <w:p>
                  <w:pPr>
                    <w:pStyle w:val="40"/>
                    <w:ind w:left="105" w:leftChars="50" w:firstLine="1054" w:firstLineChars="500"/>
                    <w:rPr>
                      <w:b/>
                    </w:rPr>
                  </w:pPr>
                  <w:r>
                    <w:rPr>
                      <w:rFonts w:asciiTheme="minorEastAsia" w:hAnsiTheme="minorEastAsia" w:eastAsiaTheme="minorEastAsia"/>
                      <w:b/>
                      <w:bCs/>
                      <w:szCs w:val="21"/>
                    </w:rPr>
                    <w:pict>
                      <v:line id="_x0000_s2315" o:spid="_x0000_s2315" o:spt="20" style="position:absolute;left:0pt;margin-left:-4.55pt;margin-top:28.6pt;height:49.15pt;width:94.15pt;z-index:251660288;mso-width-relative:page;mso-height-relative:page;" coordsize="21600,21600">
                        <v:path arrowok="t"/>
                        <v:fill focussize="0,0"/>
                        <v:stroke/>
                        <v:imagedata o:title=""/>
                        <o:lock v:ext="edit"/>
                      </v:line>
                    </w:pict>
                  </w:r>
                  <w:r>
                    <w:rPr>
                      <w:rFonts w:hint="eastAsia"/>
                      <w:b/>
                    </w:rPr>
                    <w:t>规模</w:t>
                  </w:r>
                  <w:r>
                    <w:rPr>
                      <w:rFonts w:hint="eastAsia" w:asciiTheme="minorEastAsia" w:hAnsiTheme="minorEastAsia" w:eastAsiaTheme="minorEastAsia"/>
                      <w:b/>
                      <w:bCs/>
                      <w:szCs w:val="21"/>
                    </w:rPr>
                    <w:t>评价工</w:t>
                  </w:r>
                </w:p>
                <w:p>
                  <w:pPr>
                    <w:jc w:val="center"/>
                    <w:rPr>
                      <w:rFonts w:asciiTheme="minorEastAsia" w:hAnsiTheme="minorEastAsia" w:eastAsiaTheme="minorEastAsia"/>
                      <w:szCs w:val="21"/>
                    </w:rPr>
                  </w:pPr>
                  <w:r>
                    <w:rPr>
                      <w:rFonts w:hint="eastAsia" w:asciiTheme="minorEastAsia" w:hAnsiTheme="minorEastAsia" w:eastAsiaTheme="minorEastAsia"/>
                      <w:b/>
                      <w:bCs/>
                      <w:szCs w:val="21"/>
                    </w:rPr>
                    <w:t xml:space="preserve">工等级         </w:t>
                  </w:r>
                </w:p>
                <w:p>
                  <w:pPr>
                    <w:rPr>
                      <w:rFonts w:asciiTheme="minorEastAsia" w:hAnsiTheme="minorEastAsia" w:eastAsiaTheme="minorEastAsia"/>
                      <w:b/>
                      <w:szCs w:val="21"/>
                    </w:rPr>
                  </w:pPr>
                  <w:r>
                    <w:rPr>
                      <w:rFonts w:asciiTheme="minorEastAsia" w:hAnsiTheme="minorEastAsia" w:eastAsiaTheme="minorEastAsia"/>
                      <w:b/>
                      <w:szCs w:val="21"/>
                    </w:rPr>
                    <w:t>敏感</w:t>
                  </w:r>
                </w:p>
                <w:p>
                  <w:pPr>
                    <w:ind w:firstLine="413" w:firstLineChars="196"/>
                    <w:rPr>
                      <w:rFonts w:asciiTheme="minorEastAsia" w:hAnsiTheme="minorEastAsia" w:eastAsiaTheme="minorEastAsia"/>
                      <w:szCs w:val="21"/>
                    </w:rPr>
                  </w:pPr>
                  <w:r>
                    <w:rPr>
                      <w:rFonts w:asciiTheme="minorEastAsia" w:hAnsiTheme="minorEastAsia" w:eastAsiaTheme="minorEastAsia"/>
                      <w:b/>
                      <w:bCs/>
                      <w:szCs w:val="21"/>
                    </w:rPr>
                    <w:t>程度</w:t>
                  </w:r>
                </w:p>
              </w:tc>
              <w:tc>
                <w:tcPr>
                  <w:tcW w:w="1370" w:type="pct"/>
                  <w:gridSpan w:val="3"/>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Ⅰ类</w:t>
                  </w:r>
                </w:p>
              </w:tc>
              <w:tc>
                <w:tcPr>
                  <w:tcW w:w="1233" w:type="pct"/>
                  <w:gridSpan w:val="3"/>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Ⅱ类</w:t>
                  </w:r>
                </w:p>
              </w:tc>
              <w:tc>
                <w:tcPr>
                  <w:tcW w:w="1340" w:type="pct"/>
                  <w:gridSpan w:val="3"/>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Ⅲ类</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54" w:type="pct"/>
                  <w:vMerge w:val="continue"/>
                  <w:tcBorders>
                    <w:tl2br w:val="nil"/>
                    <w:tr2bl w:val="nil"/>
                  </w:tcBorders>
                  <w:vAlign w:val="center"/>
                </w:tcPr>
                <w:p>
                  <w:pPr>
                    <w:jc w:val="center"/>
                    <w:rPr>
                      <w:rFonts w:asciiTheme="minorEastAsia" w:hAnsiTheme="minorEastAsia" w:eastAsiaTheme="minorEastAsia"/>
                      <w:szCs w:val="21"/>
                    </w:rPr>
                  </w:pPr>
                </w:p>
              </w:tc>
              <w:tc>
                <w:tcPr>
                  <w:tcW w:w="478"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大</w:t>
                  </w:r>
                </w:p>
              </w:tc>
              <w:tc>
                <w:tcPr>
                  <w:tcW w:w="410"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中</w:t>
                  </w:r>
                </w:p>
              </w:tc>
              <w:tc>
                <w:tcPr>
                  <w:tcW w:w="481"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小</w:t>
                  </w:r>
                </w:p>
              </w:tc>
              <w:tc>
                <w:tcPr>
                  <w:tcW w:w="410"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大</w:t>
                  </w:r>
                </w:p>
              </w:tc>
              <w:tc>
                <w:tcPr>
                  <w:tcW w:w="410"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中</w:t>
                  </w:r>
                </w:p>
              </w:tc>
              <w:tc>
                <w:tcPr>
                  <w:tcW w:w="411"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小</w:t>
                  </w:r>
                </w:p>
              </w:tc>
              <w:tc>
                <w:tcPr>
                  <w:tcW w:w="410"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大</w:t>
                  </w:r>
                </w:p>
              </w:tc>
              <w:tc>
                <w:tcPr>
                  <w:tcW w:w="479"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中</w:t>
                  </w:r>
                </w:p>
              </w:tc>
              <w:tc>
                <w:tcPr>
                  <w:tcW w:w="451"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小</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054"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敏感</w:t>
                  </w:r>
                </w:p>
              </w:tc>
              <w:tc>
                <w:tcPr>
                  <w:tcW w:w="478"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一级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一级</w:t>
                  </w:r>
                </w:p>
              </w:tc>
              <w:tc>
                <w:tcPr>
                  <w:tcW w:w="48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一级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1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79"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5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054"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较敏感</w:t>
                  </w:r>
                </w:p>
              </w:tc>
              <w:tc>
                <w:tcPr>
                  <w:tcW w:w="478"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一级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一级</w:t>
                  </w:r>
                </w:p>
              </w:tc>
              <w:tc>
                <w:tcPr>
                  <w:tcW w:w="481" w:type="pct"/>
                  <w:tcBorders>
                    <w:tl2br w:val="nil"/>
                    <w:tr2bl w:val="nil"/>
                  </w:tcBorders>
                  <w:vAlign w:val="center"/>
                </w:tcPr>
                <w:p>
                  <w:pPr>
                    <w:jc w:val="center"/>
                    <w:rPr>
                      <w:szCs w:val="21"/>
                    </w:rPr>
                  </w:pPr>
                  <w:r>
                    <w:rPr>
                      <w:rFonts w:hAnsi="宋体"/>
                      <w:szCs w:val="21"/>
                    </w:rPr>
                    <w:t>二级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1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79"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5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054" w:type="pct"/>
                  <w:tcBorders>
                    <w:tl2br w:val="nil"/>
                    <w:tr2bl w:val="nil"/>
                  </w:tcBorders>
                  <w:vAlign w:val="center"/>
                </w:tcPr>
                <w:p>
                  <w:pPr>
                    <w:jc w:val="center"/>
                    <w:rPr>
                      <w:rFonts w:asciiTheme="minorEastAsia" w:hAnsiTheme="minorEastAsia" w:eastAsiaTheme="minorEastAsia"/>
                      <w:b/>
                      <w:bCs/>
                      <w:szCs w:val="21"/>
                    </w:rPr>
                  </w:pPr>
                  <w:r>
                    <w:rPr>
                      <w:rFonts w:asciiTheme="minorEastAsia" w:hAnsiTheme="minorEastAsia" w:eastAsiaTheme="minorEastAsia"/>
                      <w:b/>
                      <w:bCs/>
                      <w:szCs w:val="21"/>
                    </w:rPr>
                    <w:t>不敏感</w:t>
                  </w:r>
                </w:p>
              </w:tc>
              <w:tc>
                <w:tcPr>
                  <w:tcW w:w="478"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一级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8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二级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1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10"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三级</w:t>
                  </w:r>
                </w:p>
              </w:tc>
              <w:tc>
                <w:tcPr>
                  <w:tcW w:w="479"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w:t>
                  </w:r>
                </w:p>
              </w:tc>
              <w:tc>
                <w:tcPr>
                  <w:tcW w:w="451" w:type="pct"/>
                  <w:tcBorders>
                    <w:tl2br w:val="nil"/>
                    <w:tr2bl w:val="nil"/>
                  </w:tcBorders>
                  <w:vAlign w:val="center"/>
                </w:tcPr>
                <w:p>
                  <w:pPr>
                    <w:jc w:val="center"/>
                    <w:rPr>
                      <w:rFonts w:asciiTheme="minorEastAsia" w:hAnsiTheme="minorEastAsia" w:eastAsiaTheme="minorEastAsia"/>
                      <w:szCs w:val="21"/>
                    </w:rPr>
                  </w:pPr>
                  <w:r>
                    <w:rPr>
                      <w:rFonts w:asciiTheme="minorEastAsia" w:hAnsiTheme="minorEastAsia" w:eastAsiaTheme="minorEastAsia"/>
                      <w:szCs w:val="21"/>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10"/>
                  <w:tcBorders>
                    <w:tl2br w:val="nil"/>
                    <w:tr2bl w:val="nil"/>
                  </w:tcBorders>
                  <w:vAlign w:val="center"/>
                </w:tcPr>
                <w:p>
                  <w:pPr>
                    <w:rPr>
                      <w:rFonts w:asciiTheme="minorEastAsia" w:hAnsiTheme="minorEastAsia" w:eastAsiaTheme="minorEastAsia"/>
                      <w:szCs w:val="21"/>
                    </w:rPr>
                  </w:pPr>
                  <w:r>
                    <w:rPr>
                      <w:rFonts w:asciiTheme="minorEastAsia" w:hAnsiTheme="minorEastAsia" w:eastAsiaTheme="minorEastAsia"/>
                      <w:szCs w:val="21"/>
                    </w:rPr>
                    <w:t>注：“—”表示可不开展土壤环境影响评价工作。</w:t>
                  </w:r>
                </w:p>
              </w:tc>
            </w:tr>
          </w:tbl>
          <w:p>
            <w:pPr>
              <w:pStyle w:val="90"/>
              <w:spacing w:line="440" w:lineRule="exact"/>
              <w:ind w:firstLine="480" w:firstLineChars="200"/>
              <w:rPr>
                <w:rFonts w:cs="Times New Roman" w:eastAsiaTheme="minorEastAsia"/>
              </w:rPr>
            </w:pPr>
            <w:r>
              <w:rPr>
                <w:rFonts w:cs="Times New Roman" w:hAnsiTheme="minorEastAsia" w:eastAsiaTheme="minorEastAsia"/>
              </w:rPr>
              <w:t>本项目的项目类别为</w:t>
            </w:r>
            <w:r>
              <w:rPr>
                <w:rFonts w:cs="Times New Roman" w:eastAsiaTheme="minorEastAsia"/>
              </w:rPr>
              <w:t xml:space="preserve">III </w:t>
            </w:r>
            <w:r>
              <w:rPr>
                <w:rFonts w:cs="Times New Roman" w:hAnsiTheme="minorEastAsia" w:eastAsiaTheme="minorEastAsia"/>
              </w:rPr>
              <w:t>类、占地规模为小型规模、敏感程度为不敏感，由上表可知，本项目</w:t>
            </w:r>
            <w:r>
              <w:rPr>
                <w:rFonts w:hAnsi="宋体" w:cs="Times New Roman"/>
              </w:rPr>
              <w:t>可不开展土壤影响评价工作。</w:t>
            </w:r>
          </w:p>
          <w:p>
            <w:pPr>
              <w:adjustRightInd w:val="0"/>
              <w:snapToGrid w:val="0"/>
              <w:spacing w:line="400" w:lineRule="exact"/>
              <w:ind w:firstLine="482" w:firstLineChars="200"/>
              <w:textAlignment w:val="baseline"/>
              <w:rPr>
                <w:b/>
                <w:color w:val="000000"/>
                <w:sz w:val="24"/>
              </w:rPr>
            </w:pPr>
            <w:r>
              <w:rPr>
                <w:rFonts w:hAnsi="宋体"/>
                <w:b/>
                <w:color w:val="000000"/>
                <w:sz w:val="24"/>
              </w:rPr>
              <w:t>六、在线监控安装内容</w:t>
            </w:r>
          </w:p>
          <w:p>
            <w:pPr>
              <w:adjustRightInd w:val="0"/>
              <w:snapToGrid w:val="0"/>
              <w:spacing w:line="400" w:lineRule="exact"/>
              <w:ind w:firstLine="480" w:firstLineChars="200"/>
              <w:textAlignment w:val="baseline"/>
              <w:rPr>
                <w:color w:val="000000"/>
                <w:sz w:val="24"/>
              </w:rPr>
            </w:pPr>
            <w:r>
              <w:rPr>
                <w:rFonts w:hAnsi="宋体"/>
                <w:color w:val="000000"/>
                <w:sz w:val="24"/>
              </w:rPr>
              <w:t>根据《新乡市环境污染防治攻坚战三年行动计划实施方案》等文件相关要求，企业应根据相关管理要求及时安装用电量监控、视频监控等，并与环保部门联网。</w:t>
            </w:r>
          </w:p>
          <w:p>
            <w:pPr>
              <w:adjustRightInd w:val="0"/>
              <w:snapToGrid w:val="0"/>
              <w:spacing w:line="400" w:lineRule="exact"/>
              <w:ind w:firstLine="482" w:firstLineChars="200"/>
              <w:textAlignment w:val="baseline"/>
              <w:rPr>
                <w:b/>
                <w:bCs/>
                <w:color w:val="000000"/>
                <w:sz w:val="24"/>
              </w:rPr>
            </w:pPr>
            <w:r>
              <w:rPr>
                <w:rFonts w:hAnsi="宋体"/>
                <w:b/>
                <w:bCs/>
                <w:color w:val="000000"/>
                <w:sz w:val="24"/>
              </w:rPr>
              <w:t>七、总量替代说明：</w:t>
            </w:r>
          </w:p>
          <w:p>
            <w:pPr>
              <w:spacing w:line="440" w:lineRule="exact"/>
              <w:ind w:firstLine="480" w:firstLineChars="200"/>
              <w:rPr>
                <w:color w:val="000000"/>
                <w:sz w:val="24"/>
              </w:rPr>
            </w:pPr>
            <w:r>
              <w:rPr>
                <w:color w:val="000000"/>
                <w:sz w:val="24"/>
              </w:rPr>
              <w:t>抛光机生产过程中产生的粉尘经集气罩收集后</w:t>
            </w:r>
            <w:r>
              <w:rPr>
                <w:rFonts w:hint="eastAsia"/>
                <w:color w:val="000000"/>
                <w:sz w:val="24"/>
              </w:rPr>
              <w:t>经</w:t>
            </w:r>
            <w:r>
              <w:rPr>
                <w:color w:val="000000"/>
                <w:sz w:val="24"/>
              </w:rPr>
              <w:t>1</w:t>
            </w:r>
            <w:r>
              <w:rPr>
                <w:rFonts w:hint="eastAsia"/>
                <w:color w:val="000000"/>
                <w:sz w:val="24"/>
              </w:rPr>
              <w:t>台</w:t>
            </w:r>
            <w:r>
              <w:rPr>
                <w:color w:val="000000"/>
                <w:sz w:val="24"/>
              </w:rPr>
              <w:t>袋式除尘器治理，尾气经15m排气筒排放</w:t>
            </w:r>
            <w:r>
              <w:rPr>
                <w:rFonts w:hint="eastAsia"/>
                <w:color w:val="000000"/>
                <w:sz w:val="24"/>
              </w:rPr>
              <w:t>。</w:t>
            </w:r>
            <w:r>
              <w:rPr>
                <w:color w:val="000000"/>
                <w:sz w:val="24"/>
              </w:rPr>
              <w:t>无生产废水产生，生活废水经防渗漏化粪池处理后定期清运，本项目不涉及总量控制指标。</w:t>
            </w:r>
          </w:p>
          <w:p>
            <w:pPr>
              <w:pStyle w:val="2"/>
              <w:spacing w:after="0" w:line="440" w:lineRule="exact"/>
              <w:ind w:left="0" w:leftChars="0" w:firstLine="480" w:firstLineChars="200"/>
              <w:rPr>
                <w:color w:val="000000"/>
                <w:sz w:val="24"/>
              </w:rPr>
            </w:pPr>
            <w:r>
              <w:rPr>
                <w:color w:val="000000"/>
                <w:sz w:val="24"/>
              </w:rPr>
              <w:t>根据《新乡市生态环境局关于贯彻落实&lt;河南省生态环境厅办公室关于深化环评“放管服”改革及实施环评审批正面清单的通知&gt;的意见》新环【2020】37号</w:t>
            </w:r>
            <w:r>
              <w:rPr>
                <w:rFonts w:hint="eastAsia"/>
                <w:color w:val="000000"/>
                <w:sz w:val="24"/>
              </w:rPr>
              <w:t>，</w:t>
            </w:r>
            <w:r>
              <w:rPr>
                <w:color w:val="000000"/>
                <w:sz w:val="24"/>
              </w:rPr>
              <w:t>对不新增重点污染物（化学需氧量、氨氮、二氧化硫、氮氧化物、挥发性有机物，重金属铅、铬、镉、汞、砷10类）</w:t>
            </w:r>
            <w:r>
              <w:rPr>
                <w:rFonts w:hint="eastAsia"/>
                <w:color w:val="000000"/>
                <w:sz w:val="24"/>
              </w:rPr>
              <w:t>排放量的项目</w:t>
            </w:r>
            <w:r>
              <w:rPr>
                <w:color w:val="000000"/>
                <w:sz w:val="24"/>
              </w:rPr>
              <w:t>，不再进行总量审核。本项目属于新建项目，本项目污染物排放量为COD0t/a、NH</w:t>
            </w:r>
            <w:r>
              <w:rPr>
                <w:color w:val="000000"/>
                <w:sz w:val="24"/>
                <w:vertAlign w:val="subscript"/>
              </w:rPr>
              <w:t>3</w:t>
            </w:r>
            <w:r>
              <w:rPr>
                <w:color w:val="000000"/>
                <w:sz w:val="24"/>
              </w:rPr>
              <w:t>-N0t/a、SO</w:t>
            </w:r>
            <w:r>
              <w:rPr>
                <w:color w:val="000000"/>
                <w:sz w:val="24"/>
                <w:vertAlign w:val="subscript"/>
              </w:rPr>
              <w:t>2</w:t>
            </w:r>
            <w:r>
              <w:rPr>
                <w:color w:val="000000"/>
                <w:sz w:val="24"/>
              </w:rPr>
              <w:t xml:space="preserve"> 0t/a、NO</w:t>
            </w:r>
            <w:r>
              <w:rPr>
                <w:color w:val="000000"/>
                <w:sz w:val="24"/>
                <w:vertAlign w:val="subscript"/>
              </w:rPr>
              <w:t>X</w:t>
            </w:r>
            <w:r>
              <w:rPr>
                <w:color w:val="000000"/>
                <w:sz w:val="24"/>
              </w:rPr>
              <w:t xml:space="preserve"> 0t/a、VOCs0t/a、铅0t/a、铬0t/a、镉0t/a、汞0t/a、砷0t/a，</w:t>
            </w:r>
            <w:r>
              <w:rPr>
                <w:rFonts w:hint="eastAsia"/>
                <w:color w:val="000000"/>
                <w:sz w:val="24"/>
                <w:lang w:eastAsia="zh-CN"/>
              </w:rPr>
              <w:t>本项目</w:t>
            </w:r>
            <w:r>
              <w:rPr>
                <w:color w:val="000000"/>
                <w:sz w:val="24"/>
              </w:rPr>
              <w:t>不新增重点污染物</w:t>
            </w:r>
            <w:r>
              <w:rPr>
                <w:rFonts w:hint="eastAsia"/>
                <w:color w:val="000000"/>
                <w:sz w:val="24"/>
              </w:rPr>
              <w:t>，</w:t>
            </w:r>
            <w:r>
              <w:rPr>
                <w:color w:val="000000"/>
                <w:sz w:val="24"/>
              </w:rPr>
              <w:t>不再进行总量审核。</w:t>
            </w:r>
          </w:p>
          <w:p>
            <w:pPr>
              <w:adjustRightInd w:val="0"/>
              <w:snapToGrid w:val="0"/>
              <w:spacing w:line="440" w:lineRule="exact"/>
              <w:ind w:firstLine="482" w:firstLineChars="200"/>
              <w:rPr>
                <w:b/>
                <w:sz w:val="24"/>
              </w:rPr>
            </w:pPr>
            <w:r>
              <w:rPr>
                <w:rFonts w:hAnsi="宋体"/>
                <w:b/>
                <w:sz w:val="24"/>
              </w:rPr>
              <w:t>八、选址可行性分析</w:t>
            </w:r>
          </w:p>
          <w:p>
            <w:pPr>
              <w:wordWrap w:val="0"/>
              <w:topLinePunct/>
              <w:autoSpaceDE w:val="0"/>
              <w:adjustRightInd w:val="0"/>
              <w:snapToGrid w:val="0"/>
              <w:spacing w:line="440" w:lineRule="exact"/>
              <w:ind w:firstLine="480" w:firstLineChars="200"/>
              <w:contextualSpacing/>
              <w:textAlignment w:val="center"/>
              <w:rPr>
                <w:sz w:val="24"/>
              </w:rPr>
            </w:pPr>
            <w:r>
              <w:rPr>
                <w:rFonts w:hAnsi="宋体"/>
                <w:color w:val="000000"/>
                <w:sz w:val="24"/>
              </w:rPr>
              <w:t>新乡县合河乡鑫达线材厂位于</w:t>
            </w:r>
            <w:r>
              <w:rPr>
                <w:rFonts w:hAnsi="宋体"/>
                <w:bCs/>
                <w:color w:val="000000"/>
                <w:sz w:val="24"/>
              </w:rPr>
              <w:t>新乡县合河乡贾桥村工业区西头路北</w:t>
            </w:r>
            <w:r>
              <w:rPr>
                <w:bCs/>
                <w:color w:val="000000"/>
                <w:sz w:val="24"/>
              </w:rPr>
              <w:t>4</w:t>
            </w:r>
            <w:r>
              <w:rPr>
                <w:rFonts w:hAnsi="宋体"/>
                <w:bCs/>
                <w:color w:val="000000"/>
                <w:sz w:val="24"/>
              </w:rPr>
              <w:t>号，</w:t>
            </w:r>
            <w:r>
              <w:rPr>
                <w:rFonts w:hAnsi="宋体"/>
                <w:sz w:val="24"/>
              </w:rPr>
              <w:t>租赁贾桥村民委员会已建成的贾桥村工业区西头路北</w:t>
            </w:r>
            <w:r>
              <w:rPr>
                <w:sz w:val="24"/>
              </w:rPr>
              <w:t>4</w:t>
            </w:r>
            <w:r>
              <w:rPr>
                <w:rFonts w:hAnsi="宋体"/>
                <w:sz w:val="24"/>
              </w:rPr>
              <w:t>号厂房进行生产</w:t>
            </w:r>
            <w:r>
              <w:rPr>
                <w:rFonts w:hAnsi="宋体"/>
                <w:bCs/>
                <w:color w:val="000000"/>
                <w:sz w:val="24"/>
              </w:rPr>
              <w:t>，占地面积为</w:t>
            </w:r>
            <w:r>
              <w:rPr>
                <w:bCs/>
                <w:color w:val="000000"/>
                <w:sz w:val="24"/>
              </w:rPr>
              <w:t>1019m</w:t>
            </w:r>
            <w:r>
              <w:rPr>
                <w:bCs/>
                <w:color w:val="000000"/>
                <w:sz w:val="24"/>
                <w:vertAlign w:val="superscript"/>
              </w:rPr>
              <w:t>2</w:t>
            </w:r>
            <w:r>
              <w:rPr>
                <w:rFonts w:hAnsi="宋体"/>
                <w:bCs/>
                <w:color w:val="000000"/>
                <w:sz w:val="24"/>
              </w:rPr>
              <w:t>，不新增占地，不办理土地手续。</w:t>
            </w:r>
            <w:r>
              <w:rPr>
                <w:rFonts w:hAnsi="宋体"/>
                <w:sz w:val="24"/>
              </w:rPr>
              <w:t>根据《新乡县土地利用总体规划（</w:t>
            </w:r>
            <w:r>
              <w:rPr>
                <w:sz w:val="24"/>
              </w:rPr>
              <w:t>2010-2020</w:t>
            </w:r>
            <w:r>
              <w:rPr>
                <w:rFonts w:hAnsi="宋体"/>
                <w:sz w:val="24"/>
              </w:rPr>
              <w:t>年）》调整完善图（</w:t>
            </w:r>
            <w:r>
              <w:rPr>
                <w:sz w:val="24"/>
              </w:rPr>
              <w:t>2017</w:t>
            </w:r>
            <w:r>
              <w:rPr>
                <w:rFonts w:hAnsi="宋体"/>
                <w:sz w:val="24"/>
              </w:rPr>
              <w:t>年修改）及《合河乡土地利用规划图（</w:t>
            </w:r>
            <w:r>
              <w:rPr>
                <w:sz w:val="24"/>
              </w:rPr>
              <w:t>2010-2020</w:t>
            </w:r>
            <w:r>
              <w:rPr>
                <w:rFonts w:hAnsi="宋体"/>
                <w:sz w:val="24"/>
              </w:rPr>
              <w:t>年）》（</w:t>
            </w:r>
            <w:r>
              <w:rPr>
                <w:sz w:val="24"/>
              </w:rPr>
              <w:t>2017</w:t>
            </w:r>
            <w:r>
              <w:rPr>
                <w:rFonts w:hAnsi="宋体"/>
                <w:sz w:val="24"/>
              </w:rPr>
              <w:t>年修改），本项目用地性质为建设用地，选址符合新乡县合河乡土地利用总体规划，</w:t>
            </w:r>
            <w:r>
              <w:rPr>
                <w:rFonts w:hAnsi="宋体"/>
                <w:color w:val="000000"/>
                <w:sz w:val="24"/>
              </w:rPr>
              <w:t>根据新乡县合河乡人民政府出具的证明，本项目符合合河乡土地利用总体规划、土地利用规划和产业发展规划要求。</w:t>
            </w:r>
          </w:p>
          <w:p>
            <w:pPr>
              <w:autoSpaceDE w:val="0"/>
              <w:autoSpaceDN w:val="0"/>
              <w:adjustRightInd w:val="0"/>
              <w:snapToGrid w:val="0"/>
              <w:spacing w:line="440" w:lineRule="exact"/>
              <w:ind w:firstLine="480" w:firstLineChars="200"/>
              <w:contextualSpacing/>
              <w:jc w:val="left"/>
              <w:rPr>
                <w:sz w:val="24"/>
              </w:rPr>
            </w:pPr>
            <w:r>
              <w:rPr>
                <w:rFonts w:hAnsi="宋体"/>
                <w:color w:val="000000"/>
                <w:kern w:val="1"/>
                <w:sz w:val="24"/>
              </w:rPr>
              <w:t>本项目南侧临新王线；西侧为路路汽修；东侧和北侧是八方线材厂。</w:t>
            </w:r>
            <w:r>
              <w:rPr>
                <w:rFonts w:hAnsi="宋体"/>
                <w:color w:val="000000"/>
                <w:sz w:val="24"/>
              </w:rPr>
              <w:t>主要环境敏感点为：东</w:t>
            </w:r>
            <w:r>
              <w:rPr>
                <w:color w:val="000000"/>
                <w:sz w:val="24"/>
              </w:rPr>
              <w:t>270m</w:t>
            </w:r>
            <w:r>
              <w:rPr>
                <w:rFonts w:hAnsi="宋体"/>
                <w:color w:val="000000"/>
                <w:sz w:val="24"/>
              </w:rPr>
              <w:t>安庄；东南</w:t>
            </w:r>
            <w:r>
              <w:rPr>
                <w:color w:val="000000"/>
                <w:sz w:val="24"/>
              </w:rPr>
              <w:t>230m</w:t>
            </w:r>
            <w:r>
              <w:rPr>
                <w:rFonts w:hAnsi="宋体"/>
                <w:color w:val="000000"/>
                <w:sz w:val="24"/>
              </w:rPr>
              <w:t>贾桥村、东南</w:t>
            </w:r>
            <w:r>
              <w:rPr>
                <w:color w:val="000000"/>
                <w:sz w:val="24"/>
              </w:rPr>
              <w:t>800</w:t>
            </w:r>
            <w:r>
              <w:rPr>
                <w:rFonts w:hAnsi="宋体"/>
                <w:color w:val="000000"/>
                <w:sz w:val="24"/>
              </w:rPr>
              <w:t>米崔小郭村、东南</w:t>
            </w:r>
            <w:r>
              <w:rPr>
                <w:color w:val="000000"/>
                <w:sz w:val="24"/>
              </w:rPr>
              <w:t>850</w:t>
            </w:r>
            <w:r>
              <w:rPr>
                <w:rFonts w:hAnsi="宋体"/>
                <w:color w:val="000000"/>
                <w:sz w:val="24"/>
              </w:rPr>
              <w:t>米郭小郭村；西</w:t>
            </w:r>
            <w:r>
              <w:rPr>
                <w:color w:val="000000"/>
                <w:sz w:val="24"/>
              </w:rPr>
              <w:t>210m</w:t>
            </w:r>
            <w:r>
              <w:rPr>
                <w:rFonts w:hAnsi="宋体"/>
                <w:color w:val="000000"/>
                <w:sz w:val="24"/>
              </w:rPr>
              <w:t>合河</w:t>
            </w:r>
            <w:r>
              <w:rPr>
                <w:rFonts w:hint="eastAsia" w:hAnsi="宋体"/>
                <w:color w:val="000000"/>
                <w:sz w:val="24"/>
              </w:rPr>
              <w:t>村</w:t>
            </w:r>
            <w:r>
              <w:rPr>
                <w:rFonts w:hAnsi="宋体"/>
                <w:color w:val="000000"/>
                <w:sz w:val="24"/>
              </w:rPr>
              <w:t>；西北</w:t>
            </w:r>
            <w:r>
              <w:rPr>
                <w:color w:val="000000"/>
                <w:sz w:val="24"/>
              </w:rPr>
              <w:t>650m</w:t>
            </w:r>
            <w:r>
              <w:rPr>
                <w:rFonts w:hAnsi="宋体"/>
                <w:color w:val="000000"/>
                <w:sz w:val="24"/>
              </w:rPr>
              <w:t>前村，距离本项目最近的地表水体为西</w:t>
            </w:r>
            <w:r>
              <w:rPr>
                <w:color w:val="000000"/>
                <w:sz w:val="24"/>
              </w:rPr>
              <w:t>150m</w:t>
            </w:r>
            <w:r>
              <w:rPr>
                <w:rFonts w:hAnsi="宋体"/>
                <w:color w:val="000000"/>
                <w:sz w:val="24"/>
              </w:rPr>
              <w:t>卫河。</w:t>
            </w:r>
          </w:p>
          <w:p>
            <w:pPr>
              <w:autoSpaceDE w:val="0"/>
              <w:autoSpaceDN w:val="0"/>
              <w:adjustRightInd w:val="0"/>
              <w:snapToGrid w:val="0"/>
              <w:spacing w:line="440" w:lineRule="exact"/>
              <w:ind w:firstLine="480" w:firstLineChars="200"/>
              <w:contextualSpacing/>
              <w:jc w:val="left"/>
              <w:rPr>
                <w:sz w:val="24"/>
              </w:rPr>
            </w:pPr>
            <w:r>
              <w:rPr>
                <w:rFonts w:hAnsi="宋体"/>
                <w:bCs/>
                <w:sz w:val="24"/>
              </w:rPr>
              <w:t>项目生活</w:t>
            </w:r>
            <w:r>
              <w:rPr>
                <w:rFonts w:hint="eastAsia" w:hAnsi="宋体"/>
                <w:bCs/>
                <w:sz w:val="24"/>
                <w:lang w:eastAsia="zh-CN"/>
              </w:rPr>
              <w:t>污</w:t>
            </w:r>
            <w:r>
              <w:rPr>
                <w:rFonts w:hAnsi="宋体"/>
                <w:bCs/>
                <w:sz w:val="24"/>
              </w:rPr>
              <w:t>水经化粪池处理后定期清运，不外排；噪声经采取降噪措施后能满足</w:t>
            </w:r>
            <w:r>
              <w:rPr>
                <w:rFonts w:hAnsi="宋体"/>
                <w:snapToGrid w:val="0"/>
                <w:kern w:val="0"/>
                <w:sz w:val="24"/>
              </w:rPr>
              <w:t>《工业企业厂界环境噪声排放标准》（</w:t>
            </w:r>
            <w:r>
              <w:rPr>
                <w:snapToGrid w:val="0"/>
                <w:kern w:val="0"/>
                <w:sz w:val="24"/>
              </w:rPr>
              <w:t>GB12348-2008</w:t>
            </w:r>
            <w:r>
              <w:rPr>
                <w:rFonts w:hAnsi="宋体"/>
                <w:snapToGrid w:val="0"/>
                <w:kern w:val="0"/>
                <w:sz w:val="24"/>
              </w:rPr>
              <w:t>）</w:t>
            </w:r>
            <w:r>
              <w:rPr>
                <w:snapToGrid w:val="0"/>
                <w:kern w:val="0"/>
                <w:sz w:val="24"/>
              </w:rPr>
              <w:t>2</w:t>
            </w:r>
            <w:r>
              <w:rPr>
                <w:rFonts w:hAnsi="宋体"/>
                <w:snapToGrid w:val="0"/>
                <w:kern w:val="0"/>
                <w:sz w:val="24"/>
              </w:rPr>
              <w:t>类标准；固体废物均得到妥善处置。对周围环境的影响可以接受。</w:t>
            </w:r>
          </w:p>
          <w:p>
            <w:pPr>
              <w:autoSpaceDE w:val="0"/>
              <w:autoSpaceDN w:val="0"/>
              <w:adjustRightInd w:val="0"/>
              <w:snapToGrid w:val="0"/>
              <w:spacing w:line="440" w:lineRule="exact"/>
              <w:ind w:firstLine="480" w:firstLineChars="200"/>
              <w:rPr>
                <w:rFonts w:hAnsi="宋体"/>
                <w:sz w:val="24"/>
              </w:rPr>
            </w:pPr>
            <w:r>
              <w:rPr>
                <w:rFonts w:hAnsi="宋体"/>
                <w:bCs/>
                <w:sz w:val="24"/>
              </w:rPr>
              <w:t>终上所述，项目营运期间产生的废水、噪声和固体废物等方面环境影响，在采用相应的污染防治措施后</w:t>
            </w:r>
            <w:r>
              <w:rPr>
                <w:rFonts w:hAnsi="宋体"/>
                <w:sz w:val="24"/>
              </w:rPr>
              <w:t>污染物均得到合理的处置</w:t>
            </w:r>
            <w:r>
              <w:rPr>
                <w:rFonts w:hAnsi="宋体"/>
                <w:bCs/>
                <w:sz w:val="24"/>
              </w:rPr>
              <w:t>，对周围环境及敏感点的影响可以接受，</w:t>
            </w:r>
            <w:r>
              <w:rPr>
                <w:rFonts w:hAnsi="宋体"/>
                <w:iCs/>
                <w:sz w:val="24"/>
              </w:rPr>
              <w:t>故</w:t>
            </w:r>
            <w:r>
              <w:rPr>
                <w:rFonts w:hAnsi="宋体"/>
                <w:sz w:val="24"/>
              </w:rPr>
              <w:t>从环保角度出发，评价认为项目选址可行。</w:t>
            </w:r>
          </w:p>
          <w:p>
            <w:pPr>
              <w:spacing w:line="440" w:lineRule="exact"/>
              <w:ind w:firstLine="482" w:firstLineChars="200"/>
              <w:rPr>
                <w:b/>
                <w:bCs/>
                <w:sz w:val="24"/>
              </w:rPr>
            </w:pPr>
            <w:r>
              <w:rPr>
                <w:rFonts w:ascii="宋体" w:hAnsi="宋体"/>
                <w:b/>
                <w:bCs/>
                <w:sz w:val="24"/>
              </w:rPr>
              <w:t>九、排污许可证申领</w:t>
            </w:r>
          </w:p>
          <w:p>
            <w:pPr>
              <w:adjustRightInd w:val="0"/>
              <w:snapToGrid w:val="0"/>
              <w:spacing w:line="440" w:lineRule="exact"/>
              <w:ind w:firstLine="480" w:firstLineChars="200"/>
              <w:rPr>
                <w:sz w:val="24"/>
              </w:rPr>
            </w:pPr>
            <w:r>
              <w:rPr>
                <w:rFonts w:ascii="宋体" w:hAnsi="宋体"/>
                <w:sz w:val="24"/>
              </w:rPr>
              <w:t>根据《建设项目竣工环境保护验收暂行办法》（国环规环评</w:t>
            </w:r>
            <w:r>
              <w:rPr>
                <w:sz w:val="24"/>
              </w:rPr>
              <w:t>[2017]4</w:t>
            </w:r>
            <w:r>
              <w:rPr>
                <w:rFonts w:ascii="宋体" w:hAnsi="宋体"/>
                <w:sz w:val="24"/>
              </w:rPr>
              <w:t>号）第十四条要求：纳入排污许可管理的建设项目，排污单位应当在项目产生实际污染物排放之前，按照国家排污许可有关管理规定要求，申请排污许可证，不得无证排污或不按证排污。同时根据《排污许可管理办法（试行）》（环境保护部部令第</w:t>
            </w:r>
            <w:r>
              <w:rPr>
                <w:sz w:val="24"/>
              </w:rPr>
              <w:t>48</w:t>
            </w:r>
            <w:r>
              <w:rPr>
                <w:rFonts w:ascii="宋体" w:hAnsi="宋体"/>
                <w:sz w:val="24"/>
              </w:rPr>
              <w:t>号）第二十四条规定：在名录规定的时限后建成的排污单位，应当在启动生产设施或者在实际排污之前申请排污许可证。根据《固定污染源排污许可分类管理名录》第四条：新建排污单位应当在启动生产设施或者发生实际排污之前申请取得排污许可证或者填报排污登记表。</w:t>
            </w:r>
          </w:p>
          <w:p>
            <w:pPr>
              <w:spacing w:line="440" w:lineRule="exact"/>
              <w:ind w:firstLine="436" w:firstLineChars="182"/>
              <w:jc w:val="left"/>
              <w:rPr>
                <w:sz w:val="24"/>
              </w:rPr>
            </w:pPr>
            <w:r>
              <w:rPr>
                <w:sz w:val="24"/>
              </w:rPr>
              <w:t>经查《固定污染源排污许可分类管理名录（2019年版）》（生态环境部令第11号），本项目属于</w:t>
            </w:r>
            <w:r>
              <w:rPr>
                <w:rFonts w:hint="eastAsia"/>
                <w:sz w:val="24"/>
              </w:rPr>
              <w:t>二十九、通用设备制造业（34），83款中通用零部件制造（348）</w:t>
            </w:r>
            <w:r>
              <w:rPr>
                <w:sz w:val="24"/>
              </w:rPr>
              <w:t>，本项目</w:t>
            </w:r>
            <w:r>
              <w:rPr>
                <w:rFonts w:hint="eastAsia"/>
                <w:sz w:val="24"/>
              </w:rPr>
              <w:t>不涉及通用工序，属于其他</w:t>
            </w:r>
            <w:r>
              <w:rPr>
                <w:sz w:val="24"/>
              </w:rPr>
              <w:t>，</w:t>
            </w:r>
            <w:r>
              <w:rPr>
                <w:rFonts w:hint="eastAsia"/>
                <w:sz w:val="24"/>
              </w:rPr>
              <w:t>为登记</w:t>
            </w:r>
            <w:r>
              <w:rPr>
                <w:sz w:val="24"/>
              </w:rPr>
              <w:t>管理项目，应在建成后、启动生产设施或者在实际排污之前申请取得排污许可</w:t>
            </w:r>
            <w:r>
              <w:rPr>
                <w:rFonts w:hint="eastAsia"/>
                <w:sz w:val="24"/>
              </w:rPr>
              <w:t>手续</w:t>
            </w:r>
            <w:r>
              <w:rPr>
                <w:sz w:val="24"/>
              </w:rPr>
              <w:t>。</w:t>
            </w:r>
          </w:p>
          <w:p>
            <w:pPr>
              <w:adjustRightInd w:val="0"/>
              <w:snapToGrid w:val="0"/>
              <w:spacing w:line="440" w:lineRule="exact"/>
              <w:ind w:firstLine="482" w:firstLineChars="200"/>
              <w:rPr>
                <w:b/>
                <w:sz w:val="24"/>
              </w:rPr>
            </w:pPr>
            <w:r>
              <w:rPr>
                <w:rFonts w:hAnsi="宋体"/>
                <w:b/>
                <w:snapToGrid w:val="0"/>
                <w:sz w:val="24"/>
              </w:rPr>
              <w:t>十、</w:t>
            </w:r>
            <w:r>
              <w:rPr>
                <w:rFonts w:hAnsi="宋体"/>
                <w:b/>
                <w:sz w:val="24"/>
              </w:rPr>
              <w:t>环境管理与监测计划</w:t>
            </w:r>
          </w:p>
          <w:p>
            <w:pPr>
              <w:adjustRightInd w:val="0"/>
              <w:snapToGrid w:val="0"/>
              <w:spacing w:line="440" w:lineRule="exact"/>
              <w:ind w:firstLine="480" w:firstLineChars="200"/>
              <w:jc w:val="left"/>
              <w:rPr>
                <w:sz w:val="24"/>
              </w:rPr>
            </w:pPr>
            <w:r>
              <w:rPr>
                <w:rFonts w:hAnsi="宋体"/>
                <w:sz w:val="24"/>
              </w:rPr>
              <w:t>为了执行国家有关环境保护的法律、法规，做好本工程区域的环境保护工作，业主单位应设置环保管理部门，配合相关工作人员，负责组织、协调和监督工程区的环境保护工作，加强与环保部门的联系。</w:t>
            </w:r>
          </w:p>
          <w:p>
            <w:pPr>
              <w:adjustRightInd w:val="0"/>
              <w:snapToGrid w:val="0"/>
              <w:spacing w:line="440" w:lineRule="exact"/>
              <w:ind w:firstLine="480" w:firstLineChars="200"/>
              <w:jc w:val="left"/>
              <w:rPr>
                <w:sz w:val="24"/>
              </w:rPr>
            </w:pPr>
            <w:r>
              <w:rPr>
                <w:rFonts w:hAnsi="宋体"/>
                <w:sz w:val="24"/>
              </w:rPr>
              <w:t>本工程环境管理部门应做好以下工作：</w:t>
            </w:r>
          </w:p>
          <w:p>
            <w:pPr>
              <w:adjustRightInd w:val="0"/>
              <w:snapToGrid w:val="0"/>
              <w:spacing w:line="440" w:lineRule="exact"/>
              <w:ind w:firstLine="480" w:firstLineChars="200"/>
              <w:jc w:val="left"/>
              <w:rPr>
                <w:sz w:val="24"/>
              </w:rPr>
            </w:pPr>
            <w:r>
              <w:rPr>
                <w:rFonts w:hAnsi="宋体"/>
                <w:sz w:val="24"/>
              </w:rPr>
              <w:t>（</w:t>
            </w:r>
            <w:r>
              <w:rPr>
                <w:sz w:val="24"/>
              </w:rPr>
              <w:t>1</w:t>
            </w:r>
            <w:r>
              <w:rPr>
                <w:rFonts w:hAnsi="宋体"/>
                <w:sz w:val="24"/>
              </w:rPr>
              <w:t>）加强对员工环保意识的教育和环保宣传，尽量提高人们的环保意识。</w:t>
            </w:r>
          </w:p>
          <w:p>
            <w:pPr>
              <w:adjustRightInd w:val="0"/>
              <w:snapToGrid w:val="0"/>
              <w:spacing w:line="440" w:lineRule="exact"/>
              <w:ind w:firstLine="480" w:firstLineChars="200"/>
              <w:jc w:val="left"/>
              <w:rPr>
                <w:sz w:val="24"/>
              </w:rPr>
            </w:pPr>
            <w:r>
              <w:rPr>
                <w:rFonts w:hAnsi="宋体"/>
                <w:sz w:val="24"/>
              </w:rPr>
              <w:t>（</w:t>
            </w:r>
            <w:r>
              <w:rPr>
                <w:sz w:val="24"/>
              </w:rPr>
              <w:t>2</w:t>
            </w:r>
            <w:r>
              <w:rPr>
                <w:rFonts w:hAnsi="宋体"/>
                <w:sz w:val="24"/>
              </w:rPr>
              <w:t>）加强环境卫生管理，及时清运厂区内的固体废物和生活垃圾，杜绝破坏周边环境及对环境有不良后果的行为发生。</w:t>
            </w:r>
          </w:p>
          <w:p>
            <w:pPr>
              <w:adjustRightInd w:val="0"/>
              <w:snapToGrid w:val="0"/>
              <w:spacing w:line="440" w:lineRule="exact"/>
              <w:ind w:firstLine="480" w:firstLineChars="200"/>
              <w:jc w:val="left"/>
              <w:rPr>
                <w:sz w:val="24"/>
              </w:rPr>
            </w:pPr>
            <w:r>
              <w:rPr>
                <w:rFonts w:hAnsi="宋体"/>
                <w:sz w:val="24"/>
              </w:rPr>
              <w:t>（</w:t>
            </w:r>
            <w:r>
              <w:rPr>
                <w:sz w:val="24"/>
              </w:rPr>
              <w:t>3</w:t>
            </w:r>
            <w:r>
              <w:rPr>
                <w:rFonts w:hAnsi="宋体"/>
                <w:sz w:val="24"/>
              </w:rPr>
              <w:t>）环保负责人员应加强工程范围内的绿化管理工作和环保工作。定期对环保设施进行检查和维护，保证高效、正常运行。安排专人对各项环保措施进行设施及各污染物的处置情况进行监督管理</w:t>
            </w:r>
            <w:r>
              <w:rPr>
                <w:rFonts w:hint="eastAsia" w:hAnsi="宋体"/>
                <w:sz w:val="24"/>
              </w:rPr>
              <w:t>:</w:t>
            </w:r>
          </w:p>
          <w:p>
            <w:pPr>
              <w:pStyle w:val="106"/>
              <w:adjustRightInd/>
              <w:spacing w:line="440" w:lineRule="exact"/>
              <w:ind w:firstLine="480" w:firstLineChars="200"/>
              <w:jc w:val="both"/>
              <w:rPr>
                <w:rFonts w:ascii="Times New Roman" w:eastAsia="黑体" w:cs="Times New Roman"/>
                <w:bCs/>
                <w:snapToGrid w:val="0"/>
                <w:color w:val="auto"/>
                <w:kern w:val="18"/>
              </w:rPr>
            </w:pPr>
            <w:r>
              <w:rPr>
                <w:rFonts w:ascii="Times New Roman" w:eastAsia="黑体" w:cs="Times New Roman"/>
                <w:bCs/>
                <w:snapToGrid w:val="0"/>
                <w:color w:val="auto"/>
                <w:kern w:val="18"/>
              </w:rPr>
              <w:t>表</w:t>
            </w:r>
            <w:r>
              <w:rPr>
                <w:rFonts w:hint="eastAsia" w:ascii="Times New Roman" w:eastAsia="黑体" w:cs="Times New Roman"/>
                <w:bCs/>
                <w:snapToGrid w:val="0"/>
                <w:color w:val="auto"/>
                <w:kern w:val="18"/>
              </w:rPr>
              <w:t>39</w:t>
            </w:r>
            <w:r>
              <w:rPr>
                <w:rFonts w:ascii="Times New Roman" w:eastAsia="黑体" w:cs="Times New Roman"/>
                <w:bCs/>
                <w:snapToGrid w:val="0"/>
                <w:color w:val="auto"/>
                <w:kern w:val="18"/>
              </w:rPr>
              <w:t xml:space="preserve">                   监测计划一览表</w:t>
            </w:r>
          </w:p>
          <w:tbl>
            <w:tblPr>
              <w:tblStyle w:val="24"/>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1471"/>
              <w:gridCol w:w="2965"/>
              <w:gridCol w:w="2567"/>
              <w:gridCol w:w="128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 w:type="pct"/>
                  <w:tcBorders>
                    <w:bottom w:val="single" w:color="auto" w:sz="8" w:space="0"/>
                  </w:tcBorders>
                  <w:vAlign w:val="center"/>
                </w:tcPr>
                <w:p>
                  <w:pPr>
                    <w:jc w:val="center"/>
                    <w:textAlignment w:val="baseline"/>
                    <w:rPr>
                      <w:b/>
                      <w:szCs w:val="21"/>
                    </w:rPr>
                  </w:pPr>
                  <w:r>
                    <w:rPr>
                      <w:b/>
                      <w:szCs w:val="21"/>
                    </w:rPr>
                    <w:t>序号</w:t>
                  </w:r>
                </w:p>
              </w:tc>
              <w:tc>
                <w:tcPr>
                  <w:tcW w:w="810" w:type="pct"/>
                  <w:tcBorders>
                    <w:bottom w:val="single" w:color="auto" w:sz="8" w:space="0"/>
                  </w:tcBorders>
                  <w:vAlign w:val="center"/>
                </w:tcPr>
                <w:p>
                  <w:pPr>
                    <w:jc w:val="center"/>
                    <w:textAlignment w:val="baseline"/>
                    <w:rPr>
                      <w:b/>
                      <w:szCs w:val="21"/>
                    </w:rPr>
                  </w:pPr>
                  <w:r>
                    <w:rPr>
                      <w:b/>
                      <w:szCs w:val="21"/>
                    </w:rPr>
                    <w:t>类别</w:t>
                  </w:r>
                </w:p>
              </w:tc>
              <w:tc>
                <w:tcPr>
                  <w:tcW w:w="1633" w:type="pct"/>
                  <w:tcBorders>
                    <w:bottom w:val="single" w:color="auto" w:sz="8" w:space="0"/>
                  </w:tcBorders>
                  <w:vAlign w:val="center"/>
                </w:tcPr>
                <w:p>
                  <w:pPr>
                    <w:jc w:val="center"/>
                    <w:textAlignment w:val="baseline"/>
                    <w:rPr>
                      <w:b/>
                      <w:szCs w:val="21"/>
                    </w:rPr>
                  </w:pPr>
                  <w:r>
                    <w:rPr>
                      <w:b/>
                      <w:szCs w:val="21"/>
                    </w:rPr>
                    <w:t>监测因子</w:t>
                  </w:r>
                </w:p>
              </w:tc>
              <w:tc>
                <w:tcPr>
                  <w:tcW w:w="1414" w:type="pct"/>
                  <w:tcBorders>
                    <w:bottom w:val="single" w:color="auto" w:sz="8" w:space="0"/>
                  </w:tcBorders>
                  <w:vAlign w:val="center"/>
                </w:tcPr>
                <w:p>
                  <w:pPr>
                    <w:jc w:val="center"/>
                    <w:textAlignment w:val="baseline"/>
                    <w:rPr>
                      <w:b/>
                      <w:szCs w:val="21"/>
                    </w:rPr>
                  </w:pPr>
                  <w:r>
                    <w:rPr>
                      <w:b/>
                      <w:szCs w:val="21"/>
                    </w:rPr>
                    <w:t>监测点位</w:t>
                  </w:r>
                </w:p>
              </w:tc>
              <w:tc>
                <w:tcPr>
                  <w:tcW w:w="709" w:type="pct"/>
                  <w:tcBorders>
                    <w:bottom w:val="single" w:color="auto" w:sz="8" w:space="0"/>
                  </w:tcBorders>
                  <w:vAlign w:val="center"/>
                </w:tcPr>
                <w:p>
                  <w:pPr>
                    <w:jc w:val="center"/>
                    <w:textAlignment w:val="baseline"/>
                    <w:rPr>
                      <w:b/>
                      <w:szCs w:val="21"/>
                    </w:rPr>
                  </w:pPr>
                  <w:r>
                    <w:rPr>
                      <w:b/>
                      <w:szCs w:val="21"/>
                    </w:rPr>
                    <w:t>监测频次</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 w:type="pct"/>
                  <w:vMerge w:val="restart"/>
                  <w:tcBorders>
                    <w:top w:val="single" w:color="auto" w:sz="8" w:space="0"/>
                  </w:tcBorders>
                  <w:vAlign w:val="center"/>
                </w:tcPr>
                <w:p>
                  <w:pPr>
                    <w:jc w:val="center"/>
                    <w:textAlignment w:val="baseline"/>
                    <w:rPr>
                      <w:bCs/>
                      <w:szCs w:val="21"/>
                    </w:rPr>
                  </w:pPr>
                  <w:r>
                    <w:rPr>
                      <w:bCs/>
                      <w:szCs w:val="21"/>
                    </w:rPr>
                    <w:t>1</w:t>
                  </w:r>
                </w:p>
              </w:tc>
              <w:tc>
                <w:tcPr>
                  <w:tcW w:w="810" w:type="pct"/>
                  <w:vMerge w:val="restart"/>
                  <w:tcBorders>
                    <w:top w:val="single" w:color="auto" w:sz="8" w:space="0"/>
                  </w:tcBorders>
                  <w:vAlign w:val="center"/>
                </w:tcPr>
                <w:p>
                  <w:pPr>
                    <w:jc w:val="center"/>
                    <w:textAlignment w:val="baseline"/>
                    <w:rPr>
                      <w:bCs/>
                      <w:szCs w:val="21"/>
                    </w:rPr>
                  </w:pPr>
                  <w:r>
                    <w:rPr>
                      <w:bCs/>
                      <w:szCs w:val="21"/>
                    </w:rPr>
                    <w:t>废气</w:t>
                  </w:r>
                </w:p>
              </w:tc>
              <w:tc>
                <w:tcPr>
                  <w:tcW w:w="1633" w:type="pct"/>
                  <w:tcBorders>
                    <w:top w:val="single" w:color="auto" w:sz="8" w:space="0"/>
                    <w:bottom w:val="single" w:color="auto" w:sz="4" w:space="0"/>
                  </w:tcBorders>
                  <w:vAlign w:val="center"/>
                </w:tcPr>
                <w:p>
                  <w:pPr>
                    <w:jc w:val="center"/>
                    <w:textAlignment w:val="baseline"/>
                    <w:rPr>
                      <w:bCs/>
                      <w:szCs w:val="21"/>
                    </w:rPr>
                  </w:pPr>
                  <w:r>
                    <w:rPr>
                      <w:rFonts w:hint="eastAsia"/>
                      <w:bCs/>
                      <w:szCs w:val="21"/>
                    </w:rPr>
                    <w:t>颗粒物</w:t>
                  </w:r>
                </w:p>
              </w:tc>
              <w:tc>
                <w:tcPr>
                  <w:tcW w:w="1414" w:type="pct"/>
                  <w:tcBorders>
                    <w:top w:val="single" w:color="auto" w:sz="8" w:space="0"/>
                    <w:bottom w:val="single" w:color="auto" w:sz="4" w:space="0"/>
                  </w:tcBorders>
                  <w:vAlign w:val="center"/>
                </w:tcPr>
                <w:p>
                  <w:pPr>
                    <w:jc w:val="center"/>
                    <w:textAlignment w:val="baseline"/>
                    <w:rPr>
                      <w:bCs/>
                      <w:szCs w:val="21"/>
                    </w:rPr>
                  </w:pPr>
                  <w:r>
                    <w:rPr>
                      <w:bCs/>
                      <w:szCs w:val="21"/>
                    </w:rPr>
                    <w:t>P排气筒排放口（有组织）</w:t>
                  </w:r>
                </w:p>
              </w:tc>
              <w:tc>
                <w:tcPr>
                  <w:tcW w:w="709" w:type="pct"/>
                  <w:vMerge w:val="restart"/>
                  <w:tcBorders>
                    <w:top w:val="single" w:color="auto" w:sz="8" w:space="0"/>
                  </w:tcBorders>
                  <w:vAlign w:val="center"/>
                </w:tcPr>
                <w:p>
                  <w:pPr>
                    <w:jc w:val="center"/>
                    <w:textAlignment w:val="baseline"/>
                    <w:rPr>
                      <w:bCs/>
                      <w:szCs w:val="21"/>
                    </w:rPr>
                  </w:pPr>
                  <w:r>
                    <w:rPr>
                      <w:bCs/>
                      <w:szCs w:val="21"/>
                    </w:rPr>
                    <w:t>1次/</w:t>
                  </w:r>
                  <w:r>
                    <w:rPr>
                      <w:rFonts w:hint="eastAsia"/>
                      <w:bCs/>
                      <w:szCs w:val="21"/>
                    </w:rPr>
                    <w:t>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 w:type="pct"/>
                  <w:vMerge w:val="continue"/>
                  <w:vAlign w:val="center"/>
                </w:tcPr>
                <w:p>
                  <w:pPr>
                    <w:jc w:val="center"/>
                    <w:textAlignment w:val="baseline"/>
                    <w:rPr>
                      <w:bCs/>
                      <w:szCs w:val="21"/>
                    </w:rPr>
                  </w:pPr>
                </w:p>
              </w:tc>
              <w:tc>
                <w:tcPr>
                  <w:tcW w:w="810" w:type="pct"/>
                  <w:vMerge w:val="continue"/>
                  <w:vAlign w:val="center"/>
                </w:tcPr>
                <w:p>
                  <w:pPr>
                    <w:jc w:val="center"/>
                    <w:textAlignment w:val="baseline"/>
                    <w:rPr>
                      <w:bCs/>
                      <w:szCs w:val="21"/>
                    </w:rPr>
                  </w:pPr>
                </w:p>
              </w:tc>
              <w:tc>
                <w:tcPr>
                  <w:tcW w:w="1633" w:type="pct"/>
                  <w:vAlign w:val="center"/>
                </w:tcPr>
                <w:p>
                  <w:pPr>
                    <w:jc w:val="center"/>
                    <w:textAlignment w:val="baseline"/>
                    <w:rPr>
                      <w:bCs/>
                      <w:szCs w:val="21"/>
                    </w:rPr>
                  </w:pPr>
                  <w:r>
                    <w:rPr>
                      <w:rFonts w:hint="eastAsia"/>
                      <w:bCs/>
                      <w:szCs w:val="21"/>
                    </w:rPr>
                    <w:t>颗粒物</w:t>
                  </w:r>
                </w:p>
              </w:tc>
              <w:tc>
                <w:tcPr>
                  <w:tcW w:w="1414" w:type="pct"/>
                  <w:vAlign w:val="center"/>
                </w:tcPr>
                <w:p>
                  <w:pPr>
                    <w:jc w:val="center"/>
                    <w:textAlignment w:val="baseline"/>
                    <w:rPr>
                      <w:bCs/>
                      <w:szCs w:val="21"/>
                    </w:rPr>
                  </w:pPr>
                  <w:r>
                    <w:rPr>
                      <w:bCs/>
                      <w:szCs w:val="21"/>
                    </w:rPr>
                    <w:t>厂界四周（无组织）</w:t>
                  </w:r>
                </w:p>
              </w:tc>
              <w:tc>
                <w:tcPr>
                  <w:tcW w:w="709" w:type="pct"/>
                  <w:vMerge w:val="continue"/>
                  <w:vAlign w:val="center"/>
                </w:tcPr>
                <w:p>
                  <w:pPr>
                    <w:jc w:val="center"/>
                    <w:textAlignment w:val="baseline"/>
                    <w:rPr>
                      <w:bCs/>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 w:type="pct"/>
                  <w:vAlign w:val="center"/>
                </w:tcPr>
                <w:p>
                  <w:pPr>
                    <w:jc w:val="center"/>
                    <w:textAlignment w:val="baseline"/>
                    <w:rPr>
                      <w:bCs/>
                      <w:szCs w:val="21"/>
                    </w:rPr>
                  </w:pPr>
                  <w:r>
                    <w:rPr>
                      <w:bCs/>
                      <w:szCs w:val="21"/>
                    </w:rPr>
                    <w:t>2</w:t>
                  </w:r>
                </w:p>
              </w:tc>
              <w:tc>
                <w:tcPr>
                  <w:tcW w:w="810" w:type="pct"/>
                  <w:vAlign w:val="center"/>
                </w:tcPr>
                <w:p>
                  <w:pPr>
                    <w:jc w:val="center"/>
                    <w:textAlignment w:val="baseline"/>
                    <w:rPr>
                      <w:bCs/>
                      <w:szCs w:val="21"/>
                    </w:rPr>
                  </w:pPr>
                  <w:r>
                    <w:rPr>
                      <w:bCs/>
                      <w:szCs w:val="21"/>
                    </w:rPr>
                    <w:t>噪声</w:t>
                  </w:r>
                </w:p>
              </w:tc>
              <w:tc>
                <w:tcPr>
                  <w:tcW w:w="1633" w:type="pct"/>
                  <w:vAlign w:val="center"/>
                </w:tcPr>
                <w:p>
                  <w:pPr>
                    <w:jc w:val="center"/>
                    <w:textAlignment w:val="baseline"/>
                    <w:rPr>
                      <w:bCs/>
                      <w:szCs w:val="21"/>
                    </w:rPr>
                  </w:pPr>
                  <w:r>
                    <w:rPr>
                      <w:bCs/>
                      <w:szCs w:val="21"/>
                    </w:rPr>
                    <w:t>Leq（A）</w:t>
                  </w:r>
                </w:p>
              </w:tc>
              <w:tc>
                <w:tcPr>
                  <w:tcW w:w="1414" w:type="pct"/>
                  <w:vAlign w:val="center"/>
                </w:tcPr>
                <w:p>
                  <w:pPr>
                    <w:jc w:val="center"/>
                    <w:textAlignment w:val="baseline"/>
                    <w:rPr>
                      <w:bCs/>
                      <w:szCs w:val="21"/>
                    </w:rPr>
                  </w:pPr>
                  <w:r>
                    <w:rPr>
                      <w:bCs/>
                      <w:szCs w:val="21"/>
                    </w:rPr>
                    <w:t>四周厂界外1m</w:t>
                  </w:r>
                </w:p>
              </w:tc>
              <w:tc>
                <w:tcPr>
                  <w:tcW w:w="709" w:type="pct"/>
                  <w:vAlign w:val="center"/>
                </w:tcPr>
                <w:p>
                  <w:pPr>
                    <w:jc w:val="center"/>
                    <w:textAlignment w:val="baseline"/>
                    <w:rPr>
                      <w:bCs/>
                      <w:szCs w:val="21"/>
                    </w:rPr>
                  </w:pPr>
                  <w:r>
                    <w:rPr>
                      <w:bCs/>
                      <w:szCs w:val="21"/>
                    </w:rPr>
                    <w:t>1次/</w:t>
                  </w:r>
                  <w:r>
                    <w:rPr>
                      <w:rFonts w:hint="eastAsia"/>
                      <w:bCs/>
                      <w:szCs w:val="21"/>
                    </w:rPr>
                    <w:t>年</w:t>
                  </w:r>
                </w:p>
              </w:tc>
            </w:tr>
          </w:tbl>
          <w:p>
            <w:pPr>
              <w:adjustRightInd w:val="0"/>
              <w:snapToGrid w:val="0"/>
              <w:spacing w:line="400" w:lineRule="exact"/>
              <w:ind w:firstLine="482" w:firstLineChars="200"/>
              <w:rPr>
                <w:b/>
                <w:snapToGrid w:val="0"/>
                <w:sz w:val="24"/>
              </w:rPr>
            </w:pPr>
            <w:r>
              <w:rPr>
                <w:rFonts w:hAnsi="宋体"/>
                <w:b/>
                <w:snapToGrid w:val="0"/>
                <w:sz w:val="24"/>
              </w:rPr>
              <w:t>十一、环保投资估算</w:t>
            </w:r>
          </w:p>
          <w:p>
            <w:pPr>
              <w:adjustRightInd w:val="0"/>
              <w:snapToGrid w:val="0"/>
              <w:spacing w:line="400" w:lineRule="exact"/>
              <w:ind w:firstLine="480"/>
              <w:rPr>
                <w:rFonts w:ascii="黑体" w:hAnsi="黑体"/>
                <w:bCs/>
                <w:spacing w:val="-6"/>
                <w:sz w:val="24"/>
              </w:rPr>
            </w:pPr>
            <w:r>
              <w:rPr>
                <w:rFonts w:hAnsi="宋体"/>
                <w:snapToGrid w:val="0"/>
                <w:kern w:val="0"/>
                <w:sz w:val="24"/>
              </w:rPr>
              <w:t>本项目总投资为</w:t>
            </w:r>
            <w:r>
              <w:rPr>
                <w:snapToGrid w:val="0"/>
                <w:kern w:val="0"/>
                <w:sz w:val="24"/>
              </w:rPr>
              <w:t>40</w:t>
            </w:r>
            <w:r>
              <w:rPr>
                <w:rFonts w:hAnsi="宋体"/>
                <w:snapToGrid w:val="0"/>
                <w:kern w:val="0"/>
                <w:sz w:val="24"/>
              </w:rPr>
              <w:t>万元，其中环保投资为</w:t>
            </w:r>
            <w:r>
              <w:rPr>
                <w:rFonts w:hint="eastAsia"/>
                <w:snapToGrid w:val="0"/>
                <w:kern w:val="0"/>
                <w:sz w:val="24"/>
              </w:rPr>
              <w:t>7</w:t>
            </w:r>
            <w:r>
              <w:rPr>
                <w:snapToGrid w:val="0"/>
                <w:kern w:val="0"/>
                <w:sz w:val="24"/>
              </w:rPr>
              <w:t>.</w:t>
            </w:r>
            <w:r>
              <w:rPr>
                <w:rFonts w:hint="eastAsia"/>
                <w:snapToGrid w:val="0"/>
                <w:kern w:val="0"/>
                <w:sz w:val="24"/>
              </w:rPr>
              <w:t>0</w:t>
            </w:r>
            <w:r>
              <w:rPr>
                <w:rFonts w:hAnsi="宋体"/>
                <w:snapToGrid w:val="0"/>
                <w:kern w:val="0"/>
                <w:sz w:val="24"/>
              </w:rPr>
              <w:t>万元，占总投资的</w:t>
            </w:r>
            <w:r>
              <w:rPr>
                <w:rFonts w:hint="eastAsia"/>
                <w:snapToGrid w:val="0"/>
                <w:kern w:val="0"/>
                <w:sz w:val="24"/>
              </w:rPr>
              <w:t>17.5</w:t>
            </w:r>
            <w:r>
              <w:rPr>
                <w:snapToGrid w:val="0"/>
                <w:kern w:val="0"/>
                <w:sz w:val="24"/>
              </w:rPr>
              <w:t>%</w:t>
            </w:r>
            <w:r>
              <w:rPr>
                <w:rFonts w:hAnsi="宋体"/>
                <w:snapToGrid w:val="0"/>
                <w:kern w:val="0"/>
                <w:sz w:val="24"/>
              </w:rPr>
              <w:t>。环保投资估算表见</w:t>
            </w:r>
            <w:r>
              <w:rPr>
                <w:rFonts w:hint="eastAsia" w:hAnsi="宋体"/>
                <w:snapToGrid w:val="0"/>
                <w:kern w:val="0"/>
                <w:sz w:val="24"/>
              </w:rPr>
              <w:t>下</w:t>
            </w:r>
            <w:r>
              <w:rPr>
                <w:rFonts w:hAnsi="宋体"/>
                <w:snapToGrid w:val="0"/>
                <w:kern w:val="0"/>
                <w:sz w:val="24"/>
              </w:rPr>
              <w:t>表</w:t>
            </w:r>
            <w:r>
              <w:rPr>
                <w:rFonts w:hint="eastAsia" w:hAnsi="宋体"/>
                <w:snapToGrid w:val="0"/>
                <w:kern w:val="0"/>
                <w:sz w:val="24"/>
              </w:rPr>
              <w:t>：</w:t>
            </w:r>
          </w:p>
          <w:p>
            <w:pPr>
              <w:spacing w:line="440" w:lineRule="exact"/>
              <w:ind w:firstLine="456" w:firstLineChars="200"/>
              <w:rPr>
                <w:rFonts w:eastAsia="黑体"/>
                <w:bCs/>
                <w:spacing w:val="-6"/>
                <w:sz w:val="24"/>
              </w:rPr>
            </w:pPr>
            <w:r>
              <w:rPr>
                <w:rFonts w:eastAsia="黑体"/>
                <w:bCs/>
                <w:spacing w:val="-6"/>
                <w:sz w:val="24"/>
              </w:rPr>
              <w:t>表</w:t>
            </w:r>
            <w:r>
              <w:rPr>
                <w:rFonts w:hint="eastAsia" w:eastAsia="黑体"/>
                <w:bCs/>
                <w:spacing w:val="-6"/>
                <w:sz w:val="24"/>
              </w:rPr>
              <w:t>40</w:t>
            </w:r>
            <w:r>
              <w:rPr>
                <w:rFonts w:eastAsia="黑体"/>
                <w:bCs/>
                <w:spacing w:val="-6"/>
                <w:sz w:val="24"/>
              </w:rPr>
              <w:t>　                本项目环保投资估算一览表</w:t>
            </w:r>
          </w:p>
          <w:tbl>
            <w:tblPr>
              <w:tblStyle w:val="24"/>
              <w:tblW w:w="9089"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115"/>
              <w:gridCol w:w="1602"/>
              <w:gridCol w:w="4166"/>
              <w:gridCol w:w="1779"/>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6" w:type="pct"/>
                  <w:tcBorders>
                    <w:bottom w:val="single" w:color="auto" w:sz="8" w:space="0"/>
                    <w:tl2br w:val="nil"/>
                    <w:tr2bl w:val="nil"/>
                  </w:tcBorders>
                  <w:vAlign w:val="center"/>
                </w:tcPr>
                <w:p>
                  <w:pPr>
                    <w:adjustRightInd w:val="0"/>
                    <w:snapToGrid w:val="0"/>
                    <w:jc w:val="center"/>
                    <w:rPr>
                      <w:rFonts w:eastAsiaTheme="minorEastAsia"/>
                      <w:b/>
                      <w:bCs/>
                      <w:szCs w:val="21"/>
                    </w:rPr>
                  </w:pPr>
                  <w:r>
                    <w:rPr>
                      <w:rFonts w:eastAsiaTheme="minorEastAsia"/>
                      <w:b/>
                      <w:bCs/>
                      <w:szCs w:val="21"/>
                    </w:rPr>
                    <w:t>序号</w:t>
                  </w:r>
                </w:p>
              </w:tc>
              <w:tc>
                <w:tcPr>
                  <w:tcW w:w="623" w:type="pct"/>
                  <w:tcBorders>
                    <w:bottom w:val="single" w:color="auto" w:sz="8" w:space="0"/>
                    <w:tl2br w:val="nil"/>
                    <w:tr2bl w:val="nil"/>
                  </w:tcBorders>
                  <w:vAlign w:val="center"/>
                </w:tcPr>
                <w:p>
                  <w:pPr>
                    <w:adjustRightInd w:val="0"/>
                    <w:snapToGrid w:val="0"/>
                    <w:jc w:val="center"/>
                    <w:rPr>
                      <w:rFonts w:eastAsiaTheme="minorEastAsia"/>
                      <w:b/>
                      <w:bCs/>
                      <w:szCs w:val="21"/>
                    </w:rPr>
                  </w:pPr>
                  <w:r>
                    <w:rPr>
                      <w:rFonts w:eastAsiaTheme="minorEastAsia"/>
                      <w:b/>
                      <w:bCs/>
                      <w:szCs w:val="21"/>
                    </w:rPr>
                    <w:t>污染因素</w:t>
                  </w:r>
                </w:p>
              </w:tc>
              <w:tc>
                <w:tcPr>
                  <w:tcW w:w="891" w:type="pct"/>
                  <w:tcBorders>
                    <w:bottom w:val="single" w:color="auto" w:sz="8" w:space="0"/>
                    <w:tl2br w:val="nil"/>
                    <w:tr2bl w:val="nil"/>
                  </w:tcBorders>
                  <w:vAlign w:val="center"/>
                </w:tcPr>
                <w:p>
                  <w:pPr>
                    <w:adjustRightInd w:val="0"/>
                    <w:snapToGrid w:val="0"/>
                    <w:jc w:val="center"/>
                    <w:rPr>
                      <w:rFonts w:eastAsiaTheme="minorEastAsia"/>
                      <w:b/>
                      <w:bCs/>
                      <w:szCs w:val="21"/>
                    </w:rPr>
                  </w:pPr>
                  <w:r>
                    <w:rPr>
                      <w:rFonts w:eastAsiaTheme="minorEastAsia"/>
                      <w:b/>
                      <w:bCs/>
                      <w:szCs w:val="21"/>
                    </w:rPr>
                    <w:t>污染源</w:t>
                  </w:r>
                </w:p>
              </w:tc>
              <w:tc>
                <w:tcPr>
                  <w:tcW w:w="2300" w:type="pct"/>
                  <w:tcBorders>
                    <w:bottom w:val="single" w:color="auto" w:sz="8" w:space="0"/>
                    <w:tl2br w:val="nil"/>
                    <w:tr2bl w:val="nil"/>
                  </w:tcBorders>
                  <w:vAlign w:val="center"/>
                </w:tcPr>
                <w:p>
                  <w:pPr>
                    <w:adjustRightInd w:val="0"/>
                    <w:snapToGrid w:val="0"/>
                    <w:jc w:val="center"/>
                    <w:rPr>
                      <w:rFonts w:eastAsiaTheme="minorEastAsia"/>
                      <w:b/>
                      <w:bCs/>
                      <w:szCs w:val="21"/>
                    </w:rPr>
                  </w:pPr>
                  <w:r>
                    <w:rPr>
                      <w:rFonts w:eastAsiaTheme="minorEastAsia"/>
                      <w:b/>
                      <w:bCs/>
                      <w:szCs w:val="21"/>
                    </w:rPr>
                    <w:t>治理措施</w:t>
                  </w:r>
                </w:p>
              </w:tc>
              <w:tc>
                <w:tcPr>
                  <w:tcW w:w="988" w:type="pct"/>
                  <w:tcBorders>
                    <w:bottom w:val="single" w:color="auto" w:sz="8" w:space="0"/>
                    <w:tl2br w:val="nil"/>
                    <w:tr2bl w:val="nil"/>
                  </w:tcBorders>
                  <w:vAlign w:val="center"/>
                </w:tcPr>
                <w:p>
                  <w:pPr>
                    <w:adjustRightInd w:val="0"/>
                    <w:snapToGrid w:val="0"/>
                    <w:jc w:val="center"/>
                    <w:rPr>
                      <w:rFonts w:eastAsiaTheme="minorEastAsia"/>
                      <w:b/>
                      <w:bCs/>
                      <w:szCs w:val="21"/>
                    </w:rPr>
                  </w:pPr>
                  <w:r>
                    <w:rPr>
                      <w:rFonts w:eastAsiaTheme="minorEastAsia"/>
                      <w:b/>
                      <w:bCs/>
                      <w:szCs w:val="21"/>
                    </w:rPr>
                    <w:t>投资（万元）</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6" w:type="pct"/>
                  <w:vMerge w:val="restart"/>
                  <w:tcBorders>
                    <w:top w:val="single" w:color="auto" w:sz="8" w:space="0"/>
                    <w:tl2br w:val="nil"/>
                    <w:tr2bl w:val="nil"/>
                  </w:tcBorders>
                  <w:vAlign w:val="center"/>
                </w:tcPr>
                <w:p>
                  <w:pPr>
                    <w:adjustRightInd w:val="0"/>
                    <w:snapToGrid w:val="0"/>
                    <w:jc w:val="center"/>
                    <w:rPr>
                      <w:rFonts w:eastAsiaTheme="minorEastAsia"/>
                      <w:kern w:val="0"/>
                      <w:szCs w:val="21"/>
                    </w:rPr>
                  </w:pPr>
                  <w:r>
                    <w:rPr>
                      <w:rFonts w:eastAsiaTheme="minorEastAsia"/>
                      <w:kern w:val="0"/>
                      <w:szCs w:val="21"/>
                    </w:rPr>
                    <w:t>1</w:t>
                  </w:r>
                </w:p>
              </w:tc>
              <w:tc>
                <w:tcPr>
                  <w:tcW w:w="623" w:type="pct"/>
                  <w:vMerge w:val="restart"/>
                  <w:tcBorders>
                    <w:top w:val="single" w:color="auto" w:sz="8" w:space="0"/>
                    <w:tl2br w:val="nil"/>
                    <w:tr2bl w:val="nil"/>
                  </w:tcBorders>
                  <w:vAlign w:val="center"/>
                </w:tcPr>
                <w:p>
                  <w:pPr>
                    <w:adjustRightInd w:val="0"/>
                    <w:snapToGrid w:val="0"/>
                    <w:jc w:val="center"/>
                    <w:rPr>
                      <w:rFonts w:eastAsiaTheme="minorEastAsia"/>
                      <w:kern w:val="0"/>
                      <w:szCs w:val="21"/>
                    </w:rPr>
                  </w:pPr>
                  <w:r>
                    <w:rPr>
                      <w:rFonts w:eastAsiaTheme="minorEastAsia"/>
                      <w:kern w:val="0"/>
                      <w:szCs w:val="21"/>
                    </w:rPr>
                    <w:t>废气</w:t>
                  </w:r>
                </w:p>
              </w:tc>
              <w:tc>
                <w:tcPr>
                  <w:tcW w:w="891" w:type="pct"/>
                  <w:tcBorders>
                    <w:top w:val="single" w:color="auto" w:sz="8" w:space="0"/>
                    <w:tl2br w:val="nil"/>
                    <w:tr2bl w:val="nil"/>
                  </w:tcBorders>
                  <w:vAlign w:val="center"/>
                </w:tcPr>
                <w:p>
                  <w:pPr>
                    <w:adjustRightInd w:val="0"/>
                    <w:snapToGrid w:val="0"/>
                    <w:jc w:val="center"/>
                    <w:rPr>
                      <w:szCs w:val="21"/>
                    </w:rPr>
                  </w:pPr>
                  <w:r>
                    <w:rPr>
                      <w:szCs w:val="21"/>
                    </w:rPr>
                    <w:t>抛光过程</w:t>
                  </w:r>
                  <w:r>
                    <w:rPr>
                      <w:rFonts w:hint="eastAsia"/>
                      <w:szCs w:val="21"/>
                    </w:rPr>
                    <w:t>（有组织）</w:t>
                  </w:r>
                </w:p>
              </w:tc>
              <w:tc>
                <w:tcPr>
                  <w:tcW w:w="2300" w:type="pct"/>
                  <w:tcBorders>
                    <w:top w:val="single" w:color="auto" w:sz="8" w:space="0"/>
                    <w:tl2br w:val="nil"/>
                    <w:tr2bl w:val="nil"/>
                  </w:tcBorders>
                  <w:vAlign w:val="center"/>
                </w:tcPr>
                <w:p>
                  <w:pPr>
                    <w:pStyle w:val="3"/>
                    <w:tabs>
                      <w:tab w:val="left" w:pos="210"/>
                    </w:tabs>
                    <w:snapToGrid w:val="0"/>
                    <w:spacing w:line="240" w:lineRule="auto"/>
                    <w:ind w:firstLine="0" w:firstLineChars="0"/>
                    <w:rPr>
                      <w:rFonts w:ascii="Times New Roman" w:hAnsi="Times New Roman"/>
                      <w:szCs w:val="21"/>
                    </w:rPr>
                  </w:pPr>
                  <w:r>
                    <w:rPr>
                      <w:rFonts w:ascii="Times New Roman" w:hAnsi="Times New Roman"/>
                      <w:color w:val="000000"/>
                      <w:sz w:val="21"/>
                      <w:szCs w:val="21"/>
                    </w:rPr>
                    <w:t>集气罩</w:t>
                  </w:r>
                  <w:r>
                    <w:rPr>
                      <w:rFonts w:hint="eastAsia" w:ascii="Times New Roman" w:hAnsi="Times New Roman"/>
                      <w:color w:val="000000"/>
                      <w:sz w:val="21"/>
                      <w:szCs w:val="21"/>
                    </w:rPr>
                    <w:t>收集+</w:t>
                  </w:r>
                  <w:r>
                    <w:rPr>
                      <w:rFonts w:ascii="Times New Roman" w:hAnsi="Times New Roman"/>
                      <w:color w:val="000000"/>
                      <w:sz w:val="21"/>
                      <w:szCs w:val="21"/>
                    </w:rPr>
                    <w:t>袋式除尘器</w:t>
                  </w:r>
                  <w:r>
                    <w:rPr>
                      <w:rFonts w:hint="eastAsia" w:ascii="Times New Roman" w:hAnsi="Times New Roman"/>
                      <w:color w:val="000000"/>
                      <w:sz w:val="21"/>
                      <w:szCs w:val="21"/>
                    </w:rPr>
                    <w:t>处理后经</w:t>
                  </w:r>
                  <w:r>
                    <w:rPr>
                      <w:rFonts w:ascii="Times New Roman" w:hAnsi="Times New Roman"/>
                      <w:color w:val="000000"/>
                      <w:sz w:val="21"/>
                      <w:szCs w:val="21"/>
                    </w:rPr>
                    <w:t>15m排气筒</w:t>
                  </w:r>
                  <w:r>
                    <w:rPr>
                      <w:rFonts w:hint="eastAsia" w:ascii="Times New Roman" w:hAnsi="Times New Roman"/>
                      <w:color w:val="000000"/>
                      <w:sz w:val="21"/>
                      <w:szCs w:val="21"/>
                    </w:rPr>
                    <w:t>排放</w:t>
                  </w:r>
                </w:p>
              </w:tc>
              <w:tc>
                <w:tcPr>
                  <w:tcW w:w="988" w:type="pct"/>
                  <w:vMerge w:val="restart"/>
                  <w:tcBorders>
                    <w:top w:val="single" w:color="auto" w:sz="8" w:space="0"/>
                    <w:tl2br w:val="nil"/>
                    <w:tr2bl w:val="nil"/>
                  </w:tcBorders>
                  <w:vAlign w:val="center"/>
                </w:tcPr>
                <w:p>
                  <w:pPr>
                    <w:adjustRightInd w:val="0"/>
                    <w:snapToGrid w:val="0"/>
                    <w:jc w:val="center"/>
                    <w:rPr>
                      <w:rFonts w:eastAsiaTheme="minorEastAsia"/>
                      <w:szCs w:val="21"/>
                    </w:rPr>
                  </w:pPr>
                  <w:r>
                    <w:rPr>
                      <w:rFonts w:eastAsiaTheme="minorEastAsia"/>
                      <w:szCs w:val="21"/>
                    </w:rPr>
                    <w:t>4</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6" w:type="pct"/>
                  <w:vMerge w:val="continue"/>
                  <w:tcBorders>
                    <w:tl2br w:val="nil"/>
                    <w:tr2bl w:val="nil"/>
                  </w:tcBorders>
                  <w:vAlign w:val="center"/>
                </w:tcPr>
                <w:p>
                  <w:pPr>
                    <w:adjustRightInd w:val="0"/>
                    <w:snapToGrid w:val="0"/>
                    <w:jc w:val="center"/>
                    <w:rPr>
                      <w:rFonts w:eastAsiaTheme="minorEastAsia"/>
                      <w:kern w:val="0"/>
                      <w:szCs w:val="21"/>
                    </w:rPr>
                  </w:pPr>
                </w:p>
              </w:tc>
              <w:tc>
                <w:tcPr>
                  <w:tcW w:w="623" w:type="pct"/>
                  <w:vMerge w:val="continue"/>
                  <w:tcBorders>
                    <w:tl2br w:val="nil"/>
                    <w:tr2bl w:val="nil"/>
                  </w:tcBorders>
                  <w:vAlign w:val="center"/>
                </w:tcPr>
                <w:p>
                  <w:pPr>
                    <w:adjustRightInd w:val="0"/>
                    <w:snapToGrid w:val="0"/>
                    <w:jc w:val="center"/>
                    <w:rPr>
                      <w:rFonts w:eastAsiaTheme="minorEastAsia"/>
                      <w:kern w:val="0"/>
                      <w:szCs w:val="21"/>
                    </w:rPr>
                  </w:pPr>
                </w:p>
              </w:tc>
              <w:tc>
                <w:tcPr>
                  <w:tcW w:w="891" w:type="pct"/>
                  <w:tcBorders>
                    <w:tl2br w:val="nil"/>
                    <w:tr2bl w:val="nil"/>
                  </w:tcBorders>
                  <w:vAlign w:val="center"/>
                </w:tcPr>
                <w:p>
                  <w:pPr>
                    <w:adjustRightInd w:val="0"/>
                    <w:snapToGrid w:val="0"/>
                    <w:jc w:val="center"/>
                    <w:rPr>
                      <w:szCs w:val="21"/>
                    </w:rPr>
                  </w:pPr>
                  <w:r>
                    <w:rPr>
                      <w:szCs w:val="21"/>
                    </w:rPr>
                    <w:t>抛光过程</w:t>
                  </w:r>
                  <w:r>
                    <w:rPr>
                      <w:rFonts w:hint="eastAsia"/>
                      <w:szCs w:val="21"/>
                    </w:rPr>
                    <w:t>（无组织）</w:t>
                  </w:r>
                </w:p>
              </w:tc>
              <w:tc>
                <w:tcPr>
                  <w:tcW w:w="2300" w:type="pct"/>
                  <w:tcBorders>
                    <w:tl2br w:val="nil"/>
                    <w:tr2bl w:val="nil"/>
                  </w:tcBorders>
                  <w:vAlign w:val="center"/>
                </w:tcPr>
                <w:p>
                  <w:pPr>
                    <w:adjustRightInd w:val="0"/>
                    <w:snapToGrid w:val="0"/>
                    <w:jc w:val="center"/>
                    <w:rPr>
                      <w:color w:val="000000"/>
                      <w:szCs w:val="21"/>
                    </w:rPr>
                  </w:pPr>
                  <w:r>
                    <w:rPr>
                      <w:rFonts w:hint="eastAsia"/>
                      <w:color w:val="000000"/>
                      <w:szCs w:val="21"/>
                    </w:rPr>
                    <w:t>密闭抛光车间、生产车间，车间地面上的粉尘及时用吸尘器清理</w:t>
                  </w:r>
                  <w:r>
                    <w:rPr>
                      <w:color w:val="000000"/>
                      <w:szCs w:val="21"/>
                    </w:rPr>
                    <w:t>；厂区道路应进行硬化，裸露土地全部绿化</w:t>
                  </w:r>
                </w:p>
              </w:tc>
              <w:tc>
                <w:tcPr>
                  <w:tcW w:w="988" w:type="pct"/>
                  <w:vMerge w:val="continue"/>
                  <w:tcBorders>
                    <w:tl2br w:val="nil"/>
                    <w:tr2bl w:val="nil"/>
                  </w:tcBorders>
                  <w:vAlign w:val="center"/>
                </w:tcPr>
                <w:p>
                  <w:pPr>
                    <w:adjustRightInd w:val="0"/>
                    <w:snapToGrid w:val="0"/>
                    <w:jc w:val="center"/>
                    <w:rPr>
                      <w:rFonts w:eastAsiaTheme="minorEastAsia"/>
                      <w:szCs w:val="21"/>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6" w:type="pct"/>
                  <w:tcBorders>
                    <w:tl2br w:val="nil"/>
                    <w:tr2bl w:val="nil"/>
                  </w:tcBorders>
                  <w:vAlign w:val="center"/>
                </w:tcPr>
                <w:p>
                  <w:pPr>
                    <w:adjustRightInd w:val="0"/>
                    <w:snapToGrid w:val="0"/>
                    <w:jc w:val="center"/>
                    <w:rPr>
                      <w:rFonts w:eastAsiaTheme="minorEastAsia"/>
                      <w:kern w:val="0"/>
                      <w:szCs w:val="21"/>
                    </w:rPr>
                  </w:pPr>
                  <w:r>
                    <w:rPr>
                      <w:rFonts w:hint="eastAsia" w:eastAsiaTheme="minorEastAsia"/>
                      <w:kern w:val="0"/>
                      <w:szCs w:val="21"/>
                    </w:rPr>
                    <w:t>2</w:t>
                  </w:r>
                </w:p>
              </w:tc>
              <w:tc>
                <w:tcPr>
                  <w:tcW w:w="623" w:type="pct"/>
                  <w:tcBorders>
                    <w:tl2br w:val="nil"/>
                    <w:tr2bl w:val="nil"/>
                  </w:tcBorders>
                  <w:vAlign w:val="center"/>
                </w:tcPr>
                <w:p>
                  <w:pPr>
                    <w:adjustRightInd w:val="0"/>
                    <w:snapToGrid w:val="0"/>
                    <w:jc w:val="center"/>
                    <w:rPr>
                      <w:rFonts w:eastAsiaTheme="minorEastAsia"/>
                      <w:kern w:val="0"/>
                      <w:szCs w:val="21"/>
                    </w:rPr>
                  </w:pPr>
                  <w:r>
                    <w:rPr>
                      <w:rFonts w:eastAsiaTheme="minorEastAsia"/>
                      <w:kern w:val="0"/>
                      <w:szCs w:val="21"/>
                    </w:rPr>
                    <w:t>废水</w:t>
                  </w:r>
                </w:p>
              </w:tc>
              <w:tc>
                <w:tcPr>
                  <w:tcW w:w="891" w:type="pct"/>
                  <w:tcBorders>
                    <w:tl2br w:val="nil"/>
                    <w:tr2bl w:val="nil"/>
                  </w:tcBorders>
                  <w:vAlign w:val="center"/>
                </w:tcPr>
                <w:p>
                  <w:pPr>
                    <w:adjustRightInd w:val="0"/>
                    <w:snapToGrid w:val="0"/>
                    <w:jc w:val="center"/>
                    <w:rPr>
                      <w:rFonts w:eastAsiaTheme="minorEastAsia"/>
                      <w:kern w:val="0"/>
                      <w:szCs w:val="21"/>
                    </w:rPr>
                  </w:pPr>
                  <w:r>
                    <w:rPr>
                      <w:rFonts w:eastAsiaTheme="minorEastAsia"/>
                      <w:kern w:val="0"/>
                      <w:szCs w:val="21"/>
                    </w:rPr>
                    <w:t>生活污水</w:t>
                  </w:r>
                </w:p>
              </w:tc>
              <w:tc>
                <w:tcPr>
                  <w:tcW w:w="2300" w:type="pct"/>
                  <w:tcBorders>
                    <w:tl2br w:val="nil"/>
                    <w:tr2bl w:val="nil"/>
                  </w:tcBorders>
                  <w:vAlign w:val="center"/>
                </w:tcPr>
                <w:p>
                  <w:pPr>
                    <w:adjustRightInd w:val="0"/>
                    <w:snapToGrid w:val="0"/>
                    <w:jc w:val="center"/>
                    <w:rPr>
                      <w:rFonts w:eastAsiaTheme="minorEastAsia"/>
                      <w:szCs w:val="21"/>
                    </w:rPr>
                  </w:pPr>
                  <w:r>
                    <w:rPr>
                      <w:szCs w:val="21"/>
                    </w:rPr>
                    <w:t>化粪池（有效容积</w:t>
                  </w:r>
                  <w:r>
                    <w:rPr>
                      <w:rFonts w:hint="eastAsia"/>
                      <w:szCs w:val="21"/>
                    </w:rPr>
                    <w:t>2</w:t>
                  </w:r>
                  <w:r>
                    <w:rPr>
                      <w:szCs w:val="21"/>
                    </w:rPr>
                    <w:t>m</w:t>
                  </w:r>
                  <w:r>
                    <w:rPr>
                      <w:szCs w:val="21"/>
                      <w:vertAlign w:val="superscript"/>
                    </w:rPr>
                    <w:t>3</w:t>
                  </w:r>
                  <w:r>
                    <w:rPr>
                      <w:szCs w:val="21"/>
                    </w:rPr>
                    <w:t>）</w:t>
                  </w:r>
                </w:p>
              </w:tc>
              <w:tc>
                <w:tcPr>
                  <w:tcW w:w="988" w:type="pct"/>
                  <w:tcBorders>
                    <w:tl2br w:val="nil"/>
                    <w:tr2bl w:val="nil"/>
                  </w:tcBorders>
                  <w:vAlign w:val="center"/>
                </w:tcPr>
                <w:p>
                  <w:pPr>
                    <w:adjustRightInd w:val="0"/>
                    <w:snapToGrid w:val="0"/>
                    <w:jc w:val="center"/>
                    <w:rPr>
                      <w:rFonts w:hint="eastAsia" w:eastAsiaTheme="minorEastAsia"/>
                      <w:szCs w:val="21"/>
                      <w:lang w:eastAsia="zh-CN"/>
                    </w:rPr>
                  </w:pPr>
                  <w:r>
                    <w:rPr>
                      <w:rFonts w:hint="eastAsia" w:eastAsiaTheme="minorEastAsia"/>
                      <w:szCs w:val="21"/>
                      <w:lang w:val="en-US" w:eastAsia="zh-CN"/>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6" w:type="pct"/>
                  <w:tcBorders>
                    <w:tl2br w:val="nil"/>
                    <w:tr2bl w:val="nil"/>
                  </w:tcBorders>
                  <w:vAlign w:val="center"/>
                </w:tcPr>
                <w:p>
                  <w:pPr>
                    <w:adjustRightInd w:val="0"/>
                    <w:snapToGrid w:val="0"/>
                    <w:jc w:val="center"/>
                    <w:rPr>
                      <w:rFonts w:eastAsiaTheme="minorEastAsia"/>
                      <w:kern w:val="0"/>
                      <w:szCs w:val="21"/>
                    </w:rPr>
                  </w:pPr>
                  <w:r>
                    <w:rPr>
                      <w:rFonts w:hint="eastAsia" w:eastAsiaTheme="minorEastAsia"/>
                      <w:kern w:val="0"/>
                      <w:szCs w:val="21"/>
                    </w:rPr>
                    <w:t>3</w:t>
                  </w:r>
                </w:p>
              </w:tc>
              <w:tc>
                <w:tcPr>
                  <w:tcW w:w="623" w:type="pct"/>
                  <w:tcBorders>
                    <w:tl2br w:val="nil"/>
                    <w:tr2bl w:val="nil"/>
                  </w:tcBorders>
                  <w:vAlign w:val="center"/>
                </w:tcPr>
                <w:p>
                  <w:pPr>
                    <w:adjustRightInd w:val="0"/>
                    <w:snapToGrid w:val="0"/>
                    <w:jc w:val="center"/>
                    <w:rPr>
                      <w:rFonts w:eastAsiaTheme="minorEastAsia"/>
                      <w:kern w:val="0"/>
                      <w:szCs w:val="21"/>
                    </w:rPr>
                  </w:pPr>
                  <w:r>
                    <w:rPr>
                      <w:rFonts w:eastAsiaTheme="minorEastAsia"/>
                      <w:kern w:val="0"/>
                      <w:szCs w:val="21"/>
                    </w:rPr>
                    <w:t>噪声</w:t>
                  </w:r>
                </w:p>
              </w:tc>
              <w:tc>
                <w:tcPr>
                  <w:tcW w:w="891" w:type="pct"/>
                  <w:tcBorders>
                    <w:tl2br w:val="nil"/>
                    <w:tr2bl w:val="nil"/>
                  </w:tcBorders>
                  <w:vAlign w:val="center"/>
                </w:tcPr>
                <w:p>
                  <w:pPr>
                    <w:adjustRightInd w:val="0"/>
                    <w:snapToGrid w:val="0"/>
                    <w:jc w:val="center"/>
                    <w:rPr>
                      <w:rFonts w:eastAsiaTheme="minorEastAsia"/>
                      <w:kern w:val="0"/>
                      <w:szCs w:val="21"/>
                    </w:rPr>
                  </w:pPr>
                  <w:r>
                    <w:rPr>
                      <w:rFonts w:hAnsiTheme="minorEastAsia" w:eastAsiaTheme="minorEastAsia"/>
                      <w:color w:val="000000"/>
                      <w:szCs w:val="21"/>
                    </w:rPr>
                    <w:t>机械运行噪声</w:t>
                  </w:r>
                </w:p>
              </w:tc>
              <w:tc>
                <w:tcPr>
                  <w:tcW w:w="2300" w:type="pct"/>
                  <w:tcBorders>
                    <w:tl2br w:val="nil"/>
                    <w:tr2bl w:val="nil"/>
                  </w:tcBorders>
                  <w:vAlign w:val="center"/>
                </w:tcPr>
                <w:p>
                  <w:pPr>
                    <w:adjustRightInd w:val="0"/>
                    <w:snapToGrid w:val="0"/>
                    <w:jc w:val="center"/>
                    <w:rPr>
                      <w:rFonts w:eastAsiaTheme="minorEastAsia"/>
                      <w:szCs w:val="21"/>
                    </w:rPr>
                  </w:pPr>
                  <w:r>
                    <w:rPr>
                      <w:rFonts w:eastAsiaTheme="minorEastAsia"/>
                      <w:szCs w:val="21"/>
                    </w:rPr>
                    <w:t>生产车间密闭隔音</w:t>
                  </w:r>
                </w:p>
              </w:tc>
              <w:tc>
                <w:tcPr>
                  <w:tcW w:w="988" w:type="pct"/>
                  <w:tcBorders>
                    <w:tl2br w:val="nil"/>
                    <w:tr2bl w:val="nil"/>
                  </w:tcBorders>
                  <w:vAlign w:val="center"/>
                </w:tcPr>
                <w:p>
                  <w:pPr>
                    <w:adjustRightInd w:val="0"/>
                    <w:snapToGrid w:val="0"/>
                    <w:jc w:val="center"/>
                    <w:rPr>
                      <w:rFonts w:hint="default" w:eastAsiaTheme="minorEastAsia"/>
                      <w:szCs w:val="21"/>
                      <w:lang w:val="en-US" w:eastAsia="zh-CN"/>
                    </w:rPr>
                  </w:pPr>
                  <w:r>
                    <w:rPr>
                      <w:rFonts w:hint="eastAsia" w:eastAsiaTheme="minorEastAsia"/>
                      <w:szCs w:val="21"/>
                      <w:lang w:val="en-US" w:eastAsia="zh-CN"/>
                    </w:rPr>
                    <w:t>1.0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6" w:type="pct"/>
                  <w:tcBorders>
                    <w:tl2br w:val="nil"/>
                    <w:tr2bl w:val="nil"/>
                  </w:tcBorders>
                  <w:vAlign w:val="center"/>
                </w:tcPr>
                <w:p>
                  <w:pPr>
                    <w:adjustRightInd w:val="0"/>
                    <w:snapToGrid w:val="0"/>
                    <w:jc w:val="center"/>
                    <w:rPr>
                      <w:rFonts w:eastAsiaTheme="minorEastAsia"/>
                      <w:kern w:val="0"/>
                      <w:szCs w:val="21"/>
                    </w:rPr>
                  </w:pPr>
                  <w:r>
                    <w:rPr>
                      <w:rFonts w:hint="eastAsia" w:eastAsiaTheme="minorEastAsia"/>
                      <w:kern w:val="0"/>
                      <w:szCs w:val="21"/>
                    </w:rPr>
                    <w:t>4</w:t>
                  </w:r>
                </w:p>
              </w:tc>
              <w:tc>
                <w:tcPr>
                  <w:tcW w:w="623" w:type="pct"/>
                  <w:tcBorders>
                    <w:tl2br w:val="nil"/>
                    <w:tr2bl w:val="nil"/>
                  </w:tcBorders>
                  <w:vAlign w:val="center"/>
                </w:tcPr>
                <w:p>
                  <w:pPr>
                    <w:adjustRightInd w:val="0"/>
                    <w:snapToGrid w:val="0"/>
                    <w:jc w:val="center"/>
                    <w:rPr>
                      <w:rFonts w:eastAsiaTheme="minorEastAsia"/>
                      <w:kern w:val="0"/>
                      <w:szCs w:val="21"/>
                    </w:rPr>
                  </w:pPr>
                  <w:r>
                    <w:rPr>
                      <w:rFonts w:eastAsiaTheme="minorEastAsia"/>
                      <w:kern w:val="0"/>
                      <w:szCs w:val="21"/>
                    </w:rPr>
                    <w:t>固</w:t>
                  </w:r>
                  <w:r>
                    <w:rPr>
                      <w:rFonts w:hint="eastAsia" w:eastAsiaTheme="minorEastAsia"/>
                      <w:kern w:val="0"/>
                      <w:szCs w:val="21"/>
                    </w:rPr>
                    <w:t>废</w:t>
                  </w:r>
                </w:p>
              </w:tc>
              <w:tc>
                <w:tcPr>
                  <w:tcW w:w="891" w:type="pct"/>
                  <w:tcBorders>
                    <w:tl2br w:val="nil"/>
                    <w:tr2bl w:val="nil"/>
                  </w:tcBorders>
                  <w:vAlign w:val="center"/>
                </w:tcPr>
                <w:p>
                  <w:pPr>
                    <w:adjustRightInd w:val="0"/>
                    <w:snapToGrid w:val="0"/>
                    <w:jc w:val="center"/>
                    <w:rPr>
                      <w:rFonts w:eastAsiaTheme="minorEastAsia"/>
                      <w:kern w:val="0"/>
                      <w:szCs w:val="21"/>
                    </w:rPr>
                  </w:pPr>
                  <w:r>
                    <w:rPr>
                      <w:rFonts w:eastAsiaTheme="minorEastAsia"/>
                      <w:kern w:val="0"/>
                      <w:szCs w:val="21"/>
                    </w:rPr>
                    <w:t>拔丝</w:t>
                  </w:r>
                  <w:r>
                    <w:rPr>
                      <w:rFonts w:hint="eastAsia" w:eastAsiaTheme="minorEastAsia"/>
                      <w:kern w:val="0"/>
                      <w:szCs w:val="21"/>
                    </w:rPr>
                    <w:t>、制钉</w:t>
                  </w:r>
                  <w:r>
                    <w:rPr>
                      <w:rFonts w:eastAsiaTheme="minorEastAsia"/>
                      <w:kern w:val="0"/>
                      <w:szCs w:val="21"/>
                    </w:rPr>
                    <w:t>工序</w:t>
                  </w:r>
                </w:p>
              </w:tc>
              <w:tc>
                <w:tcPr>
                  <w:tcW w:w="2300" w:type="pct"/>
                  <w:tcBorders>
                    <w:tl2br w:val="nil"/>
                    <w:tr2bl w:val="nil"/>
                  </w:tcBorders>
                  <w:vAlign w:val="center"/>
                </w:tcPr>
                <w:p>
                  <w:pPr>
                    <w:adjustRightInd w:val="0"/>
                    <w:snapToGrid w:val="0"/>
                    <w:jc w:val="center"/>
                    <w:rPr>
                      <w:rFonts w:eastAsiaTheme="minorEastAsia"/>
                      <w:szCs w:val="21"/>
                    </w:rPr>
                  </w:pPr>
                  <w:r>
                    <w:rPr>
                      <w:rFonts w:hint="eastAsia" w:eastAsiaTheme="minorEastAsia"/>
                      <w:szCs w:val="21"/>
                    </w:rPr>
                    <w:t>一般固废暂存场所（20m</w:t>
                  </w:r>
                  <w:r>
                    <w:rPr>
                      <w:rFonts w:hint="eastAsia" w:eastAsiaTheme="minorEastAsia"/>
                      <w:szCs w:val="21"/>
                      <w:vertAlign w:val="superscript"/>
                    </w:rPr>
                    <w:t>2</w:t>
                  </w:r>
                  <w:r>
                    <w:rPr>
                      <w:rFonts w:hint="eastAsia" w:eastAsiaTheme="minorEastAsia"/>
                      <w:szCs w:val="21"/>
                    </w:rPr>
                    <w:t>）、</w:t>
                  </w:r>
                  <w:r>
                    <w:rPr>
                      <w:rFonts w:eastAsiaTheme="minorEastAsia"/>
                      <w:szCs w:val="21"/>
                    </w:rPr>
                    <w:t>铁桶（100L）</w:t>
                  </w:r>
                  <w:r>
                    <w:rPr>
                      <w:rFonts w:hint="eastAsia" w:eastAsiaTheme="minorEastAsia"/>
                      <w:szCs w:val="21"/>
                    </w:rPr>
                    <w:t>3</w:t>
                  </w:r>
                  <w:r>
                    <w:rPr>
                      <w:rFonts w:eastAsiaTheme="minorEastAsia"/>
                      <w:szCs w:val="21"/>
                    </w:rPr>
                    <w:t>个</w:t>
                  </w:r>
                </w:p>
              </w:tc>
              <w:tc>
                <w:tcPr>
                  <w:tcW w:w="988" w:type="pct"/>
                  <w:tcBorders>
                    <w:tl2br w:val="nil"/>
                    <w:tr2bl w:val="nil"/>
                  </w:tcBorders>
                  <w:vAlign w:val="center"/>
                </w:tcPr>
                <w:p>
                  <w:pPr>
                    <w:adjustRightInd w:val="0"/>
                    <w:snapToGrid w:val="0"/>
                    <w:jc w:val="center"/>
                    <w:rPr>
                      <w:rFonts w:eastAsiaTheme="minorEastAsia"/>
                      <w:szCs w:val="21"/>
                    </w:rPr>
                  </w:pPr>
                  <w:r>
                    <w:rPr>
                      <w:rFonts w:hint="eastAsia" w:eastAsiaTheme="minorEastAsia"/>
                      <w:szCs w:val="21"/>
                    </w:rP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6" w:type="pct"/>
                  <w:tcBorders>
                    <w:tl2br w:val="nil"/>
                    <w:tr2bl w:val="nil"/>
                  </w:tcBorders>
                  <w:vAlign w:val="center"/>
                </w:tcPr>
                <w:p>
                  <w:pPr>
                    <w:adjustRightInd w:val="0"/>
                    <w:snapToGrid w:val="0"/>
                    <w:jc w:val="center"/>
                    <w:rPr>
                      <w:rFonts w:eastAsiaTheme="minorEastAsia"/>
                      <w:szCs w:val="21"/>
                    </w:rPr>
                  </w:pPr>
                </w:p>
              </w:tc>
              <w:tc>
                <w:tcPr>
                  <w:tcW w:w="3815" w:type="pct"/>
                  <w:gridSpan w:val="3"/>
                  <w:tcBorders>
                    <w:tl2br w:val="nil"/>
                    <w:tr2bl w:val="nil"/>
                  </w:tcBorders>
                  <w:vAlign w:val="center"/>
                </w:tcPr>
                <w:p>
                  <w:pPr>
                    <w:adjustRightInd w:val="0"/>
                    <w:snapToGrid w:val="0"/>
                    <w:jc w:val="center"/>
                    <w:rPr>
                      <w:rFonts w:eastAsiaTheme="minorEastAsia"/>
                      <w:szCs w:val="21"/>
                    </w:rPr>
                  </w:pPr>
                  <w:r>
                    <w:rPr>
                      <w:rFonts w:eastAsiaTheme="minorEastAsia"/>
                      <w:szCs w:val="21"/>
                    </w:rPr>
                    <w:t>合      计</w:t>
                  </w:r>
                </w:p>
              </w:tc>
              <w:tc>
                <w:tcPr>
                  <w:tcW w:w="988" w:type="pct"/>
                  <w:tcBorders>
                    <w:tl2br w:val="nil"/>
                    <w:tr2bl w:val="nil"/>
                  </w:tcBorders>
                  <w:vAlign w:val="center"/>
                </w:tcPr>
                <w:p>
                  <w:pPr>
                    <w:adjustRightInd w:val="0"/>
                    <w:snapToGrid w:val="0"/>
                    <w:jc w:val="center"/>
                    <w:rPr>
                      <w:rFonts w:eastAsiaTheme="minorEastAsia"/>
                      <w:szCs w:val="21"/>
                    </w:rPr>
                  </w:pPr>
                  <w:r>
                    <w:rPr>
                      <w:rFonts w:hint="eastAsia" w:eastAsiaTheme="minorEastAsia"/>
                      <w:szCs w:val="21"/>
                    </w:rPr>
                    <w:t>7</w:t>
                  </w:r>
                </w:p>
              </w:tc>
            </w:tr>
          </w:tbl>
          <w:p>
            <w:pPr>
              <w:adjustRightInd w:val="0"/>
              <w:snapToGrid w:val="0"/>
              <w:spacing w:line="440" w:lineRule="exact"/>
              <w:ind w:firstLine="482" w:firstLineChars="200"/>
              <w:rPr>
                <w:rFonts w:hAnsiTheme="minorEastAsia" w:eastAsiaTheme="minorEastAsia"/>
                <w:b/>
                <w:snapToGrid w:val="0"/>
                <w:sz w:val="24"/>
              </w:rPr>
            </w:pPr>
          </w:p>
          <w:p>
            <w:pPr>
              <w:adjustRightInd w:val="0"/>
              <w:snapToGrid w:val="0"/>
              <w:spacing w:line="440" w:lineRule="exact"/>
              <w:ind w:firstLine="482" w:firstLineChars="200"/>
              <w:rPr>
                <w:rFonts w:eastAsiaTheme="minorEastAsia"/>
                <w:b/>
                <w:snapToGrid w:val="0"/>
                <w:sz w:val="24"/>
              </w:rPr>
            </w:pPr>
            <w:r>
              <w:rPr>
                <w:rFonts w:hAnsiTheme="minorEastAsia" w:eastAsiaTheme="minorEastAsia"/>
                <w:b/>
                <w:snapToGrid w:val="0"/>
                <w:sz w:val="24"/>
              </w:rPr>
              <w:t>十二、环保验收</w:t>
            </w:r>
          </w:p>
          <w:p>
            <w:pPr>
              <w:adjustRightInd w:val="0"/>
              <w:snapToGrid w:val="0"/>
              <w:spacing w:line="440" w:lineRule="exact"/>
              <w:ind w:firstLine="480" w:firstLineChars="200"/>
              <w:rPr>
                <w:rFonts w:eastAsia="黑体"/>
                <w:bCs/>
                <w:spacing w:val="-6"/>
                <w:sz w:val="24"/>
              </w:rPr>
            </w:pPr>
            <w:r>
              <w:rPr>
                <w:rFonts w:hAnsiTheme="minorEastAsia" w:eastAsiaTheme="minorEastAsia"/>
                <w:sz w:val="24"/>
              </w:rPr>
              <w:t>本项目环保验收内容见</w:t>
            </w:r>
            <w:r>
              <w:rPr>
                <w:rFonts w:hint="eastAsia" w:hAnsiTheme="minorEastAsia" w:eastAsiaTheme="minorEastAsia"/>
                <w:sz w:val="24"/>
              </w:rPr>
              <w:t>下</w:t>
            </w:r>
            <w:r>
              <w:rPr>
                <w:rFonts w:hAnsiTheme="minorEastAsia" w:eastAsiaTheme="minorEastAsia"/>
                <w:sz w:val="24"/>
              </w:rPr>
              <w:t>表</w:t>
            </w:r>
            <w:r>
              <w:rPr>
                <w:rFonts w:hint="eastAsia" w:hAnsiTheme="minorEastAsia" w:eastAsiaTheme="minorEastAsia"/>
                <w:sz w:val="24"/>
              </w:rPr>
              <w:t>：</w:t>
            </w:r>
          </w:p>
          <w:p>
            <w:pPr>
              <w:spacing w:line="440" w:lineRule="exact"/>
              <w:ind w:firstLine="456" w:firstLineChars="200"/>
              <w:rPr>
                <w:rFonts w:eastAsia="黑体"/>
                <w:bCs/>
                <w:spacing w:val="-6"/>
                <w:sz w:val="24"/>
              </w:rPr>
            </w:pPr>
            <w:r>
              <w:rPr>
                <w:rFonts w:eastAsia="黑体"/>
                <w:bCs/>
                <w:spacing w:val="-6"/>
                <w:sz w:val="24"/>
              </w:rPr>
              <w:t>表</w:t>
            </w:r>
            <w:r>
              <w:rPr>
                <w:rFonts w:hint="eastAsia" w:eastAsia="黑体"/>
                <w:bCs/>
                <w:spacing w:val="-6"/>
                <w:sz w:val="24"/>
              </w:rPr>
              <w:t>41</w:t>
            </w:r>
            <w:r>
              <w:rPr>
                <w:rFonts w:eastAsia="黑体"/>
                <w:bCs/>
                <w:spacing w:val="-6"/>
                <w:sz w:val="24"/>
              </w:rPr>
              <w:t xml:space="preserve">                   环保验收“三同时”一览表</w:t>
            </w:r>
          </w:p>
          <w:tbl>
            <w:tblPr>
              <w:tblStyle w:val="24"/>
              <w:tblpPr w:leftFromText="180" w:rightFromText="180" w:vertAnchor="text" w:horzAnchor="margin" w:tblpXSpec="center" w:tblpY="31"/>
              <w:tblOverlap w:val="never"/>
              <w:tblW w:w="907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755"/>
              <w:gridCol w:w="1098"/>
              <w:gridCol w:w="2101"/>
              <w:gridCol w:w="1912"/>
              <w:gridCol w:w="2605"/>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tcBorders>
                    <w:bottom w:val="single" w:color="auto" w:sz="8" w:space="0"/>
                  </w:tcBorders>
                  <w:vAlign w:val="center"/>
                </w:tcPr>
                <w:p>
                  <w:pPr>
                    <w:pStyle w:val="3"/>
                    <w:tabs>
                      <w:tab w:val="left" w:pos="210"/>
                    </w:tabs>
                    <w:snapToGrid w:val="0"/>
                    <w:spacing w:line="240" w:lineRule="auto"/>
                    <w:ind w:firstLine="0" w:firstLineChars="0"/>
                    <w:jc w:val="center"/>
                    <w:rPr>
                      <w:rFonts w:ascii="Times New Roman" w:hAnsi="Times New Roman" w:eastAsia="Times New Roman"/>
                      <w:b/>
                      <w:bCs/>
                      <w:color w:val="000000"/>
                      <w:sz w:val="21"/>
                      <w:szCs w:val="21"/>
                    </w:rPr>
                  </w:pPr>
                  <w:r>
                    <w:rPr>
                      <w:rFonts w:ascii="Times New Roman" w:hAnsi="Times New Roman"/>
                      <w:b/>
                      <w:bCs/>
                      <w:color w:val="000000"/>
                      <w:sz w:val="21"/>
                      <w:szCs w:val="21"/>
                    </w:rPr>
                    <w:t>序号</w:t>
                  </w:r>
                </w:p>
              </w:tc>
              <w:tc>
                <w:tcPr>
                  <w:tcW w:w="755" w:type="dxa"/>
                  <w:tcBorders>
                    <w:bottom w:val="single" w:color="auto" w:sz="8" w:space="0"/>
                  </w:tcBorders>
                  <w:vAlign w:val="center"/>
                </w:tcPr>
                <w:p>
                  <w:pPr>
                    <w:pStyle w:val="3"/>
                    <w:tabs>
                      <w:tab w:val="left" w:pos="210"/>
                    </w:tabs>
                    <w:snapToGrid w:val="0"/>
                    <w:spacing w:line="240" w:lineRule="auto"/>
                    <w:ind w:firstLine="0" w:firstLineChars="0"/>
                    <w:jc w:val="center"/>
                    <w:rPr>
                      <w:rFonts w:ascii="Times New Roman" w:hAnsi="Times New Roman" w:eastAsia="Times New Roman"/>
                      <w:b/>
                      <w:bCs/>
                      <w:color w:val="000000"/>
                      <w:sz w:val="21"/>
                      <w:szCs w:val="21"/>
                    </w:rPr>
                  </w:pPr>
                  <w:r>
                    <w:rPr>
                      <w:rFonts w:ascii="Times New Roman" w:hAnsi="Times New Roman"/>
                      <w:b/>
                      <w:bCs/>
                      <w:color w:val="000000"/>
                      <w:sz w:val="21"/>
                      <w:szCs w:val="21"/>
                    </w:rPr>
                    <w:t>污染</w:t>
                  </w:r>
                </w:p>
                <w:p>
                  <w:pPr>
                    <w:pStyle w:val="3"/>
                    <w:tabs>
                      <w:tab w:val="left" w:pos="210"/>
                    </w:tabs>
                    <w:snapToGrid w:val="0"/>
                    <w:spacing w:line="240" w:lineRule="auto"/>
                    <w:ind w:firstLine="0" w:firstLineChars="0"/>
                    <w:jc w:val="center"/>
                    <w:rPr>
                      <w:rFonts w:ascii="Times New Roman" w:hAnsi="Times New Roman" w:eastAsia="Times New Roman"/>
                      <w:b/>
                      <w:bCs/>
                      <w:color w:val="000000"/>
                      <w:sz w:val="21"/>
                      <w:szCs w:val="21"/>
                    </w:rPr>
                  </w:pPr>
                  <w:r>
                    <w:rPr>
                      <w:rFonts w:ascii="Times New Roman" w:hAnsi="Times New Roman"/>
                      <w:b/>
                      <w:bCs/>
                      <w:color w:val="000000"/>
                      <w:sz w:val="21"/>
                      <w:szCs w:val="21"/>
                    </w:rPr>
                    <w:t>类别</w:t>
                  </w:r>
                </w:p>
              </w:tc>
              <w:tc>
                <w:tcPr>
                  <w:tcW w:w="1098" w:type="dxa"/>
                  <w:tcBorders>
                    <w:bottom w:val="single" w:color="auto" w:sz="8" w:space="0"/>
                  </w:tcBorders>
                  <w:vAlign w:val="center"/>
                </w:tcPr>
                <w:p>
                  <w:pPr>
                    <w:pStyle w:val="3"/>
                    <w:tabs>
                      <w:tab w:val="left" w:pos="210"/>
                    </w:tabs>
                    <w:snapToGrid w:val="0"/>
                    <w:spacing w:line="240" w:lineRule="auto"/>
                    <w:ind w:firstLine="0" w:firstLineChars="0"/>
                    <w:jc w:val="center"/>
                    <w:rPr>
                      <w:rFonts w:ascii="Times New Roman" w:hAnsi="Times New Roman" w:eastAsia="Times New Roman"/>
                      <w:b/>
                      <w:bCs/>
                      <w:color w:val="000000"/>
                      <w:sz w:val="21"/>
                      <w:szCs w:val="21"/>
                    </w:rPr>
                  </w:pPr>
                  <w:r>
                    <w:rPr>
                      <w:rFonts w:ascii="Times New Roman" w:hAnsi="Times New Roman"/>
                      <w:b/>
                      <w:bCs/>
                      <w:color w:val="000000"/>
                      <w:sz w:val="21"/>
                      <w:szCs w:val="21"/>
                    </w:rPr>
                    <w:t>治理内容</w:t>
                  </w:r>
                </w:p>
              </w:tc>
              <w:tc>
                <w:tcPr>
                  <w:tcW w:w="2101" w:type="dxa"/>
                  <w:tcBorders>
                    <w:bottom w:val="single" w:color="auto" w:sz="8" w:space="0"/>
                  </w:tcBorders>
                  <w:vAlign w:val="center"/>
                </w:tcPr>
                <w:p>
                  <w:pPr>
                    <w:pStyle w:val="3"/>
                    <w:tabs>
                      <w:tab w:val="left" w:pos="210"/>
                    </w:tabs>
                    <w:snapToGrid w:val="0"/>
                    <w:spacing w:line="240" w:lineRule="auto"/>
                    <w:ind w:firstLine="0" w:firstLineChars="0"/>
                    <w:jc w:val="center"/>
                    <w:rPr>
                      <w:rFonts w:ascii="Times New Roman" w:hAnsi="Times New Roman" w:eastAsia="Times New Roman"/>
                      <w:b/>
                      <w:bCs/>
                      <w:color w:val="000000"/>
                      <w:sz w:val="21"/>
                      <w:szCs w:val="21"/>
                    </w:rPr>
                  </w:pPr>
                  <w:r>
                    <w:rPr>
                      <w:rFonts w:ascii="Times New Roman" w:hAnsi="Times New Roman"/>
                      <w:b/>
                      <w:bCs/>
                      <w:color w:val="000000"/>
                      <w:sz w:val="21"/>
                      <w:szCs w:val="21"/>
                    </w:rPr>
                    <w:t>环保设施</w:t>
                  </w:r>
                </w:p>
              </w:tc>
              <w:tc>
                <w:tcPr>
                  <w:tcW w:w="1912" w:type="dxa"/>
                  <w:tcBorders>
                    <w:bottom w:val="single" w:color="auto" w:sz="8" w:space="0"/>
                  </w:tcBorders>
                  <w:vAlign w:val="center"/>
                </w:tcPr>
                <w:p>
                  <w:pPr>
                    <w:pStyle w:val="3"/>
                    <w:tabs>
                      <w:tab w:val="left" w:pos="210"/>
                    </w:tabs>
                    <w:snapToGrid w:val="0"/>
                    <w:spacing w:line="240" w:lineRule="auto"/>
                    <w:ind w:firstLine="0" w:firstLineChars="0"/>
                    <w:jc w:val="center"/>
                    <w:rPr>
                      <w:rFonts w:ascii="Times New Roman" w:hAnsi="Times New Roman" w:eastAsia="Times New Roman"/>
                      <w:b/>
                      <w:bCs/>
                      <w:color w:val="000000"/>
                      <w:sz w:val="21"/>
                      <w:szCs w:val="21"/>
                    </w:rPr>
                  </w:pPr>
                  <w:r>
                    <w:rPr>
                      <w:rFonts w:ascii="Times New Roman" w:hAnsi="Times New Roman"/>
                      <w:b/>
                      <w:bCs/>
                      <w:color w:val="000000"/>
                      <w:sz w:val="21"/>
                      <w:szCs w:val="21"/>
                    </w:rPr>
                    <w:t>验收内容</w:t>
                  </w:r>
                </w:p>
              </w:tc>
              <w:tc>
                <w:tcPr>
                  <w:tcW w:w="2605" w:type="dxa"/>
                  <w:tcBorders>
                    <w:bottom w:val="single" w:color="auto" w:sz="8" w:space="0"/>
                  </w:tcBorders>
                  <w:vAlign w:val="center"/>
                </w:tcPr>
                <w:p>
                  <w:pPr>
                    <w:pStyle w:val="3"/>
                    <w:tabs>
                      <w:tab w:val="left" w:pos="210"/>
                    </w:tabs>
                    <w:snapToGrid w:val="0"/>
                    <w:spacing w:line="240" w:lineRule="auto"/>
                    <w:ind w:firstLine="0" w:firstLineChars="0"/>
                    <w:jc w:val="center"/>
                    <w:rPr>
                      <w:rFonts w:ascii="Times New Roman" w:hAnsi="Times New Roman" w:eastAsia="Times New Roman"/>
                      <w:b/>
                      <w:bCs/>
                      <w:color w:val="000000"/>
                      <w:sz w:val="21"/>
                      <w:szCs w:val="21"/>
                    </w:rPr>
                  </w:pPr>
                  <w:r>
                    <w:rPr>
                      <w:rFonts w:ascii="Times New Roman" w:hAnsi="Times New Roman"/>
                      <w:b/>
                      <w:bCs/>
                      <w:color w:val="000000"/>
                      <w:sz w:val="21"/>
                      <w:szCs w:val="21"/>
                    </w:rPr>
                    <w:t>执行标准</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vMerge w:val="restart"/>
                  <w:tcBorders>
                    <w:top w:val="single" w:color="auto" w:sz="8" w:space="0"/>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1</w:t>
                  </w:r>
                </w:p>
              </w:tc>
              <w:tc>
                <w:tcPr>
                  <w:tcW w:w="755" w:type="dxa"/>
                  <w:vMerge w:val="restart"/>
                  <w:tcBorders>
                    <w:top w:val="single" w:color="auto" w:sz="8" w:space="0"/>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废气</w:t>
                  </w:r>
                </w:p>
              </w:tc>
              <w:tc>
                <w:tcPr>
                  <w:tcW w:w="1098" w:type="dxa"/>
                  <w:tcBorders>
                    <w:top w:val="single" w:color="auto" w:sz="8" w:space="0"/>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粉尘</w:t>
                  </w:r>
                  <w:r>
                    <w:rPr>
                      <w:rFonts w:hint="eastAsia" w:ascii="Times New Roman" w:hAnsi="Times New Roman"/>
                      <w:color w:val="000000"/>
                      <w:sz w:val="21"/>
                      <w:szCs w:val="21"/>
                    </w:rPr>
                    <w:t>（有组织）</w:t>
                  </w:r>
                </w:p>
              </w:tc>
              <w:tc>
                <w:tcPr>
                  <w:tcW w:w="2101" w:type="dxa"/>
                  <w:tcBorders>
                    <w:top w:val="single" w:color="auto" w:sz="8" w:space="0"/>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集气罩+袋式除尘器+15m排气筒</w:t>
                  </w:r>
                </w:p>
              </w:tc>
              <w:tc>
                <w:tcPr>
                  <w:tcW w:w="1912" w:type="dxa"/>
                  <w:tcBorders>
                    <w:top w:val="single" w:color="auto" w:sz="8" w:space="0"/>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集气罩</w:t>
                  </w:r>
                </w:p>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袋式除尘器1台</w:t>
                  </w:r>
                </w:p>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15m排气筒1根</w:t>
                  </w:r>
                </w:p>
              </w:tc>
              <w:tc>
                <w:tcPr>
                  <w:tcW w:w="2605" w:type="dxa"/>
                  <w:tcBorders>
                    <w:top w:val="single" w:color="auto" w:sz="8" w:space="0"/>
                    <w:tl2br w:val="nil"/>
                    <w:tr2bl w:val="nil"/>
                  </w:tcBorders>
                  <w:vAlign w:val="center"/>
                </w:tcPr>
                <w:p>
                  <w:pPr>
                    <w:pStyle w:val="3"/>
                    <w:tabs>
                      <w:tab w:val="left" w:pos="210"/>
                    </w:tabs>
                    <w:snapToGrid w:val="0"/>
                    <w:spacing w:line="240" w:lineRule="auto"/>
                    <w:ind w:firstLine="0" w:firstLineChars="0"/>
                    <w:jc w:val="left"/>
                    <w:rPr>
                      <w:rFonts w:hint="eastAsia" w:ascii="Times New Roman" w:hAnsi="Times New Roman" w:eastAsia="宋体"/>
                      <w:color w:val="000000"/>
                      <w:sz w:val="21"/>
                      <w:szCs w:val="21"/>
                      <w:vertAlign w:val="baseline"/>
                      <w:lang w:val="en-US" w:eastAsia="zh-CN"/>
                    </w:rPr>
                  </w:pPr>
                  <w:r>
                    <w:rPr>
                      <w:rFonts w:hint="default" w:ascii="Times New Roman" w:hAnsi="Times New Roman" w:cs="Times New Roman"/>
                      <w:color w:val="000000"/>
                      <w:sz w:val="21"/>
                      <w:szCs w:val="21"/>
                    </w:rPr>
                    <w:t>《大气污染物综合排放标准》（GB16297- 1996）表2中颗粒物最高允许排放速率为3.5kg/h</w:t>
                  </w:r>
                  <w:r>
                    <w:rPr>
                      <w:rFonts w:hint="default" w:ascii="Times New Roman" w:hAnsi="Times New Roman" w:cs="Times New Roman"/>
                      <w:color w:val="000000"/>
                      <w:sz w:val="21"/>
                      <w:szCs w:val="21"/>
                      <w:lang w:eastAsia="zh-CN"/>
                    </w:rPr>
                    <w:t>；</w:t>
                  </w:r>
                  <w:r>
                    <w:rPr>
                      <w:rFonts w:hint="default" w:ascii="Times New Roman" w:hAnsi="Times New Roman" w:cs="Times New Roman"/>
                      <w:color w:val="000000"/>
                      <w:sz w:val="21"/>
                      <w:szCs w:val="21"/>
                      <w:lang w:val="en-US" w:eastAsia="zh-CN"/>
                    </w:rPr>
                    <w:t>2020年7月31日《新乡市生态环境局关于进一步规范工业颗粒物排放限值的通知》</w:t>
                  </w:r>
                  <w:r>
                    <w:rPr>
                      <w:rFonts w:hint="default" w:ascii="Times New Roman" w:hAnsi="Times New Roman" w:cs="Times New Roman"/>
                      <w:color w:val="000000"/>
                      <w:sz w:val="21"/>
                      <w:szCs w:val="21"/>
                      <w:lang w:eastAsia="zh-CN"/>
                    </w:rPr>
                    <w:t>排放口颗粒物排放浓度不高于</w:t>
                  </w:r>
                  <w:r>
                    <w:rPr>
                      <w:rFonts w:hint="default" w:ascii="Times New Roman" w:hAnsi="Times New Roman" w:cs="Times New Roman"/>
                      <w:color w:val="000000"/>
                      <w:sz w:val="21"/>
                      <w:szCs w:val="21"/>
                      <w:lang w:val="en-US" w:eastAsia="zh-CN"/>
                    </w:rPr>
                    <w:t>10</w:t>
                  </w:r>
                  <w:r>
                    <w:rPr>
                      <w:rFonts w:hint="default" w:ascii="Times New Roman" w:hAnsi="Times New Roman" w:cs="Times New Roman"/>
                      <w:color w:val="000000"/>
                      <w:sz w:val="21"/>
                      <w:szCs w:val="21"/>
                    </w:rPr>
                    <w:t>mg/m</w:t>
                  </w:r>
                  <w:r>
                    <w:rPr>
                      <w:rFonts w:hint="default" w:ascii="Times New Roman" w:hAnsi="Times New Roman" w:cs="Times New Roman"/>
                      <w:color w:val="000000"/>
                      <w:sz w:val="21"/>
                      <w:szCs w:val="21"/>
                      <w:vertAlign w:val="superscript"/>
                    </w:rPr>
                    <w:t>3</w:t>
                  </w:r>
                  <w:r>
                    <w:rPr>
                      <w:rFonts w:hint="eastAsia" w:ascii="Times New Roman" w:hAnsi="Times New Roman" w:cs="Times New Roman"/>
                      <w:color w:val="000000"/>
                      <w:sz w:val="21"/>
                      <w:szCs w:val="21"/>
                      <w:vertAlign w:val="baseline"/>
                      <w:lang w:eastAsia="zh-CN"/>
                    </w:rPr>
                    <w:t>的标准要求</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vMerge w:val="continue"/>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p>
              </w:tc>
              <w:tc>
                <w:tcPr>
                  <w:tcW w:w="755" w:type="dxa"/>
                  <w:vMerge w:val="continue"/>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p>
              </w:tc>
              <w:tc>
                <w:tcPr>
                  <w:tcW w:w="1098"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粉尘（无组织）</w:t>
                  </w:r>
                </w:p>
              </w:tc>
              <w:tc>
                <w:tcPr>
                  <w:tcW w:w="2101"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密闭抛光车间、生产车间，车间地面上的粉尘及时用吸尘器清理</w:t>
                  </w:r>
                  <w:r>
                    <w:rPr>
                      <w:rFonts w:ascii="Times New Roman" w:hAnsi="Times New Roman"/>
                      <w:color w:val="000000"/>
                      <w:sz w:val="21"/>
                      <w:szCs w:val="21"/>
                    </w:rPr>
                    <w:t>；厂区道路应进行硬化，裸露土地全部绿化</w:t>
                  </w:r>
                </w:p>
              </w:tc>
              <w:tc>
                <w:tcPr>
                  <w:tcW w:w="1912"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密闭抛光车间、生产车间；车间地面上的粉尘及时用吸尘器清理</w:t>
                  </w:r>
                  <w:r>
                    <w:rPr>
                      <w:rFonts w:ascii="Times New Roman" w:hAnsi="Times New Roman"/>
                      <w:color w:val="000000"/>
                      <w:sz w:val="21"/>
                      <w:szCs w:val="21"/>
                    </w:rPr>
                    <w:t>；厂区道路应进行硬化，裸露土地全部绿化</w:t>
                  </w:r>
                </w:p>
              </w:tc>
              <w:tc>
                <w:tcPr>
                  <w:tcW w:w="2605" w:type="dxa"/>
                  <w:tcBorders>
                    <w:tl2br w:val="nil"/>
                    <w:tr2bl w:val="nil"/>
                  </w:tcBorders>
                  <w:vAlign w:val="center"/>
                </w:tcPr>
                <w:p>
                  <w:pPr>
                    <w:pStyle w:val="3"/>
                    <w:tabs>
                      <w:tab w:val="left" w:pos="210"/>
                    </w:tabs>
                    <w:snapToGrid w:val="0"/>
                    <w:spacing w:line="240" w:lineRule="auto"/>
                    <w:ind w:firstLine="0" w:firstLineChars="0"/>
                    <w:jc w:val="left"/>
                    <w:rPr>
                      <w:rFonts w:ascii="Times New Roman" w:hAnsi="Times New Roman"/>
                      <w:color w:val="000000"/>
                      <w:sz w:val="21"/>
                      <w:szCs w:val="21"/>
                      <w:vertAlign w:val="baseline"/>
                    </w:rPr>
                  </w:pPr>
                  <w:r>
                    <w:rPr>
                      <w:rFonts w:hint="default" w:ascii="Times New Roman" w:hAnsi="Times New Roman" w:cs="Times New Roman"/>
                      <w:color w:val="000000"/>
                      <w:sz w:val="21"/>
                      <w:szCs w:val="21"/>
                      <w:lang w:val="en-US" w:eastAsia="zh-CN"/>
                    </w:rPr>
                    <w:t>2020年7月31日《新乡市生态环境局关于进一步规范工业颗粒物排放限值的通知》</w:t>
                  </w:r>
                  <w:r>
                    <w:rPr>
                      <w:rFonts w:hint="default" w:ascii="Times New Roman" w:hAnsi="Times New Roman" w:eastAsia="宋体" w:cs="Times New Roman"/>
                      <w:kern w:val="2"/>
                      <w:sz w:val="21"/>
                      <w:szCs w:val="21"/>
                      <w:lang w:val="en-US" w:eastAsia="zh-CN" w:bidi="ar-SA"/>
                    </w:rPr>
                    <w:t>厂界颗粒物排放浓度不高于0.5mg/m</w:t>
                  </w:r>
                  <w:r>
                    <w:rPr>
                      <w:rFonts w:hint="default" w:ascii="Times New Roman" w:hAnsi="Times New Roman" w:eastAsia="宋体" w:cs="Times New Roman"/>
                      <w:kern w:val="2"/>
                      <w:sz w:val="21"/>
                      <w:szCs w:val="21"/>
                      <w:vertAlign w:val="superscript"/>
                      <w:lang w:val="en-US" w:eastAsia="zh-CN" w:bidi="ar-SA"/>
                    </w:rPr>
                    <w:t>3</w:t>
                  </w:r>
                  <w:r>
                    <w:rPr>
                      <w:rFonts w:hint="eastAsia" w:ascii="Times New Roman" w:hAnsi="Times New Roman" w:cs="Times New Roman"/>
                      <w:kern w:val="2"/>
                      <w:sz w:val="21"/>
                      <w:szCs w:val="21"/>
                      <w:vertAlign w:val="baseline"/>
                      <w:lang w:val="en-US" w:eastAsia="zh-CN" w:bidi="ar-SA"/>
                    </w:rPr>
                    <w:t>的标准要求</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2</w:t>
                  </w:r>
                </w:p>
              </w:tc>
              <w:tc>
                <w:tcPr>
                  <w:tcW w:w="755"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废水</w:t>
                  </w:r>
                </w:p>
              </w:tc>
              <w:tc>
                <w:tcPr>
                  <w:tcW w:w="1098" w:type="dxa"/>
                  <w:tcBorders>
                    <w:tl2br w:val="nil"/>
                    <w:tr2bl w:val="nil"/>
                  </w:tcBorders>
                  <w:vAlign w:val="center"/>
                </w:tcPr>
                <w:p>
                  <w:pPr>
                    <w:adjustRightInd w:val="0"/>
                    <w:jc w:val="center"/>
                    <w:textAlignment w:val="baseline"/>
                    <w:rPr>
                      <w:bCs/>
                      <w:szCs w:val="21"/>
                    </w:rPr>
                  </w:pPr>
                  <w:r>
                    <w:rPr>
                      <w:bCs/>
                      <w:szCs w:val="21"/>
                    </w:rPr>
                    <w:t>生活污水</w:t>
                  </w:r>
                </w:p>
              </w:tc>
              <w:tc>
                <w:tcPr>
                  <w:tcW w:w="2101" w:type="dxa"/>
                  <w:tcBorders>
                    <w:tl2br w:val="nil"/>
                    <w:tr2bl w:val="nil"/>
                  </w:tcBorders>
                  <w:vAlign w:val="center"/>
                </w:tcPr>
                <w:p>
                  <w:pPr>
                    <w:adjustRightInd w:val="0"/>
                    <w:jc w:val="center"/>
                    <w:textAlignment w:val="baseline"/>
                    <w:rPr>
                      <w:bCs/>
                      <w:szCs w:val="21"/>
                    </w:rPr>
                  </w:pPr>
                  <w:r>
                    <w:rPr>
                      <w:bCs/>
                      <w:szCs w:val="21"/>
                    </w:rPr>
                    <w:t>化粪池</w:t>
                  </w:r>
                </w:p>
              </w:tc>
              <w:tc>
                <w:tcPr>
                  <w:tcW w:w="1912" w:type="dxa"/>
                  <w:tcBorders>
                    <w:tl2br w:val="nil"/>
                    <w:tr2bl w:val="nil"/>
                  </w:tcBorders>
                  <w:vAlign w:val="center"/>
                </w:tcPr>
                <w:p>
                  <w:pPr>
                    <w:pStyle w:val="107"/>
                    <w:snapToGrid w:val="0"/>
                    <w:jc w:val="center"/>
                    <w:rPr>
                      <w:bCs/>
                      <w:sz w:val="21"/>
                      <w:szCs w:val="21"/>
                    </w:rPr>
                  </w:pPr>
                  <w:r>
                    <w:rPr>
                      <w:bCs/>
                      <w:sz w:val="21"/>
                      <w:szCs w:val="21"/>
                    </w:rPr>
                    <w:t>化粪池1座（容积</w:t>
                  </w:r>
                  <w:r>
                    <w:rPr>
                      <w:rFonts w:hint="eastAsia"/>
                      <w:bCs/>
                      <w:color w:val="000000"/>
                      <w:sz w:val="21"/>
                      <w:szCs w:val="21"/>
                    </w:rPr>
                    <w:t>2</w:t>
                  </w:r>
                  <w:r>
                    <w:rPr>
                      <w:bCs/>
                      <w:color w:val="000000"/>
                      <w:sz w:val="21"/>
                      <w:szCs w:val="21"/>
                    </w:rPr>
                    <w:t>m</w:t>
                  </w:r>
                  <w:r>
                    <w:rPr>
                      <w:bCs/>
                      <w:color w:val="000000"/>
                      <w:sz w:val="21"/>
                      <w:szCs w:val="21"/>
                      <w:vertAlign w:val="superscript"/>
                    </w:rPr>
                    <w:t>3</w:t>
                  </w:r>
                  <w:r>
                    <w:rPr>
                      <w:bCs/>
                      <w:sz w:val="21"/>
                      <w:szCs w:val="21"/>
                    </w:rPr>
                    <w:t>）</w:t>
                  </w:r>
                </w:p>
              </w:tc>
              <w:tc>
                <w:tcPr>
                  <w:tcW w:w="2605"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sz w:val="21"/>
                      <w:szCs w:val="21"/>
                    </w:rPr>
                  </w:pPr>
                  <w:r>
                    <w:rPr>
                      <w:rFonts w:ascii="Times New Roman" w:hAnsi="Times New Roman"/>
                      <w:sz w:val="21"/>
                      <w:szCs w:val="21"/>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3</w:t>
                  </w:r>
                </w:p>
              </w:tc>
              <w:tc>
                <w:tcPr>
                  <w:tcW w:w="755"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eastAsia="Times New Roman"/>
                      <w:color w:val="000000"/>
                      <w:sz w:val="21"/>
                      <w:szCs w:val="21"/>
                    </w:rPr>
                  </w:pPr>
                  <w:r>
                    <w:rPr>
                      <w:rFonts w:ascii="Times New Roman" w:hAnsi="Times New Roman"/>
                      <w:color w:val="000000"/>
                      <w:sz w:val="21"/>
                      <w:szCs w:val="21"/>
                    </w:rPr>
                    <w:t>噪声</w:t>
                  </w:r>
                </w:p>
              </w:tc>
              <w:tc>
                <w:tcPr>
                  <w:tcW w:w="1098" w:type="dxa"/>
                  <w:tcBorders>
                    <w:tl2br w:val="nil"/>
                    <w:tr2bl w:val="nil"/>
                  </w:tcBorders>
                  <w:vAlign w:val="center"/>
                </w:tcPr>
                <w:p>
                  <w:pPr>
                    <w:pStyle w:val="107"/>
                    <w:snapToGrid w:val="0"/>
                    <w:jc w:val="center"/>
                    <w:rPr>
                      <w:color w:val="000000"/>
                      <w:sz w:val="21"/>
                      <w:szCs w:val="21"/>
                    </w:rPr>
                  </w:pPr>
                  <w:r>
                    <w:rPr>
                      <w:color w:val="000000"/>
                      <w:sz w:val="21"/>
                      <w:szCs w:val="21"/>
                    </w:rPr>
                    <w:t>机械运行噪声</w:t>
                  </w:r>
                </w:p>
              </w:tc>
              <w:tc>
                <w:tcPr>
                  <w:tcW w:w="2101" w:type="dxa"/>
                  <w:tcBorders>
                    <w:tl2br w:val="nil"/>
                    <w:tr2bl w:val="nil"/>
                  </w:tcBorders>
                  <w:vAlign w:val="center"/>
                </w:tcPr>
                <w:p>
                  <w:pPr>
                    <w:pStyle w:val="107"/>
                    <w:snapToGrid w:val="0"/>
                    <w:jc w:val="center"/>
                    <w:rPr>
                      <w:rFonts w:eastAsia="Times New Roman"/>
                      <w:color w:val="000000"/>
                      <w:sz w:val="21"/>
                      <w:szCs w:val="21"/>
                    </w:rPr>
                  </w:pPr>
                  <w:r>
                    <w:rPr>
                      <w:rFonts w:hint="eastAsia"/>
                      <w:sz w:val="21"/>
                      <w:szCs w:val="21"/>
                    </w:rPr>
                    <w:t>生产车间密闭隔音</w:t>
                  </w:r>
                </w:p>
              </w:tc>
              <w:tc>
                <w:tcPr>
                  <w:tcW w:w="1912"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color w:val="000000"/>
                      <w:sz w:val="21"/>
                      <w:szCs w:val="21"/>
                    </w:rPr>
                  </w:pPr>
                  <w:r>
                    <w:rPr>
                      <w:rFonts w:hint="eastAsia" w:ascii="Times New Roman" w:hAnsi="Times New Roman"/>
                      <w:sz w:val="21"/>
                      <w:szCs w:val="21"/>
                    </w:rPr>
                    <w:t>生产车间密闭隔音</w:t>
                  </w:r>
                </w:p>
              </w:tc>
              <w:tc>
                <w:tcPr>
                  <w:tcW w:w="2605" w:type="dxa"/>
                  <w:tcBorders>
                    <w:tl2br w:val="nil"/>
                    <w:tr2bl w:val="nil"/>
                  </w:tcBorders>
                  <w:vAlign w:val="center"/>
                </w:tcPr>
                <w:p>
                  <w:pPr>
                    <w:pStyle w:val="3"/>
                    <w:tabs>
                      <w:tab w:val="left" w:pos="210"/>
                    </w:tabs>
                    <w:snapToGrid w:val="0"/>
                    <w:spacing w:line="240" w:lineRule="auto"/>
                    <w:ind w:firstLine="0" w:firstLineChars="0"/>
                    <w:jc w:val="center"/>
                    <w:rPr>
                      <w:rFonts w:ascii="Times New Roman" w:hAnsi="Times New Roman" w:eastAsia="Times New Roman"/>
                      <w:color w:val="000000"/>
                      <w:sz w:val="21"/>
                      <w:szCs w:val="21"/>
                    </w:rPr>
                  </w:pPr>
                  <w:r>
                    <w:rPr>
                      <w:rFonts w:ascii="Times New Roman" w:hAnsi="Times New Roman"/>
                      <w:bCs/>
                      <w:color w:val="000000"/>
                      <w:sz w:val="21"/>
                      <w:szCs w:val="21"/>
                    </w:rPr>
                    <w:t>《工业企业厂界环境噪声排放标准》（GB12348-2008）2类标准</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4</w:t>
                  </w:r>
                </w:p>
              </w:tc>
              <w:tc>
                <w:tcPr>
                  <w:tcW w:w="755"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eastAsia="Times New Roman"/>
                      <w:color w:val="000000"/>
                      <w:sz w:val="21"/>
                      <w:szCs w:val="21"/>
                    </w:rPr>
                  </w:pPr>
                  <w:r>
                    <w:rPr>
                      <w:rFonts w:ascii="Times New Roman" w:hAnsi="Times New Roman"/>
                      <w:color w:val="000000"/>
                      <w:sz w:val="21"/>
                      <w:szCs w:val="21"/>
                    </w:rPr>
                    <w:t>固废</w:t>
                  </w:r>
                </w:p>
              </w:tc>
              <w:tc>
                <w:tcPr>
                  <w:tcW w:w="1098" w:type="dxa"/>
                  <w:tcBorders>
                    <w:tl2br w:val="nil"/>
                    <w:tr2bl w:val="nil"/>
                  </w:tcBorders>
                  <w:vAlign w:val="center"/>
                </w:tcPr>
                <w:p>
                  <w:pPr>
                    <w:pStyle w:val="107"/>
                    <w:snapToGrid w:val="0"/>
                    <w:rPr>
                      <w:color w:val="000000"/>
                      <w:sz w:val="21"/>
                      <w:szCs w:val="21"/>
                      <w:highlight w:val="green"/>
                    </w:rPr>
                  </w:pPr>
                  <w:r>
                    <w:rPr>
                      <w:color w:val="000000"/>
                      <w:sz w:val="21"/>
                      <w:szCs w:val="21"/>
                    </w:rPr>
                    <w:t>废铁丝、废</w:t>
                  </w:r>
                  <w:r>
                    <w:rPr>
                      <w:rFonts w:hint="eastAsia"/>
                      <w:color w:val="000000"/>
                      <w:sz w:val="21"/>
                      <w:szCs w:val="21"/>
                    </w:rPr>
                    <w:t>铁钉</w:t>
                  </w:r>
                  <w:r>
                    <w:rPr>
                      <w:color w:val="000000"/>
                      <w:sz w:val="21"/>
                      <w:szCs w:val="21"/>
                    </w:rPr>
                    <w:t>、废锯末、</w:t>
                  </w:r>
                  <w:r>
                    <w:rPr>
                      <w:rFonts w:hint="eastAsia"/>
                      <w:color w:val="000000"/>
                      <w:sz w:val="21"/>
                      <w:szCs w:val="21"/>
                    </w:rPr>
                    <w:t>废氧化皮、废渣、</w:t>
                  </w:r>
                  <w:r>
                    <w:rPr>
                      <w:color w:val="000000"/>
                      <w:sz w:val="21"/>
                      <w:szCs w:val="21"/>
                    </w:rPr>
                    <w:t>袋式除尘器收集的粉尘</w:t>
                  </w:r>
                </w:p>
              </w:tc>
              <w:tc>
                <w:tcPr>
                  <w:tcW w:w="2101"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sz w:val="21"/>
                      <w:szCs w:val="21"/>
                    </w:rPr>
                  </w:pPr>
                  <w:r>
                    <w:rPr>
                      <w:rFonts w:ascii="Times New Roman" w:hAnsi="Times New Roman"/>
                      <w:sz w:val="21"/>
                      <w:szCs w:val="21"/>
                    </w:rPr>
                    <w:t>铁桶（</w:t>
                  </w:r>
                  <w:r>
                    <w:rPr>
                      <w:rFonts w:hint="eastAsia" w:ascii="Times New Roman" w:hAnsi="Times New Roman"/>
                      <w:sz w:val="21"/>
                      <w:szCs w:val="21"/>
                    </w:rPr>
                    <w:t>1</w:t>
                  </w:r>
                  <w:r>
                    <w:rPr>
                      <w:rFonts w:ascii="Times New Roman" w:hAnsi="Times New Roman"/>
                      <w:sz w:val="21"/>
                      <w:szCs w:val="21"/>
                    </w:rPr>
                    <w:t>00L）</w:t>
                  </w:r>
                  <w:r>
                    <w:rPr>
                      <w:rFonts w:hint="eastAsia" w:ascii="Times New Roman" w:hAnsi="Times New Roman"/>
                      <w:sz w:val="21"/>
                      <w:szCs w:val="21"/>
                    </w:rPr>
                    <w:t>3</w:t>
                  </w:r>
                  <w:r>
                    <w:rPr>
                      <w:rFonts w:ascii="Times New Roman" w:hAnsi="Times New Roman"/>
                      <w:sz w:val="21"/>
                      <w:szCs w:val="21"/>
                    </w:rPr>
                    <w:t>个</w:t>
                  </w:r>
                </w:p>
                <w:p>
                  <w:pPr>
                    <w:pStyle w:val="3"/>
                    <w:tabs>
                      <w:tab w:val="left" w:pos="210"/>
                    </w:tabs>
                    <w:spacing w:line="240" w:lineRule="auto"/>
                    <w:ind w:firstLine="0" w:firstLineChars="0"/>
                    <w:jc w:val="center"/>
                    <w:rPr>
                      <w:rFonts w:ascii="Times New Roman" w:hAnsi="Times New Roman"/>
                      <w:color w:val="000000"/>
                      <w:sz w:val="21"/>
                      <w:szCs w:val="21"/>
                    </w:rPr>
                  </w:pPr>
                  <w:r>
                    <w:rPr>
                      <w:rFonts w:ascii="Times New Roman" w:hAnsi="Times New Roman"/>
                      <w:sz w:val="21"/>
                      <w:szCs w:val="21"/>
                    </w:rPr>
                    <w:t>一般固废场所（建筑面积</w:t>
                  </w:r>
                  <w:r>
                    <w:rPr>
                      <w:rFonts w:hint="eastAsia" w:ascii="Times New Roman" w:hAnsi="Times New Roman"/>
                      <w:sz w:val="21"/>
                      <w:szCs w:val="21"/>
                    </w:rPr>
                    <w:t>20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sz w:val="21"/>
                      <w:szCs w:val="21"/>
                    </w:rPr>
                    <w:t>）</w:t>
                  </w:r>
                </w:p>
              </w:tc>
              <w:tc>
                <w:tcPr>
                  <w:tcW w:w="1912"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sz w:val="21"/>
                      <w:szCs w:val="21"/>
                    </w:rPr>
                  </w:pPr>
                  <w:r>
                    <w:rPr>
                      <w:rFonts w:ascii="Times New Roman" w:hAnsi="Times New Roman"/>
                      <w:sz w:val="21"/>
                      <w:szCs w:val="21"/>
                    </w:rPr>
                    <w:t>铁桶（</w:t>
                  </w:r>
                  <w:r>
                    <w:rPr>
                      <w:rFonts w:hint="eastAsia" w:ascii="Times New Roman" w:hAnsi="Times New Roman"/>
                      <w:sz w:val="21"/>
                      <w:szCs w:val="21"/>
                    </w:rPr>
                    <w:t>1</w:t>
                  </w:r>
                  <w:r>
                    <w:rPr>
                      <w:rFonts w:ascii="Times New Roman" w:hAnsi="Times New Roman"/>
                      <w:sz w:val="21"/>
                      <w:szCs w:val="21"/>
                    </w:rPr>
                    <w:t>00L）</w:t>
                  </w:r>
                  <w:r>
                    <w:rPr>
                      <w:rFonts w:hint="eastAsia" w:ascii="Times New Roman" w:hAnsi="Times New Roman"/>
                      <w:sz w:val="21"/>
                      <w:szCs w:val="21"/>
                    </w:rPr>
                    <w:t>3</w:t>
                  </w:r>
                  <w:r>
                    <w:rPr>
                      <w:rFonts w:ascii="Times New Roman" w:hAnsi="Times New Roman"/>
                      <w:sz w:val="21"/>
                      <w:szCs w:val="21"/>
                    </w:rPr>
                    <w:t>个</w:t>
                  </w:r>
                </w:p>
                <w:p>
                  <w:pPr>
                    <w:pStyle w:val="3"/>
                    <w:tabs>
                      <w:tab w:val="left" w:pos="210"/>
                    </w:tabs>
                    <w:spacing w:line="240" w:lineRule="auto"/>
                    <w:ind w:firstLine="0" w:firstLineChars="0"/>
                    <w:jc w:val="center"/>
                    <w:rPr>
                      <w:rFonts w:ascii="Times New Roman" w:hAnsi="Times New Roman"/>
                      <w:color w:val="000000"/>
                      <w:sz w:val="21"/>
                      <w:szCs w:val="21"/>
                    </w:rPr>
                  </w:pPr>
                  <w:r>
                    <w:rPr>
                      <w:rFonts w:ascii="Times New Roman" w:hAnsi="Times New Roman"/>
                      <w:sz w:val="21"/>
                      <w:szCs w:val="21"/>
                    </w:rPr>
                    <w:t>一般固废场所（建筑面积</w:t>
                  </w:r>
                  <w:r>
                    <w:rPr>
                      <w:rFonts w:hint="eastAsia" w:ascii="Times New Roman" w:hAnsi="Times New Roman"/>
                      <w:sz w:val="21"/>
                      <w:szCs w:val="21"/>
                    </w:rPr>
                    <w:t>20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sz w:val="21"/>
                      <w:szCs w:val="21"/>
                    </w:rPr>
                    <w:t>）</w:t>
                  </w:r>
                </w:p>
              </w:tc>
              <w:tc>
                <w:tcPr>
                  <w:tcW w:w="2605"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eastAsia="Times New Roman"/>
                      <w:color w:val="000000"/>
                      <w:sz w:val="21"/>
                      <w:szCs w:val="21"/>
                    </w:rPr>
                  </w:pPr>
                  <w:r>
                    <w:rPr>
                      <w:rFonts w:ascii="Times New Roman" w:hAnsi="Times New Roman"/>
                      <w:color w:val="000000"/>
                      <w:sz w:val="21"/>
                      <w:szCs w:val="21"/>
                    </w:rPr>
                    <w:t>《一般工业固体废物贮存、处置场污染控制标准》（GB 18599-2001）及</w:t>
                  </w:r>
                  <w:r>
                    <w:rPr>
                      <w:rFonts w:hint="eastAsia" w:ascii="Times New Roman" w:hAnsi="Times New Roman"/>
                      <w:color w:val="000000"/>
                      <w:sz w:val="21"/>
                      <w:szCs w:val="21"/>
                    </w:rPr>
                    <w:t>其2013</w:t>
                  </w:r>
                  <w:r>
                    <w:rPr>
                      <w:rFonts w:ascii="Times New Roman" w:hAnsi="Times New Roman"/>
                      <w:color w:val="000000"/>
                      <w:sz w:val="21"/>
                      <w:szCs w:val="21"/>
                    </w:rPr>
                    <w:t>修改单</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5</w:t>
                  </w:r>
                </w:p>
              </w:tc>
              <w:tc>
                <w:tcPr>
                  <w:tcW w:w="755"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其他</w:t>
                  </w:r>
                </w:p>
              </w:tc>
              <w:tc>
                <w:tcPr>
                  <w:tcW w:w="1098"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其他</w:t>
                  </w:r>
                </w:p>
              </w:tc>
              <w:tc>
                <w:tcPr>
                  <w:tcW w:w="2101"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用电量监控系统</w:t>
                  </w:r>
                </w:p>
              </w:tc>
              <w:tc>
                <w:tcPr>
                  <w:tcW w:w="1912"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用电量监控系统</w:t>
                  </w:r>
                </w:p>
              </w:tc>
              <w:tc>
                <w:tcPr>
                  <w:tcW w:w="2605" w:type="dxa"/>
                  <w:tcBorders>
                    <w:tl2br w:val="nil"/>
                    <w:tr2bl w:val="nil"/>
                  </w:tcBorders>
                  <w:vAlign w:val="center"/>
                </w:tcPr>
                <w:p>
                  <w:pPr>
                    <w:pStyle w:val="3"/>
                    <w:tabs>
                      <w:tab w:val="left" w:pos="210"/>
                    </w:tabs>
                    <w:spacing w:line="240" w:lineRule="auto"/>
                    <w:ind w:firstLine="0" w:firstLineChars="0"/>
                    <w:jc w:val="center"/>
                    <w:rPr>
                      <w:rFonts w:ascii="Times New Roman" w:hAnsi="Times New Roman"/>
                      <w:color w:val="000000"/>
                      <w:sz w:val="21"/>
                      <w:szCs w:val="21"/>
                    </w:rPr>
                  </w:pPr>
                  <w:r>
                    <w:rPr>
                      <w:rFonts w:ascii="Times New Roman" w:hAnsi="Times New Roman"/>
                      <w:color w:val="000000"/>
                      <w:sz w:val="21"/>
                      <w:szCs w:val="21"/>
                    </w:rPr>
                    <w:t>《新乡市生态环境局关于部署安装工业企业用电量监控系统化的通知》新环【2019】154号文要求进行</w:t>
                  </w:r>
                </w:p>
              </w:tc>
            </w:tr>
          </w:tbl>
          <w:p>
            <w:pPr>
              <w:pStyle w:val="2"/>
              <w:ind w:firstLine="538"/>
            </w:pPr>
          </w:p>
          <w:p>
            <w:pPr>
              <w:pStyle w:val="40"/>
              <w:rPr>
                <w:rFonts w:hAnsiTheme="minorEastAsia" w:eastAsiaTheme="minorEastAsia"/>
                <w:sz w:val="24"/>
              </w:rPr>
            </w:pPr>
          </w:p>
          <w:p>
            <w:pPr>
              <w:pStyle w:val="45"/>
              <w:ind w:firstLine="480"/>
              <w:rPr>
                <w:rFonts w:hAnsiTheme="minorEastAsia" w:eastAsiaTheme="minorEastAsia"/>
                <w:sz w:val="24"/>
              </w:rPr>
            </w:pPr>
          </w:p>
          <w:bookmarkEnd w:id="3"/>
          <w:bookmarkEnd w:id="4"/>
          <w:p>
            <w:pPr>
              <w:spacing w:line="520" w:lineRule="exact"/>
              <w:textAlignment w:val="baseline"/>
              <w:rPr>
                <w:sz w:val="24"/>
              </w:rPr>
            </w:pPr>
          </w:p>
        </w:tc>
      </w:tr>
    </w:tbl>
    <w:p>
      <w:pPr>
        <w:spacing w:line="300" w:lineRule="exact"/>
        <w:rPr>
          <w:color w:val="FF0000"/>
          <w:sz w:val="28"/>
        </w:rPr>
        <w:sectPr>
          <w:pgSz w:w="11906" w:h="16838"/>
          <w:pgMar w:top="1134" w:right="1417" w:bottom="1134" w:left="1417" w:header="851" w:footer="992" w:gutter="0"/>
          <w:cols w:space="0" w:num="1"/>
          <w:rtlGutter w:val="0"/>
          <w:docGrid w:type="lines" w:linePitch="312" w:charSpace="0"/>
        </w:sectPr>
      </w:pPr>
    </w:p>
    <w:p>
      <w:pPr>
        <w:spacing w:line="500" w:lineRule="exact"/>
        <w:outlineLvl w:val="0"/>
        <w:rPr>
          <w:b/>
          <w:sz w:val="32"/>
          <w:szCs w:val="32"/>
        </w:rPr>
      </w:pPr>
      <w:r>
        <w:rPr>
          <w:rFonts w:hint="eastAsia" w:hAnsi="宋体"/>
          <w:b/>
          <w:sz w:val="32"/>
          <w:szCs w:val="32"/>
        </w:rPr>
        <w:t>建设项目拟采取的防治措施及预期治理效果</w:t>
      </w:r>
    </w:p>
    <w:tbl>
      <w:tblPr>
        <w:tblStyle w:val="24"/>
        <w:tblW w:w="919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2"/>
        <w:gridCol w:w="1217"/>
        <w:gridCol w:w="1490"/>
        <w:gridCol w:w="2720"/>
        <w:gridCol w:w="284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09" w:hRule="atLeast"/>
          <w:jc w:val="center"/>
        </w:trPr>
        <w:tc>
          <w:tcPr>
            <w:tcW w:w="922" w:type="dxa"/>
            <w:tcBorders>
              <w:tl2br w:val="single" w:color="auto" w:sz="4" w:space="0"/>
            </w:tcBorders>
          </w:tcPr>
          <w:p>
            <w:pPr>
              <w:adjustRightInd w:val="0"/>
              <w:snapToGrid w:val="0"/>
              <w:jc w:val="right"/>
              <w:rPr>
                <w:rFonts w:eastAsiaTheme="minorEastAsia"/>
                <w:b/>
                <w:bCs/>
                <w:color w:val="000000"/>
                <w:sz w:val="24"/>
              </w:rPr>
            </w:pPr>
            <w:r>
              <w:rPr>
                <w:rFonts w:hAnsiTheme="minorEastAsia" w:eastAsiaTheme="minorEastAsia"/>
                <w:b/>
                <w:bCs/>
                <w:color w:val="000000"/>
                <w:sz w:val="24"/>
              </w:rPr>
              <w:t>内容</w:t>
            </w:r>
          </w:p>
          <w:p>
            <w:pPr>
              <w:adjustRightInd w:val="0"/>
              <w:snapToGrid w:val="0"/>
              <w:rPr>
                <w:rFonts w:eastAsiaTheme="minorEastAsia"/>
                <w:b/>
                <w:bCs/>
                <w:color w:val="000000"/>
                <w:sz w:val="24"/>
              </w:rPr>
            </w:pPr>
          </w:p>
          <w:p>
            <w:pPr>
              <w:adjustRightInd w:val="0"/>
              <w:snapToGrid w:val="0"/>
              <w:rPr>
                <w:rFonts w:eastAsiaTheme="minorEastAsia"/>
                <w:b/>
                <w:bCs/>
                <w:color w:val="000000"/>
                <w:sz w:val="24"/>
              </w:rPr>
            </w:pPr>
          </w:p>
          <w:p>
            <w:pPr>
              <w:adjustRightInd w:val="0"/>
              <w:snapToGrid w:val="0"/>
              <w:rPr>
                <w:rFonts w:eastAsiaTheme="minorEastAsia"/>
                <w:b/>
                <w:bCs/>
                <w:color w:val="000000"/>
                <w:sz w:val="24"/>
              </w:rPr>
            </w:pPr>
            <w:r>
              <w:rPr>
                <w:rFonts w:hAnsiTheme="minorEastAsia" w:eastAsiaTheme="minorEastAsia"/>
                <w:b/>
                <w:bCs/>
                <w:color w:val="000000"/>
                <w:sz w:val="24"/>
              </w:rPr>
              <w:t>类型</w:t>
            </w:r>
          </w:p>
        </w:tc>
        <w:tc>
          <w:tcPr>
            <w:tcW w:w="1217" w:type="dxa"/>
            <w:vAlign w:val="center"/>
          </w:tcPr>
          <w:p>
            <w:pPr>
              <w:adjustRightInd w:val="0"/>
              <w:snapToGrid w:val="0"/>
              <w:jc w:val="center"/>
              <w:rPr>
                <w:rFonts w:eastAsiaTheme="minorEastAsia"/>
                <w:b/>
                <w:bCs/>
                <w:color w:val="000000"/>
                <w:sz w:val="24"/>
              </w:rPr>
            </w:pPr>
            <w:r>
              <w:rPr>
                <w:rFonts w:hAnsiTheme="minorEastAsia" w:eastAsiaTheme="minorEastAsia"/>
                <w:b/>
                <w:bCs/>
                <w:color w:val="000000"/>
                <w:sz w:val="24"/>
              </w:rPr>
              <w:t>排放源</w:t>
            </w:r>
          </w:p>
          <w:p>
            <w:pPr>
              <w:adjustRightInd w:val="0"/>
              <w:snapToGrid w:val="0"/>
              <w:jc w:val="center"/>
              <w:rPr>
                <w:rFonts w:eastAsiaTheme="minorEastAsia"/>
                <w:b/>
                <w:bCs/>
                <w:color w:val="000000"/>
                <w:sz w:val="24"/>
              </w:rPr>
            </w:pPr>
            <w:r>
              <w:rPr>
                <w:rFonts w:hAnsiTheme="minorEastAsia" w:eastAsiaTheme="minorEastAsia"/>
                <w:b/>
                <w:bCs/>
                <w:color w:val="000000"/>
                <w:sz w:val="24"/>
              </w:rPr>
              <w:t>（编号）</w:t>
            </w:r>
          </w:p>
        </w:tc>
        <w:tc>
          <w:tcPr>
            <w:tcW w:w="1490" w:type="dxa"/>
            <w:vAlign w:val="center"/>
          </w:tcPr>
          <w:p>
            <w:pPr>
              <w:adjustRightInd w:val="0"/>
              <w:snapToGrid w:val="0"/>
              <w:jc w:val="center"/>
              <w:rPr>
                <w:rFonts w:eastAsiaTheme="minorEastAsia"/>
                <w:b/>
                <w:bCs/>
                <w:color w:val="000000"/>
                <w:sz w:val="24"/>
              </w:rPr>
            </w:pPr>
            <w:r>
              <w:rPr>
                <w:rFonts w:hAnsiTheme="minorEastAsia" w:eastAsiaTheme="minorEastAsia"/>
                <w:b/>
                <w:bCs/>
                <w:color w:val="000000"/>
                <w:sz w:val="24"/>
              </w:rPr>
              <w:t>污染物名称</w:t>
            </w:r>
          </w:p>
        </w:tc>
        <w:tc>
          <w:tcPr>
            <w:tcW w:w="2720" w:type="dxa"/>
            <w:vAlign w:val="center"/>
          </w:tcPr>
          <w:p>
            <w:pPr>
              <w:adjustRightInd w:val="0"/>
              <w:snapToGrid w:val="0"/>
              <w:jc w:val="center"/>
              <w:rPr>
                <w:rFonts w:eastAsiaTheme="minorEastAsia"/>
                <w:b/>
                <w:bCs/>
                <w:color w:val="000000"/>
                <w:sz w:val="24"/>
              </w:rPr>
            </w:pPr>
            <w:r>
              <w:rPr>
                <w:rFonts w:hAnsiTheme="minorEastAsia" w:eastAsiaTheme="minorEastAsia"/>
                <w:b/>
                <w:bCs/>
                <w:color w:val="000000"/>
                <w:sz w:val="24"/>
              </w:rPr>
              <w:t>防治措施</w:t>
            </w:r>
          </w:p>
        </w:tc>
        <w:tc>
          <w:tcPr>
            <w:tcW w:w="2849" w:type="dxa"/>
            <w:vAlign w:val="center"/>
          </w:tcPr>
          <w:p>
            <w:pPr>
              <w:adjustRightInd w:val="0"/>
              <w:snapToGrid w:val="0"/>
              <w:jc w:val="center"/>
              <w:rPr>
                <w:rFonts w:eastAsiaTheme="minorEastAsia"/>
                <w:b/>
                <w:bCs/>
                <w:color w:val="000000"/>
                <w:sz w:val="24"/>
              </w:rPr>
            </w:pPr>
            <w:r>
              <w:rPr>
                <w:rFonts w:hAnsiTheme="minorEastAsia" w:eastAsiaTheme="minorEastAsia"/>
                <w:b/>
                <w:bCs/>
                <w:color w:val="000000"/>
                <w:sz w:val="24"/>
              </w:rPr>
              <w:t>预期治理效果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78" w:hRule="atLeast"/>
          <w:jc w:val="center"/>
        </w:trPr>
        <w:tc>
          <w:tcPr>
            <w:tcW w:w="922" w:type="dxa"/>
            <w:vMerge w:val="restart"/>
            <w:tcBorders>
              <w:top w:val="single" w:color="auto" w:sz="4" w:space="0"/>
            </w:tcBorders>
            <w:vAlign w:val="center"/>
          </w:tcPr>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大</w:t>
            </w:r>
          </w:p>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气</w:t>
            </w:r>
          </w:p>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污</w:t>
            </w:r>
          </w:p>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染</w:t>
            </w:r>
          </w:p>
          <w:p>
            <w:pPr>
              <w:pStyle w:val="68"/>
              <w:adjustRightInd w:val="0"/>
              <w:snapToGrid w:val="0"/>
              <w:spacing w:line="240" w:lineRule="auto"/>
              <w:rPr>
                <w:rFonts w:eastAsiaTheme="minorEastAsia"/>
                <w:color w:val="000000"/>
                <w:sz w:val="24"/>
                <w:szCs w:val="24"/>
              </w:rPr>
            </w:pPr>
            <w:r>
              <w:rPr>
                <w:rFonts w:hAnsiTheme="minorEastAsia" w:eastAsiaTheme="minorEastAsia"/>
                <w:b/>
                <w:bCs/>
                <w:sz w:val="24"/>
                <w:szCs w:val="24"/>
              </w:rPr>
              <w:t>物</w:t>
            </w:r>
          </w:p>
        </w:tc>
        <w:tc>
          <w:tcPr>
            <w:tcW w:w="1217" w:type="dxa"/>
            <w:tcBorders>
              <w:top w:val="single" w:color="auto" w:sz="4" w:space="0"/>
              <w:bottom w:val="single" w:color="auto" w:sz="4" w:space="0"/>
            </w:tcBorders>
            <w:vAlign w:val="center"/>
          </w:tcPr>
          <w:p>
            <w:pPr>
              <w:pStyle w:val="68"/>
              <w:adjustRightInd w:val="0"/>
              <w:snapToGrid w:val="0"/>
              <w:spacing w:line="240" w:lineRule="auto"/>
              <w:ind w:left="-80" w:leftChars="-38" w:right="-84" w:rightChars="-40"/>
              <w:rPr>
                <w:sz w:val="24"/>
                <w:szCs w:val="24"/>
              </w:rPr>
            </w:pPr>
            <w:r>
              <w:rPr>
                <w:sz w:val="24"/>
                <w:szCs w:val="24"/>
              </w:rPr>
              <w:t>抛光</w:t>
            </w:r>
            <w:r>
              <w:rPr>
                <w:rFonts w:hint="eastAsia"/>
                <w:sz w:val="24"/>
                <w:szCs w:val="24"/>
              </w:rPr>
              <w:t>工序</w:t>
            </w:r>
          </w:p>
          <w:p>
            <w:pPr>
              <w:pStyle w:val="68"/>
              <w:adjustRightInd w:val="0"/>
              <w:snapToGrid w:val="0"/>
              <w:spacing w:line="240" w:lineRule="auto"/>
              <w:ind w:left="-80" w:leftChars="-38" w:right="-84" w:rightChars="-40"/>
              <w:rPr>
                <w:color w:val="000000"/>
                <w:sz w:val="24"/>
              </w:rPr>
            </w:pPr>
            <w:r>
              <w:rPr>
                <w:rFonts w:hint="eastAsia"/>
                <w:sz w:val="24"/>
                <w:szCs w:val="24"/>
              </w:rPr>
              <w:t>（有组织）</w:t>
            </w:r>
          </w:p>
        </w:tc>
        <w:tc>
          <w:tcPr>
            <w:tcW w:w="1490" w:type="dxa"/>
            <w:vMerge w:val="restart"/>
            <w:tcBorders>
              <w:top w:val="single" w:color="auto" w:sz="4" w:space="0"/>
            </w:tcBorders>
            <w:vAlign w:val="center"/>
          </w:tcPr>
          <w:p>
            <w:pPr>
              <w:pStyle w:val="68"/>
              <w:adjustRightInd w:val="0"/>
              <w:snapToGrid w:val="0"/>
              <w:spacing w:line="240" w:lineRule="auto"/>
              <w:ind w:right="-84" w:rightChars="-40"/>
              <w:rPr>
                <w:sz w:val="24"/>
                <w:szCs w:val="24"/>
              </w:rPr>
            </w:pPr>
            <w:r>
              <w:rPr>
                <w:sz w:val="24"/>
                <w:szCs w:val="24"/>
              </w:rPr>
              <w:t>粉尘</w:t>
            </w:r>
          </w:p>
        </w:tc>
        <w:tc>
          <w:tcPr>
            <w:tcW w:w="2720" w:type="dxa"/>
            <w:tcBorders>
              <w:top w:val="single" w:color="auto" w:sz="4" w:space="0"/>
              <w:bottom w:val="single" w:color="auto" w:sz="4" w:space="0"/>
            </w:tcBorders>
            <w:vAlign w:val="center"/>
          </w:tcPr>
          <w:p>
            <w:pPr>
              <w:pStyle w:val="68"/>
              <w:adjustRightInd w:val="0"/>
              <w:snapToGrid w:val="0"/>
              <w:spacing w:line="240" w:lineRule="auto"/>
              <w:ind w:right="-84" w:rightChars="-40"/>
              <w:jc w:val="left"/>
              <w:rPr>
                <w:sz w:val="24"/>
              </w:rPr>
            </w:pPr>
            <w:r>
              <w:rPr>
                <w:sz w:val="24"/>
                <w:szCs w:val="24"/>
              </w:rPr>
              <w:t>集气罩收集后采用袋式除尘器治理，尾气经15m排气筒排放</w:t>
            </w:r>
            <w:r>
              <w:rPr>
                <w:rFonts w:hint="eastAsia"/>
                <w:sz w:val="24"/>
                <w:szCs w:val="24"/>
              </w:rPr>
              <w:t>。</w:t>
            </w:r>
          </w:p>
        </w:tc>
        <w:tc>
          <w:tcPr>
            <w:tcW w:w="284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eastAsia="宋体"/>
                <w:color w:val="000000"/>
                <w:spacing w:val="-6"/>
                <w:sz w:val="24"/>
                <w:vertAlign w:val="baseline"/>
                <w:lang w:val="en-US" w:eastAsia="zh-CN"/>
              </w:rPr>
            </w:pPr>
            <w:r>
              <w:rPr>
                <w:rFonts w:hint="eastAsia"/>
                <w:color w:val="000000"/>
                <w:sz w:val="24"/>
                <w:szCs w:val="24"/>
                <w:lang w:eastAsia="zh-CN"/>
              </w:rPr>
              <w:t>能够满足</w:t>
            </w:r>
            <w:r>
              <w:rPr>
                <w:color w:val="000000"/>
                <w:sz w:val="24"/>
                <w:szCs w:val="24"/>
              </w:rPr>
              <w:t>《大气污染物综合排放标准》（GB16297- 1996）表2中颗粒物最高允许排放速率为3.5kg/h</w:t>
            </w:r>
            <w:r>
              <w:rPr>
                <w:rFonts w:hint="eastAsia"/>
                <w:color w:val="000000"/>
                <w:sz w:val="24"/>
                <w:szCs w:val="24"/>
                <w:lang w:eastAsia="zh-CN"/>
              </w:rPr>
              <w:t>；</w:t>
            </w:r>
            <w:r>
              <w:rPr>
                <w:rFonts w:hint="eastAsia"/>
                <w:color w:val="000000"/>
                <w:sz w:val="24"/>
                <w:szCs w:val="24"/>
                <w:lang w:val="en-US" w:eastAsia="zh-CN"/>
              </w:rPr>
              <w:t>2020年7月31日《新乡市生态环境局关于进一步规范工业颗粒物排放限值的通知》</w:t>
            </w:r>
            <w:r>
              <w:rPr>
                <w:rFonts w:hint="eastAsia"/>
                <w:color w:val="000000"/>
                <w:sz w:val="24"/>
                <w:szCs w:val="24"/>
                <w:lang w:eastAsia="zh-CN"/>
              </w:rPr>
              <w:t>排放口颗粒物排放浓度不高于</w:t>
            </w:r>
            <w:r>
              <w:rPr>
                <w:rFonts w:hint="eastAsia"/>
                <w:color w:val="000000"/>
                <w:sz w:val="24"/>
                <w:szCs w:val="24"/>
                <w:lang w:val="en-US" w:eastAsia="zh-CN"/>
              </w:rPr>
              <w:t>10</w:t>
            </w:r>
            <w:r>
              <w:rPr>
                <w:color w:val="000000"/>
                <w:sz w:val="24"/>
                <w:szCs w:val="24"/>
              </w:rPr>
              <w:t>mg/m</w:t>
            </w:r>
            <w:r>
              <w:rPr>
                <w:color w:val="000000"/>
                <w:sz w:val="24"/>
                <w:szCs w:val="24"/>
                <w:vertAlign w:val="superscript"/>
              </w:rPr>
              <w:t>3</w:t>
            </w:r>
            <w:r>
              <w:rPr>
                <w:rFonts w:hint="eastAsia"/>
                <w:color w:val="000000"/>
                <w:sz w:val="24"/>
                <w:szCs w:val="24"/>
                <w:vertAlign w:val="baseline"/>
                <w:lang w:eastAsia="zh-CN"/>
              </w:rPr>
              <w:t>的标准要求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6" w:hRule="atLeast"/>
          <w:jc w:val="center"/>
        </w:trPr>
        <w:tc>
          <w:tcPr>
            <w:tcW w:w="922" w:type="dxa"/>
            <w:vMerge w:val="continue"/>
            <w:vAlign w:val="center"/>
          </w:tcPr>
          <w:p>
            <w:pPr>
              <w:pStyle w:val="68"/>
              <w:adjustRightInd w:val="0"/>
              <w:snapToGrid w:val="0"/>
              <w:spacing w:line="240" w:lineRule="auto"/>
              <w:rPr>
                <w:rFonts w:hAnsiTheme="minorEastAsia" w:eastAsiaTheme="minorEastAsia"/>
                <w:b/>
                <w:bCs/>
                <w:sz w:val="24"/>
                <w:szCs w:val="24"/>
              </w:rPr>
            </w:pPr>
          </w:p>
        </w:tc>
        <w:tc>
          <w:tcPr>
            <w:tcW w:w="1217" w:type="dxa"/>
            <w:tcBorders>
              <w:top w:val="single" w:color="auto" w:sz="4" w:space="0"/>
            </w:tcBorders>
            <w:vAlign w:val="center"/>
          </w:tcPr>
          <w:p>
            <w:pPr>
              <w:pStyle w:val="68"/>
              <w:adjustRightInd w:val="0"/>
              <w:snapToGrid w:val="0"/>
              <w:spacing w:line="240" w:lineRule="auto"/>
              <w:ind w:left="-80" w:leftChars="-38" w:right="-84" w:rightChars="-40"/>
              <w:rPr>
                <w:sz w:val="24"/>
                <w:szCs w:val="24"/>
              </w:rPr>
            </w:pPr>
            <w:r>
              <w:rPr>
                <w:sz w:val="24"/>
                <w:szCs w:val="24"/>
              </w:rPr>
              <w:t>抛光</w:t>
            </w:r>
            <w:r>
              <w:rPr>
                <w:rFonts w:hint="eastAsia"/>
                <w:sz w:val="24"/>
                <w:szCs w:val="24"/>
              </w:rPr>
              <w:t>工序</w:t>
            </w:r>
          </w:p>
          <w:p>
            <w:pPr>
              <w:pStyle w:val="68"/>
              <w:adjustRightInd w:val="0"/>
              <w:snapToGrid w:val="0"/>
              <w:spacing w:line="240" w:lineRule="auto"/>
              <w:ind w:left="-80" w:leftChars="-38" w:right="-84" w:rightChars="-40"/>
              <w:rPr>
                <w:color w:val="000000"/>
                <w:sz w:val="24"/>
              </w:rPr>
            </w:pPr>
            <w:r>
              <w:rPr>
                <w:rFonts w:hint="eastAsia"/>
                <w:sz w:val="24"/>
                <w:szCs w:val="24"/>
              </w:rPr>
              <w:t>（无组织）</w:t>
            </w:r>
          </w:p>
        </w:tc>
        <w:tc>
          <w:tcPr>
            <w:tcW w:w="1490" w:type="dxa"/>
            <w:vMerge w:val="continue"/>
            <w:vAlign w:val="center"/>
          </w:tcPr>
          <w:p>
            <w:pPr>
              <w:pStyle w:val="68"/>
              <w:adjustRightInd w:val="0"/>
              <w:snapToGrid w:val="0"/>
              <w:spacing w:line="240" w:lineRule="auto"/>
              <w:ind w:left="-80" w:leftChars="-38" w:right="-84" w:rightChars="-40"/>
              <w:rPr>
                <w:sz w:val="24"/>
                <w:szCs w:val="24"/>
              </w:rPr>
            </w:pPr>
          </w:p>
        </w:tc>
        <w:tc>
          <w:tcPr>
            <w:tcW w:w="2720" w:type="dxa"/>
            <w:tcBorders>
              <w:top w:val="single" w:color="auto" w:sz="4" w:space="0"/>
            </w:tcBorders>
            <w:vAlign w:val="center"/>
          </w:tcPr>
          <w:p>
            <w:pPr>
              <w:pStyle w:val="68"/>
              <w:adjustRightInd w:val="0"/>
              <w:snapToGrid w:val="0"/>
              <w:spacing w:line="240" w:lineRule="auto"/>
              <w:ind w:left="-80" w:leftChars="-38" w:right="-84" w:rightChars="-40"/>
              <w:rPr>
                <w:sz w:val="24"/>
              </w:rPr>
            </w:pPr>
            <w:r>
              <w:rPr>
                <w:rFonts w:hint="eastAsia"/>
                <w:color w:val="000000"/>
                <w:sz w:val="24"/>
                <w:szCs w:val="24"/>
              </w:rPr>
              <w:t xml:space="preserve"> 密闭车间；车间地面上的粉尘及时用吸尘器清理；</w:t>
            </w:r>
            <w:r>
              <w:rPr>
                <w:color w:val="000000"/>
                <w:sz w:val="24"/>
                <w:szCs w:val="24"/>
              </w:rPr>
              <w:t>厂区道路应进行硬化，裸露土地全部绿化</w:t>
            </w:r>
            <w:r>
              <w:rPr>
                <w:rFonts w:hint="eastAsia"/>
                <w:color w:val="000000"/>
                <w:sz w:val="24"/>
                <w:szCs w:val="24"/>
              </w:rPr>
              <w:t>。</w:t>
            </w:r>
          </w:p>
        </w:tc>
        <w:tc>
          <w:tcPr>
            <w:tcW w:w="2849" w:type="dxa"/>
            <w:tcBorders>
              <w:top w:val="single" w:color="auto" w:sz="4" w:space="0"/>
            </w:tcBorders>
            <w:vAlign w:val="center"/>
          </w:tcPr>
          <w:p>
            <w:pPr>
              <w:pStyle w:val="68"/>
              <w:adjustRightInd w:val="0"/>
              <w:snapToGrid w:val="0"/>
              <w:spacing w:line="240" w:lineRule="auto"/>
              <w:ind w:left="-78" w:leftChars="-37" w:right="-84" w:rightChars="-40"/>
              <w:jc w:val="left"/>
              <w:rPr>
                <w:color w:val="000000"/>
                <w:spacing w:val="-6"/>
                <w:sz w:val="24"/>
                <w:szCs w:val="24"/>
                <w:vertAlign w:val="baseline"/>
              </w:rPr>
            </w:pPr>
            <w:r>
              <w:rPr>
                <w:rFonts w:hint="eastAsia"/>
                <w:color w:val="000000"/>
                <w:sz w:val="24"/>
                <w:szCs w:val="24"/>
                <w:lang w:val="en-US" w:eastAsia="zh-CN"/>
              </w:rPr>
              <w:t>能够满足2020年7月31日《新乡市生态环境局关于进一步规范工业颗粒物排放限值的通知》</w:t>
            </w:r>
            <w:r>
              <w:rPr>
                <w:rFonts w:hint="eastAsia" w:ascii="Times New Roman" w:hAnsi="Times New Roman" w:eastAsia="宋体" w:cs="Times New Roman"/>
                <w:kern w:val="2"/>
                <w:sz w:val="24"/>
                <w:szCs w:val="24"/>
                <w:lang w:val="en-US" w:eastAsia="zh-CN" w:bidi="ar-SA"/>
              </w:rPr>
              <w:t>厂界颗粒物排放浓度不高于0.5mg/m</w:t>
            </w:r>
            <w:r>
              <w:rPr>
                <w:rFonts w:hint="eastAsia" w:ascii="Times New Roman" w:hAnsi="Times New Roman" w:eastAsia="宋体" w:cs="Times New Roman"/>
                <w:kern w:val="2"/>
                <w:sz w:val="24"/>
                <w:szCs w:val="24"/>
                <w:vertAlign w:val="superscript"/>
                <w:lang w:val="en-US" w:eastAsia="zh-CN" w:bidi="ar-SA"/>
              </w:rPr>
              <w:t>3</w:t>
            </w:r>
            <w:r>
              <w:rPr>
                <w:rFonts w:hint="eastAsia" w:cs="Times New Roman"/>
                <w:kern w:val="2"/>
                <w:sz w:val="24"/>
                <w:szCs w:val="24"/>
                <w:vertAlign w:val="baseline"/>
                <w:lang w:val="en-US" w:eastAsia="zh-CN" w:bidi="ar-SA"/>
              </w:rPr>
              <w:t>的标准要求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61" w:hRule="atLeast"/>
          <w:jc w:val="center"/>
        </w:trPr>
        <w:tc>
          <w:tcPr>
            <w:tcW w:w="922" w:type="dxa"/>
            <w:tcBorders>
              <w:top w:val="single" w:color="auto" w:sz="4" w:space="0"/>
            </w:tcBorders>
            <w:vAlign w:val="center"/>
          </w:tcPr>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水</w:t>
            </w:r>
          </w:p>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污</w:t>
            </w:r>
          </w:p>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染</w:t>
            </w:r>
          </w:p>
          <w:p>
            <w:pPr>
              <w:pStyle w:val="68"/>
              <w:adjustRightInd w:val="0"/>
              <w:snapToGrid w:val="0"/>
              <w:spacing w:line="240" w:lineRule="auto"/>
              <w:rPr>
                <w:rFonts w:eastAsiaTheme="minorEastAsia"/>
                <w:color w:val="000000"/>
                <w:sz w:val="24"/>
                <w:szCs w:val="24"/>
              </w:rPr>
            </w:pPr>
            <w:r>
              <w:rPr>
                <w:rFonts w:hAnsiTheme="minorEastAsia" w:eastAsiaTheme="minorEastAsia"/>
                <w:b/>
                <w:bCs/>
                <w:sz w:val="24"/>
                <w:szCs w:val="24"/>
              </w:rPr>
              <w:t>物</w:t>
            </w:r>
          </w:p>
        </w:tc>
        <w:tc>
          <w:tcPr>
            <w:tcW w:w="1217" w:type="dxa"/>
            <w:tcBorders>
              <w:top w:val="single" w:color="auto" w:sz="4" w:space="0"/>
            </w:tcBorders>
            <w:vAlign w:val="center"/>
          </w:tcPr>
          <w:p>
            <w:pPr>
              <w:adjustRightInd w:val="0"/>
              <w:snapToGrid w:val="0"/>
              <w:jc w:val="center"/>
              <w:rPr>
                <w:rFonts w:eastAsiaTheme="minorEastAsia"/>
                <w:color w:val="000000"/>
                <w:sz w:val="24"/>
              </w:rPr>
            </w:pPr>
            <w:r>
              <w:rPr>
                <w:rFonts w:hAnsiTheme="minorEastAsia" w:eastAsiaTheme="minorEastAsia"/>
                <w:color w:val="000000"/>
                <w:sz w:val="24"/>
              </w:rPr>
              <w:t>生活污水</w:t>
            </w:r>
          </w:p>
        </w:tc>
        <w:tc>
          <w:tcPr>
            <w:tcW w:w="1490" w:type="dxa"/>
            <w:tcBorders>
              <w:top w:val="single" w:color="auto" w:sz="4" w:space="0"/>
            </w:tcBorders>
            <w:vAlign w:val="center"/>
          </w:tcPr>
          <w:p>
            <w:pPr>
              <w:adjustRightInd w:val="0"/>
              <w:snapToGrid w:val="0"/>
              <w:jc w:val="center"/>
              <w:rPr>
                <w:rFonts w:eastAsiaTheme="minorEastAsia"/>
                <w:color w:val="000000"/>
                <w:sz w:val="24"/>
              </w:rPr>
            </w:pPr>
            <w:r>
              <w:rPr>
                <w:rFonts w:eastAsiaTheme="minorEastAsia"/>
                <w:color w:val="000000"/>
                <w:sz w:val="24"/>
              </w:rPr>
              <w:t>COD</w:t>
            </w:r>
          </w:p>
          <w:p>
            <w:pPr>
              <w:adjustRightInd w:val="0"/>
              <w:snapToGrid w:val="0"/>
              <w:jc w:val="center"/>
              <w:rPr>
                <w:rFonts w:eastAsiaTheme="minorEastAsia"/>
                <w:color w:val="000000"/>
                <w:sz w:val="24"/>
              </w:rPr>
            </w:pPr>
            <w:r>
              <w:rPr>
                <w:rFonts w:eastAsiaTheme="minorEastAsia"/>
                <w:color w:val="000000"/>
                <w:sz w:val="24"/>
              </w:rPr>
              <w:t>SS</w:t>
            </w:r>
          </w:p>
          <w:p>
            <w:pPr>
              <w:adjustRightInd w:val="0"/>
              <w:snapToGrid w:val="0"/>
              <w:jc w:val="center"/>
              <w:rPr>
                <w:rFonts w:eastAsiaTheme="minorEastAsia"/>
                <w:color w:val="000000"/>
                <w:sz w:val="24"/>
              </w:rPr>
            </w:pPr>
            <w:r>
              <w:rPr>
                <w:rFonts w:eastAsiaTheme="minorEastAsia"/>
                <w:color w:val="000000"/>
                <w:sz w:val="24"/>
              </w:rPr>
              <w:t>NH</w:t>
            </w:r>
            <w:r>
              <w:rPr>
                <w:rFonts w:eastAsiaTheme="minorEastAsia"/>
                <w:color w:val="000000"/>
                <w:sz w:val="24"/>
                <w:vertAlign w:val="subscript"/>
              </w:rPr>
              <w:t>3</w:t>
            </w:r>
            <w:r>
              <w:rPr>
                <w:rFonts w:eastAsiaTheme="minorEastAsia"/>
                <w:color w:val="000000"/>
                <w:sz w:val="24"/>
              </w:rPr>
              <w:t>-N</w:t>
            </w:r>
          </w:p>
          <w:p>
            <w:pPr>
              <w:adjustRightInd w:val="0"/>
              <w:snapToGrid w:val="0"/>
              <w:jc w:val="center"/>
              <w:rPr>
                <w:rFonts w:eastAsiaTheme="minorEastAsia"/>
                <w:color w:val="000000"/>
                <w:sz w:val="24"/>
              </w:rPr>
            </w:pPr>
            <w:r>
              <w:rPr>
                <w:rFonts w:eastAsiaTheme="minorEastAsia"/>
                <w:color w:val="000000"/>
                <w:sz w:val="24"/>
              </w:rPr>
              <w:t>TP</w:t>
            </w:r>
          </w:p>
          <w:p>
            <w:pPr>
              <w:adjustRightInd w:val="0"/>
              <w:snapToGrid w:val="0"/>
              <w:jc w:val="center"/>
              <w:rPr>
                <w:rFonts w:eastAsiaTheme="minorEastAsia"/>
                <w:color w:val="000000"/>
                <w:sz w:val="24"/>
              </w:rPr>
            </w:pPr>
            <w:r>
              <w:rPr>
                <w:rFonts w:hint="eastAsia"/>
              </w:rPr>
              <w:t>TN</w:t>
            </w:r>
          </w:p>
        </w:tc>
        <w:tc>
          <w:tcPr>
            <w:tcW w:w="2720" w:type="dxa"/>
            <w:tcBorders>
              <w:top w:val="single" w:color="auto" w:sz="4" w:space="0"/>
            </w:tcBorders>
            <w:vAlign w:val="center"/>
          </w:tcPr>
          <w:p>
            <w:pPr>
              <w:adjustRightInd w:val="0"/>
              <w:snapToGrid w:val="0"/>
              <w:jc w:val="center"/>
              <w:rPr>
                <w:rFonts w:eastAsiaTheme="minorEastAsia"/>
                <w:color w:val="000000"/>
                <w:sz w:val="24"/>
              </w:rPr>
            </w:pPr>
            <w:r>
              <w:rPr>
                <w:rFonts w:hint="eastAsia" w:hAnsiTheme="minorEastAsia" w:eastAsiaTheme="minorEastAsia"/>
                <w:color w:val="000000"/>
                <w:sz w:val="24"/>
              </w:rPr>
              <w:t>生活污水经</w:t>
            </w:r>
            <w:r>
              <w:rPr>
                <w:rFonts w:hAnsiTheme="minorEastAsia" w:eastAsiaTheme="minorEastAsia"/>
                <w:color w:val="000000"/>
                <w:sz w:val="24"/>
              </w:rPr>
              <w:t>化粪池处理后定期清运，不外排</w:t>
            </w:r>
          </w:p>
        </w:tc>
        <w:tc>
          <w:tcPr>
            <w:tcW w:w="2849" w:type="dxa"/>
            <w:tcBorders>
              <w:top w:val="single" w:color="auto" w:sz="4" w:space="0"/>
            </w:tcBorders>
            <w:vAlign w:val="center"/>
          </w:tcPr>
          <w:p>
            <w:pPr>
              <w:adjustRightInd w:val="0"/>
              <w:snapToGrid w:val="0"/>
              <w:jc w:val="center"/>
              <w:rPr>
                <w:rFonts w:eastAsiaTheme="minorEastAsia"/>
                <w:color w:val="000000"/>
                <w:spacing w:val="-6"/>
                <w:sz w:val="24"/>
              </w:rPr>
            </w:pPr>
            <w:r>
              <w:rPr>
                <w:rFonts w:hAnsiTheme="minorEastAsia" w:eastAsiaTheme="minorEastAsia"/>
                <w:color w:val="000000"/>
                <w:spacing w:val="-6"/>
                <w:sz w:val="24"/>
              </w:rPr>
              <w:t>合理处理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34" w:hRule="atLeast"/>
          <w:jc w:val="center"/>
        </w:trPr>
        <w:tc>
          <w:tcPr>
            <w:tcW w:w="922" w:type="dxa"/>
            <w:tcBorders>
              <w:top w:val="single" w:color="auto" w:sz="4" w:space="0"/>
            </w:tcBorders>
            <w:vAlign w:val="center"/>
          </w:tcPr>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固</w:t>
            </w:r>
          </w:p>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体</w:t>
            </w:r>
          </w:p>
          <w:p>
            <w:pPr>
              <w:pStyle w:val="68"/>
              <w:adjustRightInd w:val="0"/>
              <w:snapToGrid w:val="0"/>
              <w:spacing w:line="240" w:lineRule="auto"/>
              <w:rPr>
                <w:rFonts w:eastAsiaTheme="minorEastAsia"/>
                <w:b/>
                <w:bCs/>
                <w:sz w:val="24"/>
                <w:szCs w:val="24"/>
              </w:rPr>
            </w:pPr>
            <w:r>
              <w:rPr>
                <w:rFonts w:hAnsiTheme="minorEastAsia" w:eastAsiaTheme="minorEastAsia"/>
                <w:b/>
                <w:bCs/>
                <w:sz w:val="24"/>
                <w:szCs w:val="24"/>
              </w:rPr>
              <w:t>废</w:t>
            </w:r>
          </w:p>
          <w:p>
            <w:pPr>
              <w:pStyle w:val="68"/>
              <w:adjustRightInd w:val="0"/>
              <w:snapToGrid w:val="0"/>
              <w:spacing w:line="240" w:lineRule="auto"/>
              <w:rPr>
                <w:rFonts w:eastAsiaTheme="minorEastAsia"/>
                <w:color w:val="000000"/>
                <w:sz w:val="24"/>
                <w:szCs w:val="24"/>
              </w:rPr>
            </w:pPr>
            <w:r>
              <w:rPr>
                <w:rFonts w:hAnsiTheme="minorEastAsia" w:eastAsiaTheme="minorEastAsia"/>
                <w:b/>
                <w:bCs/>
                <w:sz w:val="24"/>
                <w:szCs w:val="24"/>
              </w:rPr>
              <w:t>物</w:t>
            </w:r>
          </w:p>
        </w:tc>
        <w:tc>
          <w:tcPr>
            <w:tcW w:w="1217" w:type="dxa"/>
            <w:tcBorders>
              <w:top w:val="single" w:color="auto" w:sz="4" w:space="0"/>
            </w:tcBorders>
            <w:vAlign w:val="center"/>
          </w:tcPr>
          <w:p>
            <w:pPr>
              <w:adjustRightInd w:val="0"/>
              <w:snapToGrid w:val="0"/>
              <w:jc w:val="center"/>
            </w:pPr>
            <w:r>
              <w:rPr>
                <w:rFonts w:hint="eastAsia" w:hAnsiTheme="minorEastAsia" w:eastAsiaTheme="minorEastAsia"/>
                <w:color w:val="000000"/>
                <w:sz w:val="24"/>
              </w:rPr>
              <w:t>拔丝工序</w:t>
            </w:r>
          </w:p>
        </w:tc>
        <w:tc>
          <w:tcPr>
            <w:tcW w:w="1490" w:type="dxa"/>
            <w:tcBorders>
              <w:top w:val="single" w:color="auto" w:sz="4" w:space="0"/>
            </w:tcBorders>
            <w:vAlign w:val="center"/>
          </w:tcPr>
          <w:p>
            <w:pPr>
              <w:pStyle w:val="2"/>
              <w:adjustRightInd w:val="0"/>
              <w:snapToGrid w:val="0"/>
              <w:spacing w:after="0" w:line="240" w:lineRule="auto"/>
              <w:ind w:left="0" w:leftChars="0" w:firstLine="0" w:firstLineChars="0"/>
              <w:jc w:val="center"/>
              <w:rPr>
                <w:rFonts w:eastAsiaTheme="minorEastAsia"/>
                <w:sz w:val="24"/>
              </w:rPr>
            </w:pPr>
            <w:r>
              <w:rPr>
                <w:rFonts w:hAnsiTheme="minorEastAsia" w:eastAsiaTheme="minorEastAsia"/>
                <w:sz w:val="24"/>
              </w:rPr>
              <w:t>废铁丝</w:t>
            </w:r>
            <w:r>
              <w:rPr>
                <w:rFonts w:hint="eastAsia" w:hAnsiTheme="minorEastAsia" w:eastAsiaTheme="minorEastAsia"/>
                <w:sz w:val="24"/>
              </w:rPr>
              <w:t>、废铁钉、废氧化皮、废锯末、废渣、粉尘</w:t>
            </w:r>
          </w:p>
        </w:tc>
        <w:tc>
          <w:tcPr>
            <w:tcW w:w="2720" w:type="dxa"/>
            <w:tcBorders>
              <w:top w:val="single" w:color="auto" w:sz="4" w:space="0"/>
            </w:tcBorders>
            <w:vAlign w:val="center"/>
          </w:tcPr>
          <w:p>
            <w:pPr>
              <w:adjustRightInd w:val="0"/>
              <w:snapToGrid w:val="0"/>
              <w:jc w:val="center"/>
              <w:rPr>
                <w:rFonts w:eastAsiaTheme="minorEastAsia"/>
                <w:color w:val="000000"/>
                <w:sz w:val="24"/>
              </w:rPr>
            </w:pPr>
            <w:r>
              <w:rPr>
                <w:rFonts w:hAnsiTheme="minorEastAsia" w:eastAsiaTheme="minorEastAsia"/>
                <w:bCs/>
                <w:color w:val="000000"/>
                <w:sz w:val="24"/>
              </w:rPr>
              <w:t>经收集后，暂存于一般固废暂存间，定期外售</w:t>
            </w:r>
          </w:p>
        </w:tc>
        <w:tc>
          <w:tcPr>
            <w:tcW w:w="2849" w:type="dxa"/>
            <w:tcBorders>
              <w:top w:val="single" w:color="auto" w:sz="4" w:space="0"/>
            </w:tcBorders>
            <w:vAlign w:val="center"/>
          </w:tcPr>
          <w:p>
            <w:pPr>
              <w:adjustRightInd w:val="0"/>
              <w:snapToGrid w:val="0"/>
              <w:jc w:val="center"/>
              <w:rPr>
                <w:rFonts w:eastAsiaTheme="minorEastAsia"/>
                <w:color w:val="000000"/>
                <w:spacing w:val="-6"/>
                <w:sz w:val="24"/>
              </w:rPr>
            </w:pPr>
            <w:r>
              <w:rPr>
                <w:rFonts w:hAnsiTheme="minorEastAsia" w:eastAsiaTheme="minorEastAsia"/>
                <w:color w:val="000000"/>
                <w:spacing w:val="-6"/>
                <w:sz w:val="24"/>
              </w:rPr>
              <w:t>《一般工业固体废物贮存、处置场污染控制标准》（</w:t>
            </w:r>
            <w:r>
              <w:rPr>
                <w:rFonts w:eastAsiaTheme="minorEastAsia"/>
                <w:color w:val="000000"/>
                <w:spacing w:val="-6"/>
                <w:sz w:val="24"/>
              </w:rPr>
              <w:t>GB 18599-2001</w:t>
            </w:r>
            <w:r>
              <w:rPr>
                <w:rFonts w:hAnsiTheme="minorEastAsia" w:eastAsiaTheme="minorEastAsia"/>
                <w:color w:val="000000"/>
                <w:spacing w:val="-6"/>
                <w:sz w:val="24"/>
              </w:rPr>
              <w:t>）及</w:t>
            </w:r>
            <w:r>
              <w:rPr>
                <w:rFonts w:hint="eastAsia" w:hAnsiTheme="minorEastAsia" w:eastAsiaTheme="minorEastAsia"/>
                <w:color w:val="000000"/>
                <w:spacing w:val="-6"/>
                <w:sz w:val="24"/>
              </w:rPr>
              <w:t>其2013</w:t>
            </w:r>
            <w:r>
              <w:rPr>
                <w:rFonts w:hAnsiTheme="minorEastAsia" w:eastAsiaTheme="minorEastAsia"/>
                <w:color w:val="000000"/>
                <w:spacing w:val="-6"/>
                <w:sz w:val="24"/>
              </w:rPr>
              <w:t>修改单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61" w:hRule="atLeast"/>
          <w:jc w:val="center"/>
        </w:trPr>
        <w:tc>
          <w:tcPr>
            <w:tcW w:w="922" w:type="dxa"/>
            <w:vAlign w:val="center"/>
          </w:tcPr>
          <w:p>
            <w:pPr>
              <w:adjustRightInd w:val="0"/>
              <w:snapToGrid w:val="0"/>
              <w:jc w:val="center"/>
              <w:rPr>
                <w:b/>
                <w:bCs/>
                <w:color w:val="000000"/>
                <w:sz w:val="24"/>
              </w:rPr>
            </w:pPr>
            <w:r>
              <w:rPr>
                <w:b/>
                <w:bCs/>
                <w:color w:val="000000"/>
                <w:sz w:val="24"/>
              </w:rPr>
              <w:t>噪</w:t>
            </w:r>
          </w:p>
          <w:p>
            <w:pPr>
              <w:adjustRightInd w:val="0"/>
              <w:snapToGrid w:val="0"/>
              <w:jc w:val="center"/>
              <w:rPr>
                <w:color w:val="000000"/>
                <w:sz w:val="24"/>
              </w:rPr>
            </w:pPr>
            <w:r>
              <w:rPr>
                <w:b/>
                <w:bCs/>
                <w:color w:val="000000"/>
                <w:sz w:val="24"/>
              </w:rPr>
              <w:t>声</w:t>
            </w:r>
          </w:p>
        </w:tc>
        <w:tc>
          <w:tcPr>
            <w:tcW w:w="8276" w:type="dxa"/>
            <w:gridSpan w:val="4"/>
            <w:vAlign w:val="center"/>
          </w:tcPr>
          <w:p>
            <w:pPr>
              <w:adjustRightInd w:val="0"/>
              <w:snapToGrid w:val="0"/>
              <w:jc w:val="left"/>
              <w:rPr>
                <w:color w:val="000000"/>
                <w:sz w:val="24"/>
              </w:rPr>
            </w:pPr>
            <w:r>
              <w:rPr>
                <w:color w:val="000000"/>
                <w:sz w:val="24"/>
              </w:rPr>
              <w:t xml:space="preserve">   </w:t>
            </w:r>
            <w:r>
              <w:rPr>
                <w:rFonts w:hAnsi="宋体"/>
                <w:color w:val="000000"/>
                <w:sz w:val="24"/>
              </w:rPr>
              <w:t>本项目噪声设备主要为拔丝机、</w:t>
            </w:r>
            <w:r>
              <w:rPr>
                <w:rFonts w:hint="eastAsia" w:hAnsi="宋体"/>
                <w:color w:val="000000"/>
                <w:sz w:val="24"/>
              </w:rPr>
              <w:t>制钉机、抛光机、</w:t>
            </w:r>
            <w:r>
              <w:rPr>
                <w:rFonts w:hAnsi="宋体"/>
                <w:color w:val="000000"/>
                <w:sz w:val="24"/>
              </w:rPr>
              <w:t>空压机设备噪声源强为</w:t>
            </w:r>
            <w:r>
              <w:rPr>
                <w:rFonts w:hint="eastAsia"/>
                <w:color w:val="000000"/>
                <w:sz w:val="24"/>
              </w:rPr>
              <w:t>70</w:t>
            </w:r>
            <w:r>
              <w:rPr>
                <w:color w:val="000000"/>
                <w:sz w:val="24"/>
              </w:rPr>
              <w:t>-</w:t>
            </w:r>
            <w:r>
              <w:rPr>
                <w:rFonts w:hint="eastAsia"/>
                <w:color w:val="000000"/>
                <w:sz w:val="24"/>
              </w:rPr>
              <w:t>90</w:t>
            </w:r>
            <w:r>
              <w:rPr>
                <w:color w:val="000000"/>
                <w:sz w:val="24"/>
              </w:rPr>
              <w:t>dB</w:t>
            </w:r>
            <w:r>
              <w:rPr>
                <w:rFonts w:hAnsi="宋体"/>
                <w:color w:val="000000"/>
                <w:sz w:val="24"/>
              </w:rPr>
              <w:t>（</w:t>
            </w:r>
            <w:r>
              <w:rPr>
                <w:color w:val="000000"/>
                <w:sz w:val="24"/>
              </w:rPr>
              <w:t>A</w:t>
            </w:r>
            <w:r>
              <w:rPr>
                <w:rFonts w:hAnsi="宋体"/>
                <w:color w:val="000000"/>
                <w:sz w:val="24"/>
              </w:rPr>
              <w:t>），</w:t>
            </w:r>
            <w:r>
              <w:rPr>
                <w:rFonts w:hint="eastAsia" w:hAnsi="宋体"/>
                <w:color w:val="000000"/>
                <w:sz w:val="24"/>
              </w:rPr>
              <w:t>经选用低噪声设备、厂房密闭隔音等措施</w:t>
            </w:r>
            <w:r>
              <w:rPr>
                <w:rFonts w:hAnsi="宋体"/>
                <w:color w:val="000000"/>
                <w:sz w:val="24"/>
              </w:rPr>
              <w:t>后，满足《工业企业厂界环境噪声排放标准》（</w:t>
            </w:r>
            <w:r>
              <w:rPr>
                <w:color w:val="000000"/>
                <w:sz w:val="24"/>
              </w:rPr>
              <w:t>GB12348-2008</w:t>
            </w:r>
            <w:r>
              <w:rPr>
                <w:rFonts w:hAnsi="宋体"/>
                <w:color w:val="000000"/>
                <w:sz w:val="24"/>
              </w:rPr>
              <w:t>）</w:t>
            </w:r>
            <w:r>
              <w:rPr>
                <w:color w:val="000000"/>
                <w:sz w:val="24"/>
              </w:rPr>
              <w:t>2</w:t>
            </w:r>
            <w:r>
              <w:rPr>
                <w:rFonts w:hAnsi="宋体"/>
                <w:color w:val="000000"/>
                <w:sz w:val="24"/>
              </w:rPr>
              <w:t>类标准的要求。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71" w:hRule="atLeast"/>
          <w:jc w:val="center"/>
        </w:trPr>
        <w:tc>
          <w:tcPr>
            <w:tcW w:w="922" w:type="dxa"/>
            <w:vAlign w:val="center"/>
          </w:tcPr>
          <w:p>
            <w:pPr>
              <w:adjustRightInd w:val="0"/>
              <w:snapToGrid w:val="0"/>
              <w:jc w:val="center"/>
              <w:rPr>
                <w:b/>
                <w:bCs/>
                <w:color w:val="000000"/>
                <w:sz w:val="24"/>
              </w:rPr>
            </w:pPr>
            <w:r>
              <w:rPr>
                <w:b/>
                <w:bCs/>
                <w:color w:val="000000"/>
                <w:sz w:val="24"/>
              </w:rPr>
              <w:t>其</w:t>
            </w:r>
          </w:p>
          <w:p>
            <w:pPr>
              <w:adjustRightInd w:val="0"/>
              <w:snapToGrid w:val="0"/>
              <w:jc w:val="center"/>
              <w:rPr>
                <w:color w:val="000000"/>
                <w:sz w:val="24"/>
              </w:rPr>
            </w:pPr>
            <w:r>
              <w:rPr>
                <w:b/>
                <w:bCs/>
                <w:color w:val="000000"/>
                <w:sz w:val="24"/>
              </w:rPr>
              <w:t>他</w:t>
            </w:r>
          </w:p>
        </w:tc>
        <w:tc>
          <w:tcPr>
            <w:tcW w:w="8276" w:type="dxa"/>
            <w:gridSpan w:val="4"/>
            <w:vAlign w:val="center"/>
          </w:tcPr>
          <w:p>
            <w:pPr>
              <w:adjustRightInd w:val="0"/>
              <w:snapToGrid w:val="0"/>
              <w:jc w:val="center"/>
              <w:rPr>
                <w:color w:val="000000"/>
                <w:sz w:val="24"/>
              </w:rPr>
            </w:pPr>
            <w:r>
              <w:rPr>
                <w:color w:val="000000"/>
                <w:sz w:val="24"/>
              </w:rP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04" w:hRule="atLeast"/>
          <w:jc w:val="center"/>
        </w:trPr>
        <w:tc>
          <w:tcPr>
            <w:tcW w:w="9198" w:type="dxa"/>
            <w:gridSpan w:val="5"/>
          </w:tcPr>
          <w:p>
            <w:pPr>
              <w:adjustRightInd w:val="0"/>
              <w:snapToGrid w:val="0"/>
              <w:rPr>
                <w:rFonts w:asciiTheme="minorEastAsia" w:hAnsiTheme="minorEastAsia" w:eastAsiaTheme="minorEastAsia"/>
                <w:b/>
                <w:bCs/>
                <w:color w:val="000000"/>
                <w:sz w:val="24"/>
              </w:rPr>
            </w:pPr>
            <w:r>
              <w:rPr>
                <w:rFonts w:asciiTheme="minorEastAsia" w:hAnsiTheme="minorEastAsia" w:eastAsiaTheme="minorEastAsia"/>
                <w:b/>
                <w:bCs/>
                <w:color w:val="000000"/>
                <w:sz w:val="24"/>
              </w:rPr>
              <w:t>生态保护措施及预期效果</w:t>
            </w:r>
          </w:p>
          <w:p>
            <w:pPr>
              <w:pStyle w:val="40"/>
              <w:adjustRightInd w:val="0"/>
              <w:snapToGrid w:val="0"/>
              <w:rPr>
                <w:color w:val="000000"/>
                <w:sz w:val="24"/>
              </w:rPr>
            </w:pPr>
          </w:p>
          <w:p>
            <w:pPr>
              <w:pStyle w:val="45"/>
              <w:adjustRightInd w:val="0"/>
              <w:snapToGrid w:val="0"/>
              <w:ind w:firstLine="420"/>
              <w:jc w:val="center"/>
              <w:rPr>
                <w:lang w:val="en-US"/>
              </w:rPr>
            </w:pPr>
            <w:r>
              <w:rPr>
                <w:rFonts w:hint="eastAsia"/>
                <w:lang w:val="en-US"/>
              </w:rPr>
              <w:t>/</w:t>
            </w:r>
          </w:p>
        </w:tc>
      </w:tr>
    </w:tbl>
    <w:p>
      <w:pPr>
        <w:spacing w:line="500" w:lineRule="exact"/>
        <w:outlineLvl w:val="0"/>
        <w:rPr>
          <w:b/>
          <w:color w:val="000000"/>
          <w:sz w:val="32"/>
          <w:szCs w:val="32"/>
        </w:rPr>
      </w:pPr>
      <w:r>
        <w:rPr>
          <w:rFonts w:hint="eastAsia" w:hAnsi="宋体"/>
          <w:b/>
          <w:color w:val="000000"/>
          <w:sz w:val="32"/>
          <w:szCs w:val="32"/>
        </w:rPr>
        <w:t>结论与建议</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4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6" w:hRule="atLeast"/>
          <w:jc w:val="center"/>
        </w:trPr>
        <w:tc>
          <w:tcPr>
            <w:tcW w:w="9242" w:type="dxa"/>
          </w:tcPr>
          <w:p>
            <w:pPr>
              <w:adjustRightInd w:val="0"/>
              <w:snapToGrid w:val="0"/>
              <w:spacing w:line="440" w:lineRule="exact"/>
              <w:rPr>
                <w:rFonts w:eastAsiaTheme="minorEastAsia"/>
                <w:b/>
                <w:bCs/>
                <w:sz w:val="24"/>
              </w:rPr>
            </w:pPr>
            <w:r>
              <w:rPr>
                <w:rFonts w:hAnsiTheme="minorEastAsia" w:eastAsiaTheme="minorEastAsia"/>
                <w:b/>
                <w:bCs/>
                <w:sz w:val="24"/>
              </w:rPr>
              <w:t>一、结论</w:t>
            </w:r>
          </w:p>
          <w:p>
            <w:pPr>
              <w:adjustRightInd w:val="0"/>
              <w:snapToGrid w:val="0"/>
              <w:spacing w:line="440" w:lineRule="exact"/>
              <w:ind w:firstLine="482" w:firstLineChars="200"/>
              <w:rPr>
                <w:rFonts w:eastAsiaTheme="minorEastAsia"/>
                <w:b/>
                <w:bCs/>
                <w:sz w:val="24"/>
              </w:rPr>
            </w:pPr>
            <w:r>
              <w:rPr>
                <w:rFonts w:eastAsiaTheme="minorEastAsia"/>
                <w:b/>
                <w:bCs/>
                <w:sz w:val="24"/>
              </w:rPr>
              <w:t>1</w:t>
            </w:r>
            <w:r>
              <w:rPr>
                <w:rFonts w:hAnsiTheme="minorEastAsia" w:eastAsiaTheme="minorEastAsia"/>
                <w:b/>
                <w:bCs/>
                <w:sz w:val="24"/>
              </w:rPr>
              <w:t>、项目符合国家产业政策要求</w:t>
            </w:r>
          </w:p>
          <w:p>
            <w:pPr>
              <w:spacing w:line="440" w:lineRule="exact"/>
              <w:ind w:firstLine="480" w:firstLineChars="200"/>
              <w:rPr>
                <w:rFonts w:eastAsiaTheme="minorEastAsia"/>
                <w:b/>
                <w:sz w:val="24"/>
              </w:rPr>
            </w:pPr>
            <w:r>
              <w:rPr>
                <w:rFonts w:hint="eastAsia"/>
                <w:bCs/>
                <w:color w:val="000000"/>
                <w:sz w:val="24"/>
              </w:rPr>
              <w:t>新乡县合河乡鑫达线材厂年产1000吨铁钉项目，</w:t>
            </w:r>
            <w:r>
              <w:rPr>
                <w:rFonts w:hAnsiTheme="minorEastAsia" w:eastAsiaTheme="minorEastAsia"/>
                <w:kern w:val="0"/>
                <w:sz w:val="24"/>
              </w:rPr>
              <w:t>经查阅《产业结构调整指导目录（</w:t>
            </w:r>
            <w:r>
              <w:rPr>
                <w:rFonts w:eastAsiaTheme="minorEastAsia"/>
                <w:kern w:val="0"/>
                <w:sz w:val="24"/>
              </w:rPr>
              <w:t>201</w:t>
            </w:r>
            <w:r>
              <w:rPr>
                <w:rFonts w:hint="eastAsia" w:eastAsiaTheme="minorEastAsia"/>
                <w:kern w:val="0"/>
                <w:sz w:val="24"/>
              </w:rPr>
              <w:t>9</w:t>
            </w:r>
            <w:r>
              <w:rPr>
                <w:rFonts w:hAnsiTheme="minorEastAsia" w:eastAsiaTheme="minorEastAsia"/>
                <w:kern w:val="0"/>
                <w:sz w:val="24"/>
              </w:rPr>
              <w:t>年本）》，</w:t>
            </w:r>
            <w:r>
              <w:rPr>
                <w:rFonts w:hAnsiTheme="minorEastAsia" w:eastAsiaTheme="minorEastAsia"/>
                <w:sz w:val="24"/>
              </w:rPr>
              <w:t>本项目生产规模、设备工艺和产品等均不在</w:t>
            </w:r>
            <w:r>
              <w:rPr>
                <w:rFonts w:eastAsiaTheme="minorEastAsia"/>
                <w:sz w:val="24"/>
              </w:rPr>
              <w:t>“</w:t>
            </w:r>
            <w:r>
              <w:rPr>
                <w:rFonts w:hAnsiTheme="minorEastAsia" w:eastAsiaTheme="minorEastAsia"/>
                <w:sz w:val="24"/>
              </w:rPr>
              <w:t>限制类</w:t>
            </w:r>
            <w:r>
              <w:rPr>
                <w:rFonts w:eastAsiaTheme="minorEastAsia"/>
                <w:sz w:val="24"/>
              </w:rPr>
              <w:t>”</w:t>
            </w:r>
            <w:r>
              <w:rPr>
                <w:rFonts w:hAnsiTheme="minorEastAsia" w:eastAsiaTheme="minorEastAsia"/>
                <w:sz w:val="24"/>
              </w:rPr>
              <w:t>和</w:t>
            </w:r>
            <w:r>
              <w:rPr>
                <w:rFonts w:eastAsiaTheme="minorEastAsia"/>
                <w:sz w:val="24"/>
              </w:rPr>
              <w:t>“</w:t>
            </w:r>
            <w:r>
              <w:rPr>
                <w:rFonts w:hAnsiTheme="minorEastAsia" w:eastAsiaTheme="minorEastAsia"/>
                <w:sz w:val="24"/>
              </w:rPr>
              <w:t>淘汰类</w:t>
            </w:r>
            <w:r>
              <w:rPr>
                <w:rFonts w:eastAsiaTheme="minorEastAsia"/>
                <w:sz w:val="24"/>
              </w:rPr>
              <w:t>”</w:t>
            </w:r>
            <w:r>
              <w:rPr>
                <w:rFonts w:hAnsiTheme="minorEastAsia" w:eastAsiaTheme="minorEastAsia"/>
                <w:sz w:val="24"/>
              </w:rPr>
              <w:t>之列，为</w:t>
            </w:r>
            <w:r>
              <w:rPr>
                <w:rFonts w:eastAsiaTheme="minorEastAsia"/>
                <w:sz w:val="24"/>
              </w:rPr>
              <w:t>“</w:t>
            </w:r>
            <w:r>
              <w:rPr>
                <w:rFonts w:hAnsiTheme="minorEastAsia" w:eastAsiaTheme="minorEastAsia"/>
                <w:sz w:val="24"/>
              </w:rPr>
              <w:t>允许类</w:t>
            </w:r>
            <w:r>
              <w:rPr>
                <w:rFonts w:eastAsiaTheme="minorEastAsia"/>
                <w:sz w:val="24"/>
              </w:rPr>
              <w:t>”</w:t>
            </w:r>
            <w:r>
              <w:rPr>
                <w:rFonts w:hAnsiTheme="minorEastAsia" w:eastAsiaTheme="minorEastAsia"/>
                <w:sz w:val="24"/>
              </w:rPr>
              <w:t>，符合国家产业政策。</w:t>
            </w:r>
            <w:r>
              <w:rPr>
                <w:rFonts w:hAnsiTheme="minorEastAsia" w:eastAsiaTheme="minorEastAsia"/>
                <w:bCs/>
                <w:sz w:val="24"/>
              </w:rPr>
              <w:t>本项目已在新乡县发展和改革委员会备案（见附件</w:t>
            </w:r>
            <w:r>
              <w:rPr>
                <w:rFonts w:eastAsiaTheme="minorEastAsia"/>
                <w:bCs/>
                <w:sz w:val="24"/>
              </w:rPr>
              <w:t>2</w:t>
            </w:r>
            <w:r>
              <w:rPr>
                <w:rFonts w:hAnsiTheme="minorEastAsia" w:eastAsiaTheme="minorEastAsia"/>
                <w:bCs/>
                <w:sz w:val="24"/>
              </w:rPr>
              <w:t>），项目代码：</w:t>
            </w:r>
            <w:r>
              <w:rPr>
                <w:rFonts w:hint="eastAsia"/>
                <w:color w:val="000000"/>
                <w:sz w:val="24"/>
              </w:rPr>
              <w:t>2020-410721-34-03-041250</w:t>
            </w:r>
            <w:r>
              <w:rPr>
                <w:rFonts w:hAnsiTheme="minorEastAsia" w:eastAsiaTheme="minorEastAsia"/>
                <w:color w:val="000000"/>
                <w:sz w:val="24"/>
              </w:rPr>
              <w:t>。</w:t>
            </w:r>
          </w:p>
          <w:p>
            <w:pPr>
              <w:spacing w:line="440" w:lineRule="exact"/>
              <w:ind w:firstLine="482" w:firstLineChars="200"/>
              <w:textAlignment w:val="baseline"/>
              <w:rPr>
                <w:b/>
                <w:sz w:val="24"/>
              </w:rPr>
            </w:pPr>
            <w:r>
              <w:rPr>
                <w:b/>
                <w:color w:val="000000"/>
                <w:sz w:val="24"/>
              </w:rPr>
              <w:t>2</w:t>
            </w:r>
            <w:r>
              <w:rPr>
                <w:rFonts w:hAnsi="宋体"/>
                <w:b/>
                <w:color w:val="000000"/>
                <w:sz w:val="24"/>
              </w:rPr>
              <w:t>、项目选址可行性结论</w:t>
            </w:r>
          </w:p>
          <w:p>
            <w:pPr>
              <w:wordWrap w:val="0"/>
              <w:topLinePunct/>
              <w:autoSpaceDE w:val="0"/>
              <w:adjustRightInd w:val="0"/>
              <w:snapToGrid w:val="0"/>
              <w:spacing w:line="440" w:lineRule="exact"/>
              <w:ind w:firstLine="480" w:firstLineChars="200"/>
              <w:textAlignment w:val="center"/>
              <w:rPr>
                <w:sz w:val="24"/>
              </w:rPr>
            </w:pPr>
            <w:r>
              <w:rPr>
                <w:rFonts w:hAnsi="宋体"/>
                <w:color w:val="000000"/>
                <w:sz w:val="24"/>
              </w:rPr>
              <w:t>新乡县合河乡鑫达线材厂位于</w:t>
            </w:r>
            <w:r>
              <w:rPr>
                <w:rFonts w:hAnsi="宋体"/>
                <w:bCs/>
                <w:color w:val="000000"/>
                <w:sz w:val="24"/>
              </w:rPr>
              <w:t>新乡县合河乡贾桥村工业区西头路北</w:t>
            </w:r>
            <w:r>
              <w:rPr>
                <w:bCs/>
                <w:color w:val="000000"/>
                <w:sz w:val="24"/>
              </w:rPr>
              <w:t>4</w:t>
            </w:r>
            <w:r>
              <w:rPr>
                <w:rFonts w:hAnsi="宋体"/>
                <w:bCs/>
                <w:color w:val="000000"/>
                <w:sz w:val="24"/>
              </w:rPr>
              <w:t>号，</w:t>
            </w:r>
            <w:r>
              <w:rPr>
                <w:rFonts w:hAnsi="宋体"/>
                <w:sz w:val="24"/>
              </w:rPr>
              <w:t>租赁贾桥村民委员会已建成的贾桥村工业区西头路北</w:t>
            </w:r>
            <w:r>
              <w:rPr>
                <w:sz w:val="24"/>
              </w:rPr>
              <w:t>4</w:t>
            </w:r>
            <w:r>
              <w:rPr>
                <w:rFonts w:hAnsi="宋体"/>
                <w:sz w:val="24"/>
              </w:rPr>
              <w:t>号厂房进行生产</w:t>
            </w:r>
            <w:r>
              <w:rPr>
                <w:rFonts w:hAnsi="宋体"/>
                <w:bCs/>
                <w:color w:val="000000"/>
                <w:sz w:val="24"/>
              </w:rPr>
              <w:t>，占地面积为</w:t>
            </w:r>
            <w:r>
              <w:rPr>
                <w:bCs/>
                <w:color w:val="000000"/>
                <w:sz w:val="24"/>
              </w:rPr>
              <w:t>1019m</w:t>
            </w:r>
            <w:r>
              <w:rPr>
                <w:bCs/>
                <w:color w:val="000000"/>
                <w:sz w:val="24"/>
                <w:vertAlign w:val="superscript"/>
              </w:rPr>
              <w:t>2</w:t>
            </w:r>
            <w:r>
              <w:rPr>
                <w:rFonts w:hAnsi="宋体"/>
                <w:bCs/>
                <w:color w:val="000000"/>
                <w:sz w:val="24"/>
              </w:rPr>
              <w:t>，不新增占地，不办理土地手续。</w:t>
            </w:r>
            <w:r>
              <w:rPr>
                <w:rFonts w:hAnsi="宋体"/>
                <w:sz w:val="24"/>
              </w:rPr>
              <w:t>根据《新乡县土地利用总体规划（</w:t>
            </w:r>
            <w:r>
              <w:rPr>
                <w:sz w:val="24"/>
              </w:rPr>
              <w:t>2010-2020</w:t>
            </w:r>
            <w:r>
              <w:rPr>
                <w:rFonts w:hAnsi="宋体"/>
                <w:sz w:val="24"/>
              </w:rPr>
              <w:t>年）》调整完善图（</w:t>
            </w:r>
            <w:r>
              <w:rPr>
                <w:sz w:val="24"/>
              </w:rPr>
              <w:t>2017</w:t>
            </w:r>
            <w:r>
              <w:rPr>
                <w:rFonts w:hAnsi="宋体"/>
                <w:sz w:val="24"/>
              </w:rPr>
              <w:t>年修改）及《合河乡土地利用规划图（</w:t>
            </w:r>
            <w:r>
              <w:rPr>
                <w:sz w:val="24"/>
              </w:rPr>
              <w:t>2010-2020</w:t>
            </w:r>
            <w:r>
              <w:rPr>
                <w:rFonts w:hAnsi="宋体"/>
                <w:sz w:val="24"/>
              </w:rPr>
              <w:t>年）》（</w:t>
            </w:r>
            <w:r>
              <w:rPr>
                <w:sz w:val="24"/>
              </w:rPr>
              <w:t>2017</w:t>
            </w:r>
            <w:r>
              <w:rPr>
                <w:rFonts w:hAnsi="宋体"/>
                <w:sz w:val="24"/>
              </w:rPr>
              <w:t>年修改），本项目用地性质为建设用地，选址符合新乡县合河乡土地利用总体规划；</w:t>
            </w:r>
            <w:r>
              <w:rPr>
                <w:rFonts w:hAnsi="宋体"/>
                <w:color w:val="000000"/>
                <w:sz w:val="24"/>
              </w:rPr>
              <w:t>根据新乡县合河乡人民政府出具的证明，本项目符合合河乡土地利用总体规划、土地利用规划和产业发展规划要求。</w:t>
            </w:r>
          </w:p>
          <w:p>
            <w:pPr>
              <w:autoSpaceDE w:val="0"/>
              <w:autoSpaceDN w:val="0"/>
              <w:adjustRightInd w:val="0"/>
              <w:spacing w:line="440" w:lineRule="exact"/>
              <w:ind w:firstLine="480" w:firstLineChars="200"/>
              <w:jc w:val="left"/>
            </w:pPr>
            <w:r>
              <w:rPr>
                <w:rFonts w:hAnsi="宋体"/>
                <w:color w:val="000000"/>
                <w:kern w:val="1"/>
                <w:sz w:val="24"/>
              </w:rPr>
              <w:t>本项目南侧临新王线；西侧为路路汽修；东侧和北侧是八方线材厂。</w:t>
            </w:r>
            <w:r>
              <w:rPr>
                <w:rFonts w:hAnsi="宋体"/>
                <w:color w:val="000000"/>
                <w:sz w:val="24"/>
              </w:rPr>
              <w:t>主要环境敏感点为：东北</w:t>
            </w:r>
            <w:r>
              <w:rPr>
                <w:color w:val="000000"/>
                <w:sz w:val="24"/>
              </w:rPr>
              <w:t>270m</w:t>
            </w:r>
            <w:r>
              <w:rPr>
                <w:rFonts w:hAnsi="宋体"/>
                <w:color w:val="000000"/>
                <w:sz w:val="24"/>
              </w:rPr>
              <w:t>安庄；东南</w:t>
            </w:r>
            <w:r>
              <w:rPr>
                <w:color w:val="000000"/>
                <w:sz w:val="24"/>
              </w:rPr>
              <w:t>230m</w:t>
            </w:r>
            <w:r>
              <w:rPr>
                <w:rFonts w:hAnsi="宋体"/>
                <w:color w:val="000000"/>
                <w:sz w:val="24"/>
              </w:rPr>
              <w:t>贾桥村；</w:t>
            </w:r>
            <w:r>
              <w:rPr>
                <w:color w:val="000000"/>
                <w:sz w:val="24"/>
              </w:rPr>
              <w:t>800</w:t>
            </w:r>
            <w:r>
              <w:rPr>
                <w:rFonts w:hAnsi="宋体"/>
                <w:color w:val="000000"/>
                <w:sz w:val="24"/>
              </w:rPr>
              <w:t>米崔小郭村，</w:t>
            </w:r>
            <w:r>
              <w:rPr>
                <w:color w:val="000000"/>
                <w:sz w:val="24"/>
              </w:rPr>
              <w:t>850</w:t>
            </w:r>
            <w:r>
              <w:rPr>
                <w:rFonts w:hAnsi="宋体"/>
                <w:color w:val="000000"/>
                <w:sz w:val="24"/>
              </w:rPr>
              <w:t>米郭小郭村；西</w:t>
            </w:r>
            <w:r>
              <w:rPr>
                <w:color w:val="000000"/>
                <w:sz w:val="24"/>
              </w:rPr>
              <w:t>210m</w:t>
            </w:r>
            <w:r>
              <w:rPr>
                <w:rFonts w:hAnsi="宋体"/>
                <w:color w:val="000000"/>
                <w:sz w:val="24"/>
              </w:rPr>
              <w:t>合河</w:t>
            </w:r>
            <w:r>
              <w:rPr>
                <w:rFonts w:hint="eastAsia" w:hAnsi="宋体"/>
                <w:color w:val="000000"/>
                <w:sz w:val="24"/>
              </w:rPr>
              <w:t>村</w:t>
            </w:r>
            <w:r>
              <w:rPr>
                <w:rFonts w:hAnsi="宋体"/>
                <w:color w:val="000000"/>
                <w:sz w:val="24"/>
              </w:rPr>
              <w:t>，西北</w:t>
            </w:r>
            <w:r>
              <w:rPr>
                <w:color w:val="000000"/>
                <w:sz w:val="24"/>
              </w:rPr>
              <w:t>650m</w:t>
            </w:r>
            <w:r>
              <w:rPr>
                <w:rFonts w:hAnsi="宋体"/>
                <w:color w:val="000000"/>
                <w:sz w:val="24"/>
              </w:rPr>
              <w:t>前村，距离本项目最近的地表水体为西</w:t>
            </w:r>
            <w:r>
              <w:rPr>
                <w:color w:val="000000"/>
                <w:sz w:val="24"/>
              </w:rPr>
              <w:t>150m</w:t>
            </w:r>
            <w:r>
              <w:rPr>
                <w:rFonts w:hAnsi="宋体"/>
                <w:color w:val="000000"/>
                <w:sz w:val="24"/>
              </w:rPr>
              <w:t>卫河。</w:t>
            </w:r>
          </w:p>
          <w:p>
            <w:pPr>
              <w:wordWrap w:val="0"/>
              <w:topLinePunct/>
              <w:autoSpaceDE w:val="0"/>
              <w:adjustRightInd w:val="0"/>
              <w:snapToGrid w:val="0"/>
              <w:spacing w:line="440" w:lineRule="exact"/>
              <w:ind w:firstLine="480" w:firstLineChars="200"/>
              <w:textAlignment w:val="center"/>
              <w:rPr>
                <w:bCs/>
                <w:sz w:val="24"/>
              </w:rPr>
            </w:pPr>
            <w:r>
              <w:rPr>
                <w:rFonts w:hAnsi="宋体"/>
                <w:bCs/>
                <w:sz w:val="24"/>
              </w:rPr>
              <w:t>项目生活废水经化粪池处理后定期清运，不外排；噪声经采取降噪措施后能满足</w:t>
            </w:r>
            <w:r>
              <w:rPr>
                <w:rFonts w:hAnsi="宋体"/>
                <w:snapToGrid w:val="0"/>
                <w:kern w:val="0"/>
                <w:sz w:val="24"/>
              </w:rPr>
              <w:t>《工业企业厂界环境噪声排放标准》（</w:t>
            </w:r>
            <w:r>
              <w:rPr>
                <w:snapToGrid w:val="0"/>
                <w:kern w:val="0"/>
                <w:sz w:val="24"/>
              </w:rPr>
              <w:t>GB12348-2008</w:t>
            </w:r>
            <w:r>
              <w:rPr>
                <w:rFonts w:hAnsi="宋体"/>
                <w:snapToGrid w:val="0"/>
                <w:kern w:val="0"/>
                <w:sz w:val="24"/>
              </w:rPr>
              <w:t>）</w:t>
            </w:r>
            <w:r>
              <w:rPr>
                <w:snapToGrid w:val="0"/>
                <w:kern w:val="0"/>
                <w:sz w:val="24"/>
              </w:rPr>
              <w:t>2</w:t>
            </w:r>
            <w:r>
              <w:rPr>
                <w:rFonts w:hAnsi="宋体"/>
                <w:snapToGrid w:val="0"/>
                <w:kern w:val="0"/>
                <w:sz w:val="24"/>
              </w:rPr>
              <w:t>类标准；固体废物均得到妥善处置。对周围环境的影响可以接受。</w:t>
            </w:r>
          </w:p>
          <w:p>
            <w:pPr>
              <w:autoSpaceDE w:val="0"/>
              <w:autoSpaceDN w:val="0"/>
              <w:adjustRightInd w:val="0"/>
              <w:snapToGrid w:val="0"/>
              <w:spacing w:line="440" w:lineRule="exact"/>
              <w:ind w:firstLine="480" w:firstLineChars="200"/>
              <w:rPr>
                <w:bCs/>
                <w:sz w:val="24"/>
              </w:rPr>
            </w:pPr>
            <w:r>
              <w:rPr>
                <w:rFonts w:hAnsi="宋体"/>
                <w:bCs/>
                <w:sz w:val="24"/>
              </w:rPr>
              <w:t>终上所述，项目营运期间产生的废水、噪声和固体废物等方面环境影响，在采用相应的污染防治措施后</w:t>
            </w:r>
            <w:r>
              <w:rPr>
                <w:rFonts w:hAnsi="宋体"/>
                <w:sz w:val="24"/>
              </w:rPr>
              <w:t>污染物均得到合理的处置</w:t>
            </w:r>
            <w:r>
              <w:rPr>
                <w:rFonts w:hAnsi="宋体"/>
                <w:bCs/>
                <w:sz w:val="24"/>
              </w:rPr>
              <w:t>，对周围环境及敏感点的影响可以接受，</w:t>
            </w:r>
            <w:r>
              <w:rPr>
                <w:rFonts w:hAnsi="宋体"/>
                <w:iCs/>
                <w:sz w:val="24"/>
              </w:rPr>
              <w:t>故</w:t>
            </w:r>
            <w:r>
              <w:rPr>
                <w:rFonts w:hAnsi="宋体"/>
                <w:sz w:val="24"/>
              </w:rPr>
              <w:t>从环保角度出发，评价认为项目选址可行。</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440" w:lineRule="exact"/>
              <w:ind w:firstLine="482" w:firstLineChars="200"/>
              <w:rPr>
                <w:rFonts w:eastAsiaTheme="minorEastAsia"/>
                <w:b/>
                <w:sz w:val="24"/>
              </w:rPr>
            </w:pPr>
            <w:r>
              <w:rPr>
                <w:rFonts w:eastAsiaTheme="minorEastAsia"/>
                <w:b/>
                <w:sz w:val="24"/>
              </w:rPr>
              <w:t>3</w:t>
            </w:r>
            <w:r>
              <w:rPr>
                <w:rFonts w:hAnsiTheme="minorEastAsia" w:eastAsiaTheme="minorEastAsia"/>
                <w:b/>
                <w:sz w:val="24"/>
              </w:rPr>
              <w:t>、项目营运过程中产生的各项污染物均采取了有效的处置措施，可以满足相应的排放标准要求</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440" w:lineRule="exact"/>
              <w:ind w:firstLine="480" w:firstLineChars="200"/>
              <w:rPr>
                <w:bCs/>
                <w:color w:val="000000"/>
                <w:sz w:val="24"/>
              </w:rPr>
            </w:pPr>
            <w:r>
              <w:rPr>
                <w:bCs/>
                <w:color w:val="000000"/>
                <w:sz w:val="24"/>
              </w:rPr>
              <w:t>（1）废气</w:t>
            </w:r>
          </w:p>
          <w:p>
            <w:pPr>
              <w:pStyle w:val="134"/>
              <w:spacing w:after="0" w:line="500" w:lineRule="exact"/>
              <w:rPr>
                <w:rFonts w:hint="default" w:ascii="Times New Roman" w:hAnsi="Times New Roman" w:cs="Times New Roman"/>
                <w:szCs w:val="24"/>
              </w:rPr>
            </w:pPr>
            <w:r>
              <w:rPr>
                <w:rFonts w:hint="default" w:ascii="Times New Roman" w:hAnsi="Times New Roman" w:cs="Times New Roman"/>
                <w:sz w:val="24"/>
              </w:rPr>
              <w:fldChar w:fldCharType="begin"/>
            </w:r>
            <w:r>
              <w:rPr>
                <w:rFonts w:hint="default" w:ascii="Times New Roman" w:hAnsi="Times New Roman" w:cs="Times New Roman"/>
                <w:sz w:val="24"/>
              </w:rPr>
              <w:instrText xml:space="preserve"> = 1 \* GB3 \* MERGEFORMAT </w:instrText>
            </w:r>
            <w:r>
              <w:rPr>
                <w:rFonts w:hint="default" w:ascii="Times New Roman" w:hAnsi="Times New Roman" w:cs="Times New Roman"/>
                <w:sz w:val="24"/>
              </w:rPr>
              <w:fldChar w:fldCharType="separate"/>
            </w:r>
            <w:r>
              <w:rPr>
                <w:rFonts w:hint="default" w:ascii="Times New Roman" w:hAnsi="Times New Roman" w:cs="Times New Roman"/>
              </w:rPr>
              <w:t>①</w:t>
            </w:r>
            <w:r>
              <w:rPr>
                <w:rFonts w:hint="default" w:ascii="Times New Roman" w:hAnsi="Times New Roman" w:cs="Times New Roman"/>
                <w:sz w:val="24"/>
              </w:rPr>
              <w:fldChar w:fldCharType="end"/>
            </w:r>
            <w:r>
              <w:rPr>
                <w:rFonts w:hint="default" w:ascii="Times New Roman" w:hAnsi="Times New Roman" w:cs="Times New Roman"/>
                <w:sz w:val="24"/>
                <w:lang w:eastAsia="zh-CN"/>
              </w:rPr>
              <w:t>有组织：</w:t>
            </w:r>
            <w:r>
              <w:rPr>
                <w:rFonts w:hint="default" w:ascii="Times New Roman" w:hAnsi="Times New Roman" w:cs="Times New Roman"/>
                <w:sz w:val="24"/>
              </w:rPr>
              <w:t>项目抛光过程产生的粉尘经集气罩收集后，采用袋式除尘器治理，尾气经15m排气筒排放，</w:t>
            </w:r>
            <w:r>
              <w:rPr>
                <w:rFonts w:hint="default" w:ascii="Times New Roman" w:hAnsi="Times New Roman" w:cs="Times New Roman"/>
                <w:bCs/>
                <w:color w:val="000000"/>
                <w:sz w:val="24"/>
              </w:rPr>
              <w:t>经治理后粉尘</w:t>
            </w:r>
            <w:r>
              <w:rPr>
                <w:rFonts w:hint="default" w:ascii="Times New Roman" w:hAnsi="Times New Roman" w:cs="Times New Roman"/>
                <w:color w:val="000000"/>
                <w:sz w:val="24"/>
              </w:rPr>
              <w:t>有组织</w:t>
            </w:r>
            <w:r>
              <w:rPr>
                <w:rFonts w:hint="default" w:ascii="Times New Roman" w:hAnsi="Times New Roman" w:cs="Times New Roman"/>
                <w:bCs/>
                <w:color w:val="000000"/>
                <w:sz w:val="24"/>
              </w:rPr>
              <w:t>排放速率为0.0228kg/h，排放浓度为</w:t>
            </w:r>
            <w:r>
              <w:rPr>
                <w:rFonts w:hint="default" w:ascii="Times New Roman" w:hAnsi="Times New Roman" w:cs="Times New Roman"/>
                <w:bCs/>
                <w:color w:val="000000"/>
                <w:sz w:val="24"/>
                <w:lang w:val="en-US" w:eastAsia="zh-CN"/>
              </w:rPr>
              <w:t>9.1</w:t>
            </w:r>
            <w:r>
              <w:rPr>
                <w:rFonts w:hint="default" w:ascii="Times New Roman" w:hAnsi="Times New Roman" w:cs="Times New Roman"/>
                <w:bCs/>
                <w:color w:val="000000"/>
                <w:sz w:val="24"/>
              </w:rPr>
              <w:t>mg/m</w:t>
            </w:r>
            <w:r>
              <w:rPr>
                <w:rFonts w:hint="default" w:ascii="Times New Roman" w:hAnsi="Times New Roman" w:cs="Times New Roman"/>
                <w:bCs/>
                <w:color w:val="000000"/>
                <w:sz w:val="24"/>
                <w:vertAlign w:val="superscript"/>
              </w:rPr>
              <w:t>3</w:t>
            </w:r>
            <w:r>
              <w:rPr>
                <w:rFonts w:hint="default" w:ascii="Times New Roman" w:hAnsi="Times New Roman" w:cs="Times New Roman"/>
                <w:bCs/>
                <w:color w:val="000000"/>
                <w:sz w:val="24"/>
              </w:rPr>
              <w:t>，粉尘的排放速率和排放浓度</w:t>
            </w:r>
            <w:r>
              <w:rPr>
                <w:rFonts w:hint="default" w:ascii="Times New Roman" w:hAnsi="Times New Roman" w:cs="Times New Roman"/>
                <w:bCs/>
                <w:color w:val="000000"/>
                <w:spacing w:val="3"/>
                <w:sz w:val="24"/>
              </w:rPr>
              <w:t>满足《大气污染物综合排放标准》(GB16297-1996)表2</w:t>
            </w:r>
            <w:r>
              <w:rPr>
                <w:rFonts w:hint="default" w:ascii="Times New Roman" w:hAnsi="Times New Roman" w:cs="Times New Roman"/>
                <w:szCs w:val="24"/>
              </w:rPr>
              <w:t>二级排放速率3.5kg/h（15m排气筒）</w:t>
            </w:r>
            <w:r>
              <w:rPr>
                <w:rFonts w:hint="default" w:ascii="Times New Roman" w:hAnsi="Times New Roman" w:cs="Times New Roman"/>
                <w:szCs w:val="24"/>
                <w:lang w:eastAsia="zh-CN"/>
              </w:rPr>
              <w:t>、排放浓度能够达到</w:t>
            </w:r>
            <w:r>
              <w:rPr>
                <w:rFonts w:hint="default" w:ascii="Times New Roman" w:hAnsi="Times New Roman" w:cs="Times New Roman"/>
                <w:color w:val="000000"/>
                <w:szCs w:val="21"/>
                <w:lang w:val="en-US" w:eastAsia="zh-CN"/>
              </w:rPr>
              <w:t>2020年7月31日《新乡市生态环境局关于进一步规范工业颗粒物排放限值的通知》</w:t>
            </w:r>
            <w:r>
              <w:rPr>
                <w:rFonts w:hint="default" w:ascii="Times New Roman" w:hAnsi="Times New Roman" w:cs="Times New Roman"/>
                <w:lang w:eastAsia="zh-CN"/>
              </w:rPr>
              <w:t>排放口颗粒物排放浓度不高于</w:t>
            </w:r>
            <w:r>
              <w:rPr>
                <w:rFonts w:hint="default" w:ascii="Times New Roman" w:hAnsi="Times New Roman" w:cs="Times New Roman"/>
                <w:lang w:val="en-US" w:eastAsia="zh-CN"/>
              </w:rPr>
              <w:t>10</w:t>
            </w:r>
            <w:r>
              <w:rPr>
                <w:rFonts w:hint="default" w:ascii="Times New Roman" w:hAnsi="Times New Roman" w:cs="Times New Roman"/>
              </w:rPr>
              <w:t>mg/m</w:t>
            </w:r>
            <w:r>
              <w:rPr>
                <w:rFonts w:hint="default" w:ascii="Times New Roman" w:hAnsi="Times New Roman" w:cs="Times New Roman"/>
                <w:vertAlign w:val="superscript"/>
              </w:rPr>
              <w:t>3</w:t>
            </w:r>
            <w:r>
              <w:rPr>
                <w:rFonts w:hint="default" w:ascii="Times New Roman" w:hAnsi="Times New Roman" w:cs="Times New Roman"/>
                <w:szCs w:val="24"/>
              </w:rPr>
              <w:t>的标准要求。</w:t>
            </w:r>
          </w:p>
          <w:p>
            <w:pPr>
              <w:adjustRightInd w:val="0"/>
              <w:snapToGrid w:val="0"/>
              <w:spacing w:line="440" w:lineRule="exact"/>
              <w:ind w:firstLine="480" w:firstLineChars="200"/>
              <w:jc w:val="left"/>
              <w:rPr>
                <w:rFonts w:hint="eastAsia"/>
                <w:bCs/>
                <w:snapToGrid w:val="0"/>
                <w:kern w:val="0"/>
                <w:sz w:val="24"/>
                <w:lang w:eastAsia="zh-CN"/>
              </w:rPr>
            </w:pPr>
            <w:r>
              <w:rPr>
                <w:rFonts w:ascii="Times New Roman" w:cs="Times New Roman" w:hAnsiTheme="minorEastAsia" w:eastAsiaTheme="minorEastAsia"/>
                <w:bCs/>
                <w:color w:val="000000"/>
                <w:kern w:val="2"/>
                <w:sz w:val="24"/>
                <w:szCs w:val="24"/>
                <w:lang w:val="en-US" w:eastAsia="zh-CN" w:bidi="ar-SA"/>
              </w:rPr>
              <w:fldChar w:fldCharType="begin"/>
            </w:r>
            <w:r>
              <w:rPr>
                <w:rFonts w:ascii="Times New Roman" w:cs="Times New Roman" w:hAnsiTheme="minorEastAsia" w:eastAsiaTheme="minorEastAsia"/>
                <w:bCs/>
                <w:color w:val="000000"/>
                <w:kern w:val="2"/>
                <w:sz w:val="24"/>
                <w:szCs w:val="24"/>
                <w:lang w:val="en-US" w:eastAsia="zh-CN" w:bidi="ar-SA"/>
              </w:rPr>
              <w:instrText xml:space="preserve"> = 2 \* GB3 \* MERGEFORMAT </w:instrText>
            </w:r>
            <w:r>
              <w:rPr>
                <w:rFonts w:ascii="Times New Roman" w:cs="Times New Roman" w:hAnsiTheme="minorEastAsia" w:eastAsiaTheme="minorEastAsia"/>
                <w:bCs/>
                <w:color w:val="000000"/>
                <w:kern w:val="2"/>
                <w:sz w:val="24"/>
                <w:szCs w:val="24"/>
                <w:lang w:val="en-US" w:eastAsia="zh-CN" w:bidi="ar-SA"/>
              </w:rPr>
              <w:fldChar w:fldCharType="separate"/>
            </w:r>
            <w:r>
              <w:rPr>
                <w:rFonts w:ascii="Times New Roman" w:cs="Times New Roman" w:hAnsiTheme="minorEastAsia" w:eastAsiaTheme="minorEastAsia"/>
                <w:bCs/>
                <w:color w:val="000000"/>
                <w:kern w:val="2"/>
                <w:sz w:val="24"/>
                <w:szCs w:val="24"/>
                <w:lang w:val="en-US" w:eastAsia="zh-CN" w:bidi="ar-SA"/>
              </w:rPr>
              <w:t>②</w:t>
            </w:r>
            <w:r>
              <w:rPr>
                <w:rFonts w:ascii="Times New Roman" w:cs="Times New Roman" w:hAnsiTheme="minorEastAsia" w:eastAsiaTheme="minorEastAsia"/>
                <w:bCs/>
                <w:color w:val="000000"/>
                <w:kern w:val="2"/>
                <w:sz w:val="24"/>
                <w:szCs w:val="24"/>
                <w:lang w:val="en-US" w:eastAsia="zh-CN" w:bidi="ar-SA"/>
              </w:rPr>
              <w:fldChar w:fldCharType="end"/>
            </w:r>
            <w:r>
              <w:rPr>
                <w:rFonts w:hint="eastAsia" w:cs="Times New Roman" w:hAnsiTheme="minorEastAsia" w:eastAsiaTheme="minorEastAsia"/>
                <w:bCs/>
                <w:color w:val="000000"/>
                <w:kern w:val="2"/>
                <w:sz w:val="24"/>
                <w:szCs w:val="24"/>
                <w:lang w:val="en-US" w:eastAsia="zh-CN" w:bidi="ar-SA"/>
              </w:rPr>
              <w:t>无组织：</w:t>
            </w:r>
            <w:r>
              <w:rPr>
                <w:bCs/>
                <w:iCs/>
                <w:sz w:val="24"/>
              </w:rPr>
              <w:t>本项目无组织粉尘厂界最大落地浓度</w:t>
            </w:r>
            <w:r>
              <w:rPr>
                <w:rFonts w:hint="eastAsia"/>
                <w:bCs/>
                <w:snapToGrid w:val="0"/>
                <w:kern w:val="0"/>
                <w:sz w:val="24"/>
              </w:rPr>
              <w:t>能够满足</w:t>
            </w:r>
            <w:r>
              <w:rPr>
                <w:rFonts w:hint="eastAsia"/>
                <w:bCs/>
                <w:snapToGrid w:val="0"/>
                <w:kern w:val="0"/>
                <w:sz w:val="24"/>
                <w:lang w:val="en-US" w:eastAsia="zh-CN"/>
              </w:rPr>
              <w:t>2020年7月31日《新乡市生态环境局关于进一步规范工业颗粒物排放限值的通知》</w:t>
            </w:r>
            <w:r>
              <w:rPr>
                <w:rFonts w:hint="eastAsia" w:ascii="Times New Roman" w:hAnsi="Times New Roman" w:eastAsia="宋体" w:cs="Times New Roman"/>
                <w:kern w:val="2"/>
                <w:sz w:val="24"/>
                <w:szCs w:val="24"/>
                <w:lang w:val="en-US" w:eastAsia="zh-CN" w:bidi="ar-SA"/>
              </w:rPr>
              <w:t>厂界颗粒物排放浓度不高于0.5mg/m</w:t>
            </w:r>
            <w:r>
              <w:rPr>
                <w:rFonts w:hint="eastAsia" w:ascii="Times New Roman" w:hAnsi="Times New Roman" w:eastAsia="宋体" w:cs="Times New Roman"/>
                <w:kern w:val="2"/>
                <w:sz w:val="24"/>
                <w:szCs w:val="24"/>
                <w:vertAlign w:val="superscript"/>
                <w:lang w:val="en-US" w:eastAsia="zh-CN" w:bidi="ar-SA"/>
              </w:rPr>
              <w:t>3</w:t>
            </w:r>
            <w:r>
              <w:rPr>
                <w:rFonts w:hint="eastAsia" w:cs="Times New Roman"/>
                <w:kern w:val="2"/>
                <w:sz w:val="24"/>
                <w:szCs w:val="24"/>
                <w:vertAlign w:val="baseline"/>
                <w:lang w:val="en-US" w:eastAsia="zh-CN" w:bidi="ar-SA"/>
              </w:rPr>
              <w:t>的标准要求</w:t>
            </w:r>
            <w:r>
              <w:rPr>
                <w:rFonts w:hint="eastAsia"/>
                <w:bCs/>
                <w:snapToGrid w:val="0"/>
                <w:kern w:val="0"/>
                <w:sz w:val="24"/>
                <w:lang w:eastAsia="zh-CN"/>
              </w:rPr>
              <w:t>。</w:t>
            </w:r>
          </w:p>
          <w:p>
            <w:pPr>
              <w:pStyle w:val="14"/>
              <w:spacing w:line="440" w:lineRule="exact"/>
              <w:ind w:firstLine="480" w:firstLineChars="200"/>
              <w:rPr>
                <w:rFonts w:hint="default" w:hAnsiTheme="minorEastAsia" w:eastAsiaTheme="minorEastAsia"/>
                <w:bCs/>
                <w:color w:val="000000"/>
                <w:sz w:val="24"/>
                <w:lang w:val="en-US" w:eastAsia="zh-CN"/>
              </w:rPr>
            </w:pPr>
            <w:r>
              <w:rPr>
                <w:rFonts w:hAnsiTheme="minorEastAsia" w:eastAsiaTheme="minorEastAsia"/>
                <w:bCs/>
                <w:color w:val="000000"/>
                <w:sz w:val="24"/>
              </w:rPr>
              <w:fldChar w:fldCharType="begin"/>
            </w:r>
            <w:r>
              <w:rPr>
                <w:rFonts w:hAnsiTheme="minorEastAsia" w:eastAsiaTheme="minorEastAsia"/>
                <w:bCs/>
                <w:color w:val="000000"/>
                <w:sz w:val="24"/>
              </w:rPr>
              <w:instrText xml:space="preserve"> = 3 \* GB3 \* MERGEFORMAT </w:instrText>
            </w:r>
            <w:r>
              <w:rPr>
                <w:rFonts w:hAnsiTheme="minorEastAsia" w:eastAsiaTheme="minorEastAsia"/>
                <w:bCs/>
                <w:color w:val="000000"/>
                <w:sz w:val="24"/>
              </w:rPr>
              <w:fldChar w:fldCharType="separate"/>
            </w:r>
            <w:r>
              <w:t>③</w:t>
            </w:r>
            <w:r>
              <w:rPr>
                <w:rFonts w:hAnsiTheme="minorEastAsia" w:eastAsiaTheme="minorEastAsia"/>
                <w:bCs/>
                <w:color w:val="000000"/>
                <w:sz w:val="24"/>
              </w:rPr>
              <w:fldChar w:fldCharType="end"/>
            </w:r>
            <w:r>
              <w:rPr>
                <w:rFonts w:hint="eastAsia" w:hAnsiTheme="minorEastAsia" w:eastAsiaTheme="minorEastAsia"/>
                <w:bCs/>
                <w:color w:val="000000"/>
                <w:sz w:val="24"/>
                <w:lang w:eastAsia="zh-CN"/>
              </w:rPr>
              <w:t>卫生防护距离：</w:t>
            </w:r>
            <w:r>
              <w:rPr>
                <w:kern w:val="0"/>
                <w:sz w:val="24"/>
              </w:rPr>
              <w:t>本项目车间的卫生防护距离计算结果为50m。根据项目平面布置及周围环境可知，项目各厂界外的设防距离分别为：东厂界</w:t>
            </w:r>
            <w:r>
              <w:rPr>
                <w:rFonts w:hint="eastAsia"/>
                <w:kern w:val="0"/>
                <w:sz w:val="24"/>
              </w:rPr>
              <w:t>50</w:t>
            </w:r>
            <w:r>
              <w:rPr>
                <w:kern w:val="0"/>
                <w:sz w:val="24"/>
              </w:rPr>
              <w:t>m，南厂界</w:t>
            </w:r>
            <w:r>
              <w:rPr>
                <w:rFonts w:hint="eastAsia"/>
                <w:kern w:val="0"/>
                <w:sz w:val="24"/>
              </w:rPr>
              <w:t>5</w:t>
            </w:r>
            <w:r>
              <w:rPr>
                <w:kern w:val="0"/>
                <w:sz w:val="24"/>
              </w:rPr>
              <w:t>0m；西厂界</w:t>
            </w:r>
            <w:r>
              <w:rPr>
                <w:rFonts w:hint="eastAsia"/>
                <w:kern w:val="0"/>
                <w:sz w:val="24"/>
              </w:rPr>
              <w:t>50</w:t>
            </w:r>
            <w:r>
              <w:rPr>
                <w:kern w:val="0"/>
                <w:sz w:val="24"/>
              </w:rPr>
              <w:t>m；北厂界</w:t>
            </w:r>
            <w:r>
              <w:rPr>
                <w:rFonts w:hint="eastAsia"/>
                <w:kern w:val="0"/>
                <w:sz w:val="24"/>
              </w:rPr>
              <w:t>5</w:t>
            </w:r>
            <w:r>
              <w:rPr>
                <w:kern w:val="0"/>
                <w:sz w:val="24"/>
              </w:rPr>
              <w:t>0m。项目卫生防护距离内无敏感点分布，符合卫生防护距离要求（卫生防护距离包络图见附图</w:t>
            </w:r>
            <w:r>
              <w:rPr>
                <w:rFonts w:hint="eastAsia"/>
                <w:kern w:val="0"/>
                <w:sz w:val="24"/>
              </w:rPr>
              <w:t>5</w:t>
            </w:r>
            <w:r>
              <w:rPr>
                <w:kern w:val="0"/>
                <w:sz w:val="24"/>
              </w:rPr>
              <w:t>）。</w:t>
            </w:r>
            <w:r>
              <w:rPr>
                <w:sz w:val="24"/>
              </w:rPr>
              <w:t>项目厂址四周为工业企业</w:t>
            </w:r>
            <w:r>
              <w:rPr>
                <w:rFonts w:hint="eastAsia"/>
                <w:sz w:val="24"/>
              </w:rPr>
              <w:t>和</w:t>
            </w:r>
            <w:r>
              <w:rPr>
                <w:sz w:val="24"/>
              </w:rPr>
              <w:t>道路，</w:t>
            </w:r>
            <w:r>
              <w:rPr>
                <w:kern w:val="0"/>
                <w:sz w:val="24"/>
              </w:rPr>
              <w:t>卫生防护距离范围内</w:t>
            </w:r>
            <w:r>
              <w:rPr>
                <w:sz w:val="24"/>
              </w:rPr>
              <w:t>无</w:t>
            </w:r>
            <w:r>
              <w:rPr>
                <w:kern w:val="0"/>
                <w:sz w:val="24"/>
              </w:rPr>
              <w:t>居民住宅、医院、机关等环境敏感点。</w:t>
            </w:r>
          </w:p>
          <w:p>
            <w:pPr>
              <w:adjustRightInd w:val="0"/>
              <w:snapToGrid w:val="0"/>
              <w:spacing w:line="440" w:lineRule="exact"/>
              <w:ind w:firstLine="480" w:firstLineChars="200"/>
              <w:textAlignment w:val="baseline"/>
              <w:rPr>
                <w:rFonts w:eastAsiaTheme="minorEastAsia"/>
                <w:sz w:val="24"/>
                <w:lang w:val="en-GB"/>
              </w:rPr>
            </w:pPr>
            <w:r>
              <w:rPr>
                <w:rFonts w:hAnsiTheme="minorEastAsia" w:eastAsiaTheme="minorEastAsia"/>
                <w:bCs/>
                <w:color w:val="000000"/>
                <w:sz w:val="24"/>
              </w:rPr>
              <w:t>（</w:t>
            </w:r>
            <w:r>
              <w:rPr>
                <w:rFonts w:hint="eastAsia" w:eastAsiaTheme="minorEastAsia"/>
                <w:bCs/>
                <w:color w:val="000000"/>
                <w:sz w:val="24"/>
              </w:rPr>
              <w:t>2</w:t>
            </w:r>
            <w:r>
              <w:rPr>
                <w:rFonts w:hAnsiTheme="minorEastAsia" w:eastAsiaTheme="minorEastAsia"/>
                <w:bCs/>
                <w:color w:val="000000"/>
                <w:sz w:val="24"/>
              </w:rPr>
              <w:t>）</w:t>
            </w:r>
            <w:r>
              <w:rPr>
                <w:rFonts w:hint="eastAsia" w:hAnsiTheme="minorEastAsia" w:eastAsiaTheme="minorEastAsia"/>
                <w:bCs/>
                <w:color w:val="000000"/>
                <w:sz w:val="24"/>
              </w:rPr>
              <w:t>废</w:t>
            </w:r>
            <w:r>
              <w:rPr>
                <w:rFonts w:hAnsiTheme="minorEastAsia" w:eastAsiaTheme="minorEastAsia"/>
                <w:sz w:val="24"/>
                <w:lang w:val="en-GB"/>
              </w:rPr>
              <w:t>水</w:t>
            </w:r>
          </w:p>
          <w:p>
            <w:pPr>
              <w:adjustRightInd w:val="0"/>
              <w:snapToGrid w:val="0"/>
              <w:spacing w:line="440" w:lineRule="exact"/>
              <w:ind w:firstLine="480" w:firstLineChars="200"/>
              <w:rPr>
                <w:rFonts w:eastAsiaTheme="minorEastAsia"/>
                <w:sz w:val="24"/>
                <w:lang w:val="en-GB"/>
              </w:rPr>
            </w:pPr>
            <w:r>
              <w:rPr>
                <w:rFonts w:hAnsiTheme="minorEastAsia" w:eastAsiaTheme="minorEastAsia"/>
                <w:sz w:val="24"/>
                <w:lang w:val="en-GB"/>
              </w:rPr>
              <w:t>项目生活</w:t>
            </w:r>
            <w:r>
              <w:rPr>
                <w:rFonts w:hint="eastAsia" w:hAnsiTheme="minorEastAsia" w:eastAsiaTheme="minorEastAsia"/>
                <w:sz w:val="24"/>
                <w:lang w:val="en-GB"/>
              </w:rPr>
              <w:t>污</w:t>
            </w:r>
            <w:r>
              <w:rPr>
                <w:rFonts w:hAnsiTheme="minorEastAsia" w:eastAsiaTheme="minorEastAsia"/>
                <w:sz w:val="24"/>
                <w:lang w:val="en-GB"/>
              </w:rPr>
              <w:t>水经防渗漏化粪池处理后定期清运，不外排。</w:t>
            </w:r>
          </w:p>
          <w:p>
            <w:pPr>
              <w:adjustRightInd w:val="0"/>
              <w:snapToGrid w:val="0"/>
              <w:spacing w:line="440" w:lineRule="exact"/>
              <w:ind w:firstLine="480" w:firstLineChars="200"/>
              <w:rPr>
                <w:rFonts w:eastAsiaTheme="minorEastAsia"/>
                <w:sz w:val="24"/>
                <w:lang w:val="en-GB"/>
              </w:rPr>
            </w:pPr>
            <w:r>
              <w:rPr>
                <w:rFonts w:hAnsiTheme="minorEastAsia" w:eastAsiaTheme="minorEastAsia"/>
                <w:sz w:val="24"/>
              </w:rPr>
              <w:t>本项目属于</w:t>
            </w:r>
            <w:r>
              <w:rPr>
                <w:rFonts w:hint="eastAsia" w:hAnsiTheme="minorEastAsia" w:eastAsiaTheme="minorEastAsia"/>
                <w:sz w:val="24"/>
                <w:lang w:eastAsia="zh-CN"/>
              </w:rPr>
              <w:t>通用设备</w:t>
            </w:r>
            <w:r>
              <w:rPr>
                <w:rFonts w:hAnsiTheme="minorEastAsia" w:eastAsiaTheme="minorEastAsia"/>
                <w:sz w:val="24"/>
              </w:rPr>
              <w:t>制造业项目。根据《环境影响评价技术导则</w:t>
            </w:r>
            <w:r>
              <w:rPr>
                <w:rFonts w:eastAsiaTheme="minorEastAsia"/>
                <w:sz w:val="24"/>
              </w:rPr>
              <w:t>——</w:t>
            </w:r>
            <w:r>
              <w:rPr>
                <w:rFonts w:hAnsiTheme="minorEastAsia" w:eastAsiaTheme="minorEastAsia"/>
                <w:sz w:val="24"/>
              </w:rPr>
              <w:t>地下水环境》（</w:t>
            </w:r>
            <w:r>
              <w:rPr>
                <w:rFonts w:eastAsiaTheme="minorEastAsia"/>
                <w:sz w:val="24"/>
              </w:rPr>
              <w:t>HJ610-2016</w:t>
            </w:r>
            <w:r>
              <w:rPr>
                <w:rFonts w:hAnsiTheme="minorEastAsia" w:eastAsiaTheme="minorEastAsia"/>
                <w:sz w:val="24"/>
              </w:rPr>
              <w:t>），本项目属于</w:t>
            </w:r>
            <w:r>
              <w:rPr>
                <w:rFonts w:eastAsiaTheme="minorEastAsia"/>
                <w:sz w:val="24"/>
              </w:rPr>
              <w:t>IV</w:t>
            </w:r>
            <w:r>
              <w:rPr>
                <w:rFonts w:hAnsiTheme="minorEastAsia" w:eastAsiaTheme="minorEastAsia"/>
                <w:sz w:val="24"/>
              </w:rPr>
              <w:t>类建设项目，因此不再对地下水环境影响进行分析。</w:t>
            </w:r>
          </w:p>
          <w:p>
            <w:pPr>
              <w:adjustRightInd w:val="0"/>
              <w:snapToGrid w:val="0"/>
              <w:spacing w:line="440" w:lineRule="exact"/>
              <w:ind w:firstLine="480" w:firstLineChars="200"/>
              <w:textAlignment w:val="baseline"/>
              <w:rPr>
                <w:rFonts w:hAnsiTheme="minorEastAsia" w:eastAsiaTheme="minorEastAsia"/>
                <w:bCs/>
                <w:color w:val="000000"/>
                <w:sz w:val="24"/>
                <w:lang w:val="en-GB"/>
              </w:rPr>
            </w:pPr>
            <w:r>
              <w:rPr>
                <w:rFonts w:hAnsiTheme="minorEastAsia" w:eastAsiaTheme="minorEastAsia"/>
                <w:bCs/>
                <w:color w:val="000000"/>
                <w:sz w:val="24"/>
                <w:lang w:val="en-GB"/>
              </w:rPr>
              <w:t>（</w:t>
            </w:r>
            <w:r>
              <w:rPr>
                <w:rFonts w:hint="eastAsia" w:hAnsiTheme="minorEastAsia" w:eastAsiaTheme="minorEastAsia"/>
                <w:bCs/>
                <w:color w:val="000000"/>
                <w:sz w:val="24"/>
              </w:rPr>
              <w:t>3</w:t>
            </w:r>
            <w:r>
              <w:rPr>
                <w:rFonts w:hAnsiTheme="minorEastAsia" w:eastAsiaTheme="minorEastAsia"/>
                <w:bCs/>
                <w:color w:val="000000"/>
                <w:sz w:val="24"/>
                <w:lang w:val="en-GB"/>
              </w:rPr>
              <w:t>）</w:t>
            </w:r>
            <w:r>
              <w:rPr>
                <w:rFonts w:hint="eastAsia" w:hAnsiTheme="minorEastAsia" w:eastAsiaTheme="minorEastAsia"/>
                <w:bCs/>
                <w:color w:val="000000"/>
                <w:sz w:val="24"/>
                <w:lang w:val="en-GB"/>
              </w:rPr>
              <w:t>噪声</w:t>
            </w:r>
          </w:p>
          <w:p>
            <w:pPr>
              <w:widowControl/>
              <w:spacing w:line="440" w:lineRule="exact"/>
              <w:ind w:firstLine="480" w:firstLineChars="200"/>
              <w:rPr>
                <w:rFonts w:eastAsiaTheme="minorEastAsia"/>
                <w:bCs/>
                <w:sz w:val="24"/>
              </w:rPr>
            </w:pPr>
            <w:r>
              <w:rPr>
                <w:rFonts w:hAnsiTheme="minorEastAsia" w:eastAsiaTheme="minorEastAsia"/>
                <w:sz w:val="24"/>
              </w:rPr>
              <w:t>本项目的噪声源主要为</w:t>
            </w:r>
            <w:r>
              <w:rPr>
                <w:rFonts w:hAnsiTheme="minorEastAsia" w:eastAsiaTheme="minorEastAsia"/>
                <w:color w:val="000000"/>
                <w:sz w:val="24"/>
              </w:rPr>
              <w:t>拔丝机、</w:t>
            </w:r>
            <w:r>
              <w:rPr>
                <w:rFonts w:hint="eastAsia" w:hAnsiTheme="minorEastAsia" w:eastAsiaTheme="minorEastAsia"/>
                <w:color w:val="000000"/>
                <w:sz w:val="24"/>
              </w:rPr>
              <w:t>制钉机、</w:t>
            </w:r>
            <w:r>
              <w:rPr>
                <w:rFonts w:hAnsiTheme="minorEastAsia" w:eastAsiaTheme="minorEastAsia"/>
                <w:color w:val="000000"/>
                <w:sz w:val="24"/>
              </w:rPr>
              <w:t>空压机</w:t>
            </w:r>
            <w:r>
              <w:rPr>
                <w:rFonts w:hint="eastAsia" w:hAnsiTheme="minorEastAsia" w:eastAsiaTheme="minorEastAsia"/>
                <w:color w:val="000000"/>
                <w:sz w:val="24"/>
              </w:rPr>
              <w:t>、抛光机</w:t>
            </w:r>
            <w:r>
              <w:rPr>
                <w:rFonts w:hAnsiTheme="minorEastAsia" w:eastAsiaTheme="minorEastAsia"/>
                <w:color w:val="000000"/>
                <w:sz w:val="24"/>
              </w:rPr>
              <w:t>等</w:t>
            </w:r>
            <w:r>
              <w:rPr>
                <w:rFonts w:hAnsiTheme="minorEastAsia" w:eastAsiaTheme="minorEastAsia"/>
                <w:sz w:val="24"/>
              </w:rPr>
              <w:t>，噪声级在</w:t>
            </w:r>
            <w:r>
              <w:rPr>
                <w:rFonts w:hint="eastAsia" w:hAnsiTheme="minorEastAsia" w:eastAsiaTheme="minorEastAsia"/>
                <w:sz w:val="24"/>
              </w:rPr>
              <w:t>70</w:t>
            </w:r>
            <w:r>
              <w:rPr>
                <w:rFonts w:hint="eastAsia" w:eastAsiaTheme="minorEastAsia"/>
                <w:sz w:val="24"/>
              </w:rPr>
              <w:t>-90</w:t>
            </w:r>
            <w:r>
              <w:rPr>
                <w:rFonts w:eastAsiaTheme="minorEastAsia"/>
                <w:sz w:val="24"/>
              </w:rPr>
              <w:t>dB(A)</w:t>
            </w:r>
            <w:r>
              <w:rPr>
                <w:rFonts w:hAnsiTheme="minorEastAsia" w:eastAsiaTheme="minorEastAsia"/>
                <w:sz w:val="24"/>
              </w:rPr>
              <w:t>之间，经采取</w:t>
            </w:r>
            <w:r>
              <w:rPr>
                <w:rFonts w:hAnsiTheme="minorEastAsia" w:eastAsiaTheme="minorEastAsia"/>
                <w:color w:val="000000"/>
                <w:sz w:val="24"/>
              </w:rPr>
              <w:t>厂房密闭隔音等</w:t>
            </w:r>
            <w:r>
              <w:rPr>
                <w:rFonts w:hAnsiTheme="minorEastAsia" w:eastAsiaTheme="minorEastAsia"/>
                <w:sz w:val="24"/>
              </w:rPr>
              <w:t>措施后，</w:t>
            </w:r>
            <w:r>
              <w:rPr>
                <w:rFonts w:hAnsiTheme="minorEastAsia" w:eastAsiaTheme="minorEastAsia"/>
                <w:sz w:val="24"/>
                <w:lang w:val="zh-CN"/>
              </w:rPr>
              <w:t>厂界噪声可满足《工业企业厂界环境噪声排放标准》（</w:t>
            </w:r>
            <w:r>
              <w:rPr>
                <w:rFonts w:eastAsiaTheme="minorEastAsia"/>
                <w:sz w:val="24"/>
              </w:rPr>
              <w:t>GB12348-2008</w:t>
            </w:r>
            <w:r>
              <w:rPr>
                <w:rFonts w:hAnsiTheme="minorEastAsia" w:eastAsiaTheme="minorEastAsia"/>
                <w:sz w:val="24"/>
                <w:lang w:val="zh-CN"/>
              </w:rPr>
              <w:t>）中的</w:t>
            </w:r>
            <w:r>
              <w:rPr>
                <w:rFonts w:eastAsiaTheme="minorEastAsia"/>
                <w:sz w:val="24"/>
              </w:rPr>
              <w:t>2</w:t>
            </w:r>
            <w:r>
              <w:rPr>
                <w:rFonts w:hAnsiTheme="minorEastAsia" w:eastAsiaTheme="minorEastAsia"/>
                <w:sz w:val="24"/>
                <w:lang w:val="zh-CN"/>
              </w:rPr>
              <w:t>类标准的要求。</w:t>
            </w:r>
          </w:p>
          <w:p>
            <w:pPr>
              <w:adjustRightInd w:val="0"/>
              <w:snapToGrid w:val="0"/>
              <w:spacing w:line="440" w:lineRule="exact"/>
              <w:ind w:firstLine="480" w:firstLineChars="200"/>
              <w:rPr>
                <w:b/>
                <w:sz w:val="24"/>
              </w:rPr>
            </w:pPr>
            <w:r>
              <w:rPr>
                <w:rFonts w:hAnsi="宋体"/>
                <w:sz w:val="24"/>
                <w:lang w:val="en-GB"/>
              </w:rPr>
              <w:t>（</w:t>
            </w:r>
            <w:r>
              <w:rPr>
                <w:rFonts w:hint="eastAsia"/>
                <w:sz w:val="24"/>
              </w:rPr>
              <w:t>4</w:t>
            </w:r>
            <w:r>
              <w:rPr>
                <w:rFonts w:hAnsi="宋体"/>
                <w:sz w:val="24"/>
                <w:lang w:val="en-GB"/>
              </w:rPr>
              <w:t>）</w:t>
            </w:r>
            <w:r>
              <w:rPr>
                <w:rFonts w:hAnsi="宋体"/>
                <w:sz w:val="24"/>
              </w:rPr>
              <w:t>固废</w:t>
            </w:r>
          </w:p>
          <w:p>
            <w:pPr>
              <w:widowControl/>
              <w:autoSpaceDN w:val="0"/>
              <w:snapToGrid w:val="0"/>
              <w:spacing w:line="440" w:lineRule="exact"/>
              <w:ind w:firstLine="480" w:firstLineChars="200"/>
              <w:rPr>
                <w:bCs/>
                <w:sz w:val="24"/>
              </w:rPr>
            </w:pPr>
            <w:r>
              <w:rPr>
                <w:rFonts w:hAnsi="宋体"/>
                <w:sz w:val="24"/>
              </w:rPr>
              <w:t>本项目一般固废为废铁丝</w:t>
            </w:r>
            <w:r>
              <w:rPr>
                <w:rFonts w:hint="eastAsia" w:hAnsi="宋体"/>
                <w:sz w:val="24"/>
              </w:rPr>
              <w:t>、废铁钉、废氧化皮、废渣、粉尘</w:t>
            </w:r>
            <w:r>
              <w:rPr>
                <w:rFonts w:hAnsi="宋体"/>
                <w:sz w:val="24"/>
              </w:rPr>
              <w:t>和</w:t>
            </w:r>
            <w:r>
              <w:rPr>
                <w:rFonts w:hint="eastAsia" w:hAnsi="宋体"/>
                <w:sz w:val="24"/>
              </w:rPr>
              <w:t>废锯末</w:t>
            </w:r>
            <w:r>
              <w:rPr>
                <w:rFonts w:hAnsi="宋体"/>
                <w:sz w:val="24"/>
              </w:rPr>
              <w:t>，集中收集后</w:t>
            </w:r>
            <w:r>
              <w:rPr>
                <w:rFonts w:hAnsi="宋体"/>
                <w:bCs/>
                <w:color w:val="000000"/>
                <w:sz w:val="24"/>
              </w:rPr>
              <w:t>暂存于一般固废暂存间（建筑面积</w:t>
            </w:r>
            <w:r>
              <w:rPr>
                <w:rFonts w:hint="eastAsia"/>
                <w:bCs/>
                <w:color w:val="000000"/>
                <w:sz w:val="24"/>
              </w:rPr>
              <w:t>20</w:t>
            </w:r>
            <w:r>
              <w:rPr>
                <w:bCs/>
                <w:color w:val="000000"/>
                <w:sz w:val="24"/>
              </w:rPr>
              <w:t>m</w:t>
            </w:r>
            <w:r>
              <w:rPr>
                <w:bCs/>
                <w:color w:val="000000"/>
                <w:sz w:val="24"/>
                <w:vertAlign w:val="superscript"/>
              </w:rPr>
              <w:t>2</w:t>
            </w:r>
            <w:r>
              <w:rPr>
                <w:rFonts w:hAnsi="宋体"/>
                <w:bCs/>
                <w:color w:val="000000"/>
                <w:sz w:val="24"/>
              </w:rPr>
              <w:t>），定期</w:t>
            </w:r>
            <w:r>
              <w:rPr>
                <w:rFonts w:hAnsi="宋体"/>
                <w:sz w:val="24"/>
              </w:rPr>
              <w:t>出售，满足《一般工业固体废物贮存、处置场污染控制标准》（</w:t>
            </w:r>
            <w:r>
              <w:rPr>
                <w:sz w:val="24"/>
              </w:rPr>
              <w:t>GB 18599-2001</w:t>
            </w:r>
            <w:r>
              <w:rPr>
                <w:rFonts w:hAnsi="宋体"/>
                <w:sz w:val="24"/>
              </w:rPr>
              <w:t>）及其</w:t>
            </w:r>
            <w:r>
              <w:rPr>
                <w:rFonts w:hint="eastAsia" w:hAnsi="宋体"/>
                <w:sz w:val="24"/>
              </w:rPr>
              <w:t>2013年</w:t>
            </w:r>
            <w:r>
              <w:rPr>
                <w:rFonts w:hAnsi="宋体"/>
                <w:sz w:val="24"/>
              </w:rPr>
              <w:t>修改单的要求，</w:t>
            </w:r>
            <w:r>
              <w:rPr>
                <w:rFonts w:hAnsi="宋体"/>
                <w:bCs/>
                <w:sz w:val="24"/>
              </w:rPr>
              <w:t>对周围环境不会产生固体污染。</w:t>
            </w:r>
          </w:p>
          <w:p>
            <w:pPr>
              <w:adjustRightInd w:val="0"/>
              <w:snapToGrid w:val="0"/>
              <w:spacing w:line="440" w:lineRule="exact"/>
              <w:ind w:firstLine="480" w:firstLineChars="200"/>
              <w:rPr>
                <w:b/>
                <w:sz w:val="24"/>
              </w:rPr>
            </w:pPr>
            <w:r>
              <w:rPr>
                <w:rFonts w:hAnsi="宋体"/>
                <w:sz w:val="24"/>
              </w:rPr>
              <w:t>（</w:t>
            </w:r>
            <w:r>
              <w:rPr>
                <w:rFonts w:hint="eastAsia"/>
                <w:sz w:val="24"/>
              </w:rPr>
              <w:t>5</w:t>
            </w:r>
            <w:r>
              <w:rPr>
                <w:rFonts w:hAnsi="宋体"/>
                <w:sz w:val="24"/>
              </w:rPr>
              <w:t>）</w:t>
            </w:r>
            <w:r>
              <w:rPr>
                <w:rFonts w:hAnsi="宋体"/>
                <w:bCs/>
                <w:sz w:val="24"/>
              </w:rPr>
              <w:t>土壤影响分析结论</w:t>
            </w:r>
          </w:p>
          <w:p>
            <w:pPr>
              <w:adjustRightInd w:val="0"/>
              <w:snapToGrid w:val="0"/>
              <w:spacing w:line="440" w:lineRule="exact"/>
              <w:ind w:firstLine="480" w:firstLineChars="200"/>
              <w:rPr>
                <w:rFonts w:hAnsi="宋体"/>
                <w:bCs/>
                <w:sz w:val="24"/>
              </w:rPr>
            </w:pPr>
            <w:r>
              <w:rPr>
                <w:rFonts w:hAnsi="宋体"/>
                <w:bCs/>
                <w:sz w:val="24"/>
              </w:rPr>
              <w:t>本项目的类别为</w:t>
            </w:r>
            <w:r>
              <w:rPr>
                <w:bCs/>
                <w:sz w:val="24"/>
              </w:rPr>
              <w:t xml:space="preserve">III </w:t>
            </w:r>
            <w:r>
              <w:rPr>
                <w:rFonts w:hAnsi="宋体"/>
                <w:bCs/>
                <w:sz w:val="24"/>
              </w:rPr>
              <w:t>类、占地规模为小型规模、敏感程度为不敏感，对照《环境影响评价技术导则</w:t>
            </w:r>
            <w:r>
              <w:rPr>
                <w:bCs/>
                <w:sz w:val="24"/>
              </w:rPr>
              <w:t xml:space="preserve"> </w:t>
            </w:r>
            <w:r>
              <w:rPr>
                <w:rFonts w:hAnsi="宋体"/>
                <w:bCs/>
                <w:sz w:val="24"/>
              </w:rPr>
              <w:t>土壤环境（试行）》（</w:t>
            </w:r>
            <w:r>
              <w:rPr>
                <w:bCs/>
                <w:sz w:val="24"/>
              </w:rPr>
              <w:t>HJ964-2018</w:t>
            </w:r>
            <w:r>
              <w:rPr>
                <w:rFonts w:hAnsi="宋体"/>
                <w:bCs/>
                <w:sz w:val="24"/>
              </w:rPr>
              <w:t>）污染影响型评价工作等级划分表可知，本项目可不开展土壤影响评价工作。</w:t>
            </w:r>
          </w:p>
          <w:p>
            <w:pPr>
              <w:adjustRightInd w:val="0"/>
              <w:snapToGrid w:val="0"/>
              <w:spacing w:line="440" w:lineRule="exact"/>
              <w:ind w:firstLine="480" w:firstLineChars="200"/>
              <w:rPr>
                <w:sz w:val="24"/>
              </w:rPr>
            </w:pPr>
            <w:r>
              <w:rPr>
                <w:rFonts w:hAnsi="宋体"/>
                <w:bCs/>
                <w:sz w:val="24"/>
              </w:rPr>
              <w:t>（</w:t>
            </w:r>
            <w:r>
              <w:rPr>
                <w:bCs/>
                <w:sz w:val="24"/>
              </w:rPr>
              <w:t>5</w:t>
            </w:r>
            <w:r>
              <w:rPr>
                <w:rFonts w:hAnsi="宋体"/>
                <w:bCs/>
                <w:sz w:val="24"/>
              </w:rPr>
              <w:t>）</w:t>
            </w:r>
            <w:r>
              <w:rPr>
                <w:rFonts w:hAnsi="宋体"/>
                <w:sz w:val="24"/>
              </w:rPr>
              <w:t>环保投资</w:t>
            </w:r>
          </w:p>
          <w:p>
            <w:pPr>
              <w:pStyle w:val="2"/>
              <w:spacing w:after="0" w:line="440" w:lineRule="exact"/>
              <w:ind w:left="0" w:leftChars="0" w:firstLine="480" w:firstLineChars="200"/>
              <w:rPr>
                <w:bCs/>
                <w:sz w:val="24"/>
              </w:rPr>
            </w:pPr>
            <w:r>
              <w:rPr>
                <w:rFonts w:hAnsi="宋体"/>
                <w:sz w:val="24"/>
              </w:rPr>
              <w:t>本项目总投资为</w:t>
            </w:r>
            <w:r>
              <w:rPr>
                <w:sz w:val="24"/>
              </w:rPr>
              <w:t>40</w:t>
            </w:r>
            <w:r>
              <w:rPr>
                <w:rFonts w:hAnsi="宋体"/>
                <w:sz w:val="24"/>
              </w:rPr>
              <w:t>万元，其中环保投资为</w:t>
            </w:r>
            <w:r>
              <w:rPr>
                <w:rFonts w:hint="eastAsia"/>
                <w:sz w:val="24"/>
              </w:rPr>
              <w:t>7</w:t>
            </w:r>
            <w:r>
              <w:rPr>
                <w:sz w:val="24"/>
              </w:rPr>
              <w:t>.</w:t>
            </w:r>
            <w:r>
              <w:rPr>
                <w:rFonts w:hint="eastAsia"/>
                <w:sz w:val="24"/>
              </w:rPr>
              <w:t>0</w:t>
            </w:r>
            <w:r>
              <w:rPr>
                <w:rFonts w:hAnsi="宋体"/>
                <w:sz w:val="24"/>
              </w:rPr>
              <w:t>万元，约占总投资的</w:t>
            </w:r>
            <w:r>
              <w:rPr>
                <w:rFonts w:hint="eastAsia"/>
                <w:sz w:val="24"/>
              </w:rPr>
              <w:t>17.5</w:t>
            </w:r>
            <w:r>
              <w:rPr>
                <w:sz w:val="24"/>
              </w:rPr>
              <w:t>%</w:t>
            </w:r>
            <w:r>
              <w:rPr>
                <w:rFonts w:hAnsi="宋体"/>
                <w:sz w:val="24"/>
              </w:rPr>
              <w:t>。建设单位应落实环保资金投资到位，确保做到各项污染物达标排放。</w:t>
            </w:r>
          </w:p>
          <w:p>
            <w:pPr>
              <w:adjustRightInd w:val="0"/>
              <w:snapToGrid w:val="0"/>
              <w:spacing w:line="440" w:lineRule="exact"/>
              <w:ind w:firstLine="482" w:firstLineChars="200"/>
              <w:rPr>
                <w:b/>
                <w:sz w:val="24"/>
              </w:rPr>
            </w:pPr>
            <w:r>
              <w:rPr>
                <w:b/>
                <w:sz w:val="24"/>
              </w:rPr>
              <w:t>4</w:t>
            </w:r>
            <w:r>
              <w:rPr>
                <w:rFonts w:hAnsi="宋体"/>
                <w:b/>
                <w:sz w:val="24"/>
              </w:rPr>
              <w:t>、总量控制指标</w:t>
            </w:r>
          </w:p>
          <w:p>
            <w:pPr>
              <w:pStyle w:val="2"/>
              <w:spacing w:after="0" w:line="440" w:lineRule="exact"/>
              <w:ind w:left="0" w:leftChars="0" w:firstLine="480" w:firstLineChars="200"/>
              <w:rPr>
                <w:color w:val="000000"/>
                <w:sz w:val="24"/>
              </w:rPr>
            </w:pPr>
            <w:r>
              <w:rPr>
                <w:color w:val="000000"/>
                <w:sz w:val="24"/>
              </w:rPr>
              <w:t>根据《新乡市生态环境局关于贯彻落实&lt;河南省生态环境厅办公室关于深化环评“放管服”改革及实施环评审批正面清单的通知&gt;的意见》新环【2020】37号</w:t>
            </w:r>
            <w:r>
              <w:rPr>
                <w:rFonts w:hint="eastAsia"/>
                <w:color w:val="000000"/>
                <w:sz w:val="24"/>
              </w:rPr>
              <w:t>，</w:t>
            </w:r>
            <w:r>
              <w:rPr>
                <w:color w:val="000000"/>
                <w:sz w:val="24"/>
              </w:rPr>
              <w:t>对不新增重点污染物（化学需氧量、氨氮、二氧化硫、氮氧化物、挥发性有机物，重金属铅、铬、镉、汞、砷10类）</w:t>
            </w:r>
            <w:r>
              <w:rPr>
                <w:rFonts w:hint="eastAsia"/>
                <w:color w:val="000000"/>
                <w:sz w:val="24"/>
              </w:rPr>
              <w:t>排放量的项目</w:t>
            </w:r>
            <w:r>
              <w:rPr>
                <w:color w:val="000000"/>
                <w:sz w:val="24"/>
              </w:rPr>
              <w:t>，不再进行总量审核。本项目属于新建项目，本项目污染物排放量为COD0t/a、NH</w:t>
            </w:r>
            <w:r>
              <w:rPr>
                <w:color w:val="000000"/>
                <w:sz w:val="24"/>
                <w:vertAlign w:val="subscript"/>
              </w:rPr>
              <w:t>3</w:t>
            </w:r>
            <w:r>
              <w:rPr>
                <w:color w:val="000000"/>
                <w:sz w:val="24"/>
              </w:rPr>
              <w:t>-N0t/a、SO</w:t>
            </w:r>
            <w:r>
              <w:rPr>
                <w:color w:val="000000"/>
                <w:sz w:val="24"/>
                <w:vertAlign w:val="subscript"/>
              </w:rPr>
              <w:t>2</w:t>
            </w:r>
            <w:r>
              <w:rPr>
                <w:color w:val="000000"/>
                <w:sz w:val="24"/>
              </w:rPr>
              <w:t>0t/a、NO</w:t>
            </w:r>
            <w:r>
              <w:rPr>
                <w:color w:val="000000"/>
                <w:sz w:val="24"/>
                <w:vertAlign w:val="subscript"/>
              </w:rPr>
              <w:t>X</w:t>
            </w:r>
            <w:r>
              <w:rPr>
                <w:color w:val="000000"/>
                <w:sz w:val="24"/>
              </w:rPr>
              <w:t>0t/a、VOCs0t/a、铅0t/a、铬0t/a、镉0t/a、汞0t/a、砷0t/a，</w:t>
            </w:r>
            <w:r>
              <w:rPr>
                <w:rFonts w:hint="eastAsia"/>
                <w:color w:val="000000"/>
                <w:sz w:val="24"/>
                <w:lang w:eastAsia="zh-CN"/>
              </w:rPr>
              <w:t>本项目</w:t>
            </w:r>
            <w:r>
              <w:rPr>
                <w:color w:val="000000"/>
                <w:sz w:val="24"/>
              </w:rPr>
              <w:t>不新增重点污染物</w:t>
            </w:r>
            <w:r>
              <w:rPr>
                <w:rFonts w:hint="eastAsia"/>
                <w:color w:val="000000"/>
                <w:sz w:val="24"/>
              </w:rPr>
              <w:t>，</w:t>
            </w:r>
            <w:r>
              <w:rPr>
                <w:color w:val="000000"/>
                <w:sz w:val="24"/>
              </w:rPr>
              <w:t>不再进行总量审核。</w:t>
            </w:r>
          </w:p>
          <w:p>
            <w:pPr>
              <w:adjustRightInd w:val="0"/>
              <w:snapToGrid w:val="0"/>
              <w:spacing w:line="440" w:lineRule="exact"/>
              <w:ind w:firstLine="482" w:firstLineChars="200"/>
              <w:rPr>
                <w:b/>
                <w:sz w:val="24"/>
              </w:rPr>
            </w:pPr>
            <w:r>
              <w:rPr>
                <w:rFonts w:hAnsi="宋体"/>
                <w:b/>
                <w:bCs/>
                <w:sz w:val="24"/>
              </w:rPr>
              <w:t>二、建议</w:t>
            </w:r>
          </w:p>
          <w:p>
            <w:pPr>
              <w:widowControl/>
              <w:spacing w:line="440" w:lineRule="exact"/>
              <w:ind w:firstLine="480" w:firstLineChars="200"/>
              <w:jc w:val="left"/>
              <w:rPr>
                <w:sz w:val="24"/>
              </w:rPr>
            </w:pPr>
            <w:r>
              <w:rPr>
                <w:rFonts w:hAnsi="宋体"/>
                <w:sz w:val="24"/>
              </w:rPr>
              <w:t>（</w:t>
            </w:r>
            <w:r>
              <w:rPr>
                <w:sz w:val="24"/>
              </w:rPr>
              <w:t>1</w:t>
            </w:r>
            <w:r>
              <w:rPr>
                <w:rFonts w:hAnsi="宋体"/>
                <w:sz w:val="24"/>
              </w:rPr>
              <w:t>）加强环境管理，保证各种环保设施正常运行。</w:t>
            </w:r>
          </w:p>
          <w:p>
            <w:pPr>
              <w:spacing w:line="440" w:lineRule="exact"/>
              <w:ind w:firstLine="480" w:firstLineChars="200"/>
              <w:rPr>
                <w:sz w:val="24"/>
              </w:rPr>
            </w:pPr>
            <w:r>
              <w:rPr>
                <w:rFonts w:hAnsi="宋体"/>
                <w:sz w:val="24"/>
              </w:rPr>
              <w:t>（</w:t>
            </w:r>
            <w:r>
              <w:rPr>
                <w:rFonts w:hint="eastAsia"/>
                <w:sz w:val="24"/>
              </w:rPr>
              <w:t>2</w:t>
            </w:r>
            <w:r>
              <w:rPr>
                <w:rFonts w:hAnsi="宋体"/>
                <w:sz w:val="24"/>
              </w:rPr>
              <w:t>）尽快完善厂房规划，强化环境意识教育，制定环保设施操作管理规程，建立健全各项环保岗位责任制，确保环保设施正常、稳定运行。</w:t>
            </w:r>
          </w:p>
          <w:p>
            <w:pPr>
              <w:spacing w:line="440" w:lineRule="exact"/>
              <w:ind w:firstLine="480" w:firstLineChars="200"/>
              <w:rPr>
                <w:sz w:val="24"/>
              </w:rPr>
            </w:pPr>
            <w:r>
              <w:rPr>
                <w:rFonts w:hAnsi="宋体"/>
                <w:sz w:val="24"/>
              </w:rPr>
              <w:t>（</w:t>
            </w:r>
            <w:r>
              <w:rPr>
                <w:rFonts w:hint="eastAsia"/>
                <w:sz w:val="24"/>
              </w:rPr>
              <w:t>3</w:t>
            </w:r>
            <w:r>
              <w:rPr>
                <w:rFonts w:hAnsi="宋体"/>
                <w:sz w:val="24"/>
              </w:rPr>
              <w:t>）加强职工操作培训，提高职工技术水平和环保意识。</w:t>
            </w:r>
          </w:p>
          <w:p>
            <w:pPr>
              <w:spacing w:line="440" w:lineRule="exact"/>
              <w:ind w:firstLine="480" w:firstLineChars="200"/>
              <w:rPr>
                <w:sz w:val="24"/>
              </w:rPr>
            </w:pPr>
            <w:r>
              <w:rPr>
                <w:rFonts w:hAnsi="宋体"/>
                <w:sz w:val="24"/>
              </w:rPr>
              <w:t>（</w:t>
            </w:r>
            <w:r>
              <w:rPr>
                <w:rFonts w:hint="eastAsia"/>
                <w:sz w:val="24"/>
              </w:rPr>
              <w:t>4</w:t>
            </w:r>
            <w:r>
              <w:rPr>
                <w:rFonts w:hAnsi="宋体"/>
                <w:sz w:val="24"/>
              </w:rPr>
              <w:t>）严格执行环保</w:t>
            </w:r>
            <w:r>
              <w:rPr>
                <w:sz w:val="24"/>
              </w:rPr>
              <w:t>“</w:t>
            </w:r>
            <w:r>
              <w:rPr>
                <w:rFonts w:hAnsi="宋体"/>
                <w:sz w:val="24"/>
              </w:rPr>
              <w:t>三同时</w:t>
            </w:r>
            <w:r>
              <w:rPr>
                <w:sz w:val="24"/>
              </w:rPr>
              <w:t>”</w:t>
            </w:r>
            <w:r>
              <w:rPr>
                <w:rFonts w:hAnsi="宋体"/>
                <w:sz w:val="24"/>
              </w:rPr>
              <w:t>制度，项目建成后及时向环境保护主管部门申请环保验收。</w:t>
            </w:r>
          </w:p>
          <w:p>
            <w:pPr>
              <w:adjustRightInd w:val="0"/>
              <w:snapToGrid w:val="0"/>
              <w:spacing w:line="440" w:lineRule="exact"/>
              <w:ind w:firstLine="482" w:firstLineChars="200"/>
              <w:rPr>
                <w:b/>
                <w:bCs/>
                <w:sz w:val="24"/>
              </w:rPr>
            </w:pPr>
            <w:r>
              <w:rPr>
                <w:rFonts w:hAnsi="宋体"/>
                <w:b/>
                <w:bCs/>
                <w:sz w:val="24"/>
              </w:rPr>
              <w:t>三、环评总结论</w:t>
            </w:r>
          </w:p>
          <w:p>
            <w:pPr>
              <w:widowControl/>
              <w:spacing w:line="440" w:lineRule="exact"/>
              <w:ind w:firstLine="480" w:firstLineChars="200"/>
              <w:rPr>
                <w:bCs/>
                <w:kern w:val="0"/>
                <w:sz w:val="24"/>
              </w:rPr>
            </w:pPr>
            <w:r>
              <w:rPr>
                <w:rFonts w:hint="eastAsia"/>
                <w:bCs/>
                <w:color w:val="000000"/>
                <w:sz w:val="24"/>
              </w:rPr>
              <w:t>新乡县合河乡鑫达线材厂年产1000吨铁钉项目</w:t>
            </w:r>
            <w:r>
              <w:rPr>
                <w:rFonts w:hAnsi="宋体"/>
                <w:bCs/>
                <w:kern w:val="0"/>
                <w:sz w:val="24"/>
              </w:rPr>
              <w:t>，位于</w:t>
            </w:r>
            <w:r>
              <w:rPr>
                <w:rFonts w:hAnsi="宋体"/>
                <w:bCs/>
                <w:color w:val="000000"/>
                <w:sz w:val="24"/>
              </w:rPr>
              <w:t>新乡市新乡县合河乡贾桥村工业区西头路北</w:t>
            </w:r>
            <w:r>
              <w:rPr>
                <w:bCs/>
                <w:color w:val="000000"/>
                <w:sz w:val="24"/>
              </w:rPr>
              <w:t>4</w:t>
            </w:r>
            <w:r>
              <w:rPr>
                <w:rFonts w:hAnsi="宋体"/>
                <w:bCs/>
                <w:color w:val="000000"/>
                <w:sz w:val="24"/>
              </w:rPr>
              <w:t>号</w:t>
            </w:r>
            <w:r>
              <w:rPr>
                <w:rFonts w:hAnsi="宋体"/>
                <w:bCs/>
                <w:kern w:val="0"/>
                <w:sz w:val="24"/>
              </w:rPr>
              <w:t>，选址符合相关规划。项目符合国家产业政策。项目产生的污染物经采用合理的环保措施治理后，均可做到妥善治理和处置，对周围环境影响小，可以实现其经济效益、社会效益和环境效益的协调发展。因此，从环保角度分析，项目建设可行。</w:t>
            </w:r>
          </w:p>
          <w:p>
            <w:pPr>
              <w:tabs>
                <w:tab w:val="left" w:pos="540"/>
              </w:tabs>
              <w:adjustRightInd w:val="0"/>
              <w:snapToGrid w:val="0"/>
              <w:spacing w:line="440" w:lineRule="exact"/>
              <w:ind w:right="960"/>
              <w:rPr>
                <w:sz w:val="24"/>
              </w:rPr>
            </w:pPr>
          </w:p>
          <w:p>
            <w:pPr>
              <w:tabs>
                <w:tab w:val="left" w:pos="540"/>
              </w:tabs>
              <w:adjustRightInd w:val="0"/>
              <w:snapToGrid w:val="0"/>
              <w:spacing w:line="440" w:lineRule="exact"/>
              <w:ind w:firstLine="480" w:firstLineChars="200"/>
              <w:jc w:val="right"/>
              <w:rPr>
                <w:rFonts w:hAnsi="宋体"/>
                <w:sz w:val="24"/>
              </w:rPr>
            </w:pPr>
          </w:p>
          <w:p>
            <w:pPr>
              <w:tabs>
                <w:tab w:val="left" w:pos="540"/>
              </w:tabs>
              <w:adjustRightInd w:val="0"/>
              <w:snapToGrid w:val="0"/>
              <w:spacing w:line="440" w:lineRule="exact"/>
              <w:ind w:firstLine="480" w:firstLineChars="200"/>
              <w:jc w:val="right"/>
              <w:rPr>
                <w:rFonts w:hAnsi="宋体"/>
                <w:sz w:val="24"/>
              </w:rPr>
            </w:pPr>
          </w:p>
          <w:p>
            <w:pPr>
              <w:tabs>
                <w:tab w:val="left" w:pos="540"/>
              </w:tabs>
              <w:adjustRightInd w:val="0"/>
              <w:snapToGrid w:val="0"/>
              <w:spacing w:line="440" w:lineRule="exact"/>
              <w:ind w:firstLine="480" w:firstLineChars="200"/>
              <w:jc w:val="right"/>
              <w:rPr>
                <w:rFonts w:hAnsi="宋体"/>
                <w:sz w:val="24"/>
              </w:rPr>
            </w:pPr>
          </w:p>
          <w:p>
            <w:pPr>
              <w:tabs>
                <w:tab w:val="left" w:pos="540"/>
              </w:tabs>
              <w:adjustRightInd w:val="0"/>
              <w:snapToGrid w:val="0"/>
              <w:spacing w:line="440" w:lineRule="exact"/>
              <w:ind w:firstLine="480" w:firstLineChars="200"/>
              <w:jc w:val="right"/>
              <w:rPr>
                <w:rFonts w:hAnsi="宋体"/>
                <w:sz w:val="24"/>
              </w:rPr>
            </w:pPr>
          </w:p>
          <w:p>
            <w:pPr>
              <w:tabs>
                <w:tab w:val="left" w:pos="540"/>
              </w:tabs>
              <w:adjustRightInd w:val="0"/>
              <w:snapToGrid w:val="0"/>
              <w:spacing w:line="440" w:lineRule="exact"/>
              <w:ind w:firstLine="480" w:firstLineChars="200"/>
              <w:jc w:val="right"/>
              <w:rPr>
                <w:sz w:val="24"/>
              </w:rPr>
            </w:pPr>
            <w:r>
              <w:rPr>
                <w:rFonts w:hAnsi="宋体"/>
                <w:sz w:val="24"/>
              </w:rPr>
              <w:t>新乡市译洋环境技术有限公司</w:t>
            </w:r>
          </w:p>
          <w:p>
            <w:pPr>
              <w:pStyle w:val="40"/>
              <w:ind w:firstLine="6600" w:firstLineChars="2750"/>
              <w:rPr>
                <w:rFonts w:hAnsi="宋体"/>
                <w:sz w:val="24"/>
              </w:rPr>
            </w:pPr>
            <w:r>
              <w:rPr>
                <w:sz w:val="24"/>
              </w:rPr>
              <w:t xml:space="preserve"> 2020</w:t>
            </w:r>
            <w:r>
              <w:rPr>
                <w:rFonts w:hAnsi="宋体"/>
                <w:sz w:val="24"/>
              </w:rPr>
              <w:t>年</w:t>
            </w:r>
            <w:r>
              <w:rPr>
                <w:sz w:val="24"/>
              </w:rPr>
              <w:t>0</w:t>
            </w:r>
            <w:r>
              <w:rPr>
                <w:rFonts w:hint="eastAsia"/>
                <w:sz w:val="24"/>
                <w:lang w:val="en-US" w:eastAsia="zh-CN"/>
              </w:rPr>
              <w:t>8</w:t>
            </w:r>
            <w:r>
              <w:rPr>
                <w:rFonts w:hAnsi="宋体"/>
                <w:sz w:val="24"/>
              </w:rPr>
              <w:t>月</w:t>
            </w: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pStyle w:val="45"/>
              <w:ind w:firstLine="480"/>
              <w:rPr>
                <w:rFonts w:hAnsi="宋体"/>
                <w:sz w:val="24"/>
              </w:rPr>
            </w:pPr>
          </w:p>
          <w:p>
            <w:pPr>
              <w:spacing w:line="500" w:lineRule="exact"/>
              <w:textAlignment w:val="baseline"/>
              <w:rPr>
                <w:color w:val="FF000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68" w:hRule="atLeast"/>
          <w:jc w:val="center"/>
        </w:trPr>
        <w:tc>
          <w:tcPr>
            <w:tcW w:w="9242" w:type="dxa"/>
          </w:tcPr>
          <w:p>
            <w:pPr>
              <w:spacing w:line="480" w:lineRule="exact"/>
              <w:rPr>
                <w:sz w:val="24"/>
              </w:rPr>
            </w:pPr>
            <w:r>
              <w:rPr>
                <w:sz w:val="24"/>
              </w:rPr>
              <w:t>预审意见：</w:t>
            </w:r>
          </w:p>
          <w:p>
            <w:pPr>
              <w:spacing w:line="480" w:lineRule="exact"/>
              <w:rPr>
                <w:color w:val="FF0000"/>
                <w:sz w:val="24"/>
              </w:rPr>
            </w:pPr>
          </w:p>
          <w:p>
            <w:pPr>
              <w:spacing w:line="480" w:lineRule="exact"/>
              <w:rPr>
                <w:color w:val="FF0000"/>
                <w:sz w:val="24"/>
              </w:rPr>
            </w:pPr>
          </w:p>
          <w:p>
            <w:pPr>
              <w:spacing w:line="480" w:lineRule="exact"/>
              <w:rPr>
                <w:color w:val="FF0000"/>
                <w:sz w:val="24"/>
              </w:rPr>
            </w:pPr>
          </w:p>
          <w:p>
            <w:pPr>
              <w:spacing w:line="480" w:lineRule="exact"/>
              <w:rPr>
                <w:color w:val="FF0000"/>
                <w:sz w:val="24"/>
              </w:rPr>
            </w:pPr>
          </w:p>
          <w:p>
            <w:pPr>
              <w:spacing w:line="480" w:lineRule="exact"/>
              <w:rPr>
                <w:color w:val="FF0000"/>
                <w:sz w:val="24"/>
              </w:rPr>
            </w:pPr>
          </w:p>
          <w:p>
            <w:pPr>
              <w:spacing w:line="480" w:lineRule="exact"/>
              <w:rPr>
                <w:color w:val="FF0000"/>
                <w:sz w:val="24"/>
              </w:rPr>
            </w:pPr>
          </w:p>
          <w:p>
            <w:pPr>
              <w:spacing w:line="480" w:lineRule="exact"/>
              <w:rPr>
                <w:color w:val="FF0000"/>
                <w:sz w:val="24"/>
              </w:rPr>
            </w:pPr>
          </w:p>
          <w:p>
            <w:pPr>
              <w:spacing w:line="480" w:lineRule="exact"/>
              <w:rPr>
                <w:sz w:val="24"/>
              </w:rPr>
            </w:pPr>
          </w:p>
          <w:p>
            <w:pPr>
              <w:spacing w:line="480" w:lineRule="exact"/>
              <w:ind w:firstLine="6736" w:firstLineChars="2807"/>
              <w:rPr>
                <w:sz w:val="24"/>
              </w:rPr>
            </w:pPr>
            <w:r>
              <w:rPr>
                <w:sz w:val="24"/>
              </w:rPr>
              <w:t>公    章</w:t>
            </w:r>
          </w:p>
          <w:p>
            <w:pPr>
              <w:spacing w:line="480" w:lineRule="exact"/>
              <w:ind w:firstLine="6496" w:firstLineChars="2707"/>
              <w:rPr>
                <w:sz w:val="24"/>
              </w:rPr>
            </w:pPr>
          </w:p>
          <w:p>
            <w:pPr>
              <w:spacing w:line="480" w:lineRule="exact"/>
              <w:ind w:firstLine="240" w:firstLineChars="100"/>
              <w:rPr>
                <w:sz w:val="24"/>
              </w:rPr>
            </w:pPr>
            <w:r>
              <w:rPr>
                <w:sz w:val="24"/>
              </w:rPr>
              <w:t>经办人：                                           年     月    日</w:t>
            </w:r>
          </w:p>
          <w:p>
            <w:pPr>
              <w:spacing w:line="480" w:lineRule="exact"/>
              <w:rPr>
                <w:color w:val="FF000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86" w:hRule="atLeast"/>
          <w:jc w:val="center"/>
        </w:trPr>
        <w:tc>
          <w:tcPr>
            <w:tcW w:w="9242" w:type="dxa"/>
          </w:tcPr>
          <w:p>
            <w:pPr>
              <w:rPr>
                <w:color w:val="FF0000"/>
                <w:sz w:val="24"/>
              </w:rPr>
            </w:pPr>
          </w:p>
          <w:p>
            <w:pPr>
              <w:rPr>
                <w:sz w:val="24"/>
              </w:rPr>
            </w:pPr>
            <w:r>
              <w:rPr>
                <w:sz w:val="24"/>
              </w:rPr>
              <w:t>下一级环境保护行政主管部门审查意见：</w:t>
            </w:r>
          </w:p>
          <w:p>
            <w:pPr>
              <w:rPr>
                <w:color w:val="FF0000"/>
                <w:sz w:val="24"/>
              </w:rPr>
            </w:pPr>
          </w:p>
          <w:p>
            <w:pPr>
              <w:rPr>
                <w:color w:val="FF0000"/>
                <w:sz w:val="24"/>
              </w:rPr>
            </w:pPr>
          </w:p>
          <w:p>
            <w:pPr>
              <w:rPr>
                <w:color w:val="FF0000"/>
                <w:sz w:val="24"/>
              </w:rPr>
            </w:pPr>
          </w:p>
          <w:p>
            <w:pPr>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rPr>
                <w:color w:val="FF0000"/>
                <w:sz w:val="24"/>
              </w:rPr>
            </w:pPr>
          </w:p>
          <w:p>
            <w:pPr>
              <w:rPr>
                <w:sz w:val="24"/>
              </w:rPr>
            </w:pPr>
          </w:p>
          <w:p>
            <w:pPr>
              <w:rPr>
                <w:sz w:val="24"/>
              </w:rPr>
            </w:pPr>
          </w:p>
          <w:p>
            <w:pPr>
              <w:spacing w:line="480" w:lineRule="exact"/>
              <w:ind w:firstLine="6496" w:firstLineChars="2707"/>
              <w:rPr>
                <w:sz w:val="24"/>
              </w:rPr>
            </w:pPr>
            <w:r>
              <w:rPr>
                <w:sz w:val="24"/>
              </w:rPr>
              <w:t>公    章</w:t>
            </w:r>
          </w:p>
          <w:p>
            <w:pPr>
              <w:spacing w:line="480" w:lineRule="exact"/>
              <w:ind w:firstLine="6256" w:firstLineChars="2607"/>
              <w:rPr>
                <w:sz w:val="24"/>
              </w:rPr>
            </w:pPr>
          </w:p>
          <w:p>
            <w:pPr>
              <w:ind w:firstLine="240" w:firstLineChars="100"/>
              <w:rPr>
                <w:sz w:val="24"/>
              </w:rPr>
            </w:pPr>
            <w:r>
              <w:rPr>
                <w:sz w:val="24"/>
              </w:rPr>
              <w:t>经办人：                                         年     月    日</w:t>
            </w:r>
          </w:p>
          <w:p>
            <w:pPr>
              <w:rPr>
                <w:color w:val="FF000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539" w:hRule="atLeast"/>
          <w:jc w:val="center"/>
        </w:trPr>
        <w:tc>
          <w:tcPr>
            <w:tcW w:w="9242" w:type="dxa"/>
          </w:tcPr>
          <w:p>
            <w:pPr>
              <w:rPr>
                <w:color w:val="FF0000"/>
                <w:sz w:val="24"/>
              </w:rPr>
            </w:pPr>
          </w:p>
          <w:p>
            <w:pPr>
              <w:rPr>
                <w:sz w:val="24"/>
              </w:rPr>
            </w:pPr>
            <w:r>
              <w:rPr>
                <w:sz w:val="24"/>
              </w:rPr>
              <w:t>审批意见：</w:t>
            </w:r>
          </w:p>
          <w:p>
            <w:pPr>
              <w:rPr>
                <w:color w:val="FF0000"/>
                <w:sz w:val="24"/>
              </w:rPr>
            </w:pPr>
          </w:p>
          <w:p>
            <w:pPr>
              <w:rPr>
                <w:color w:val="FF0000"/>
                <w:sz w:val="24"/>
              </w:rPr>
            </w:pPr>
          </w:p>
          <w:p>
            <w:pPr>
              <w:rPr>
                <w:color w:val="FF0000"/>
                <w:sz w:val="24"/>
              </w:rPr>
            </w:pPr>
          </w:p>
          <w:p>
            <w:pPr>
              <w:rPr>
                <w:color w:val="FF0000"/>
                <w:sz w:val="24"/>
              </w:rPr>
            </w:pPr>
          </w:p>
          <w:p>
            <w:pPr>
              <w:rPr>
                <w:color w:val="FF0000"/>
                <w:sz w:val="24"/>
              </w:rPr>
            </w:pPr>
          </w:p>
          <w:p>
            <w:pPr>
              <w:rPr>
                <w:color w:val="FF0000"/>
                <w:sz w:val="24"/>
              </w:rPr>
            </w:pPr>
          </w:p>
          <w:p>
            <w:pPr>
              <w:rPr>
                <w:color w:val="FF0000"/>
                <w:sz w:val="24"/>
              </w:rPr>
            </w:pPr>
          </w:p>
          <w:p>
            <w:pPr>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pStyle w:val="2"/>
              <w:ind w:firstLine="461"/>
              <w:rPr>
                <w:color w:val="FF0000"/>
                <w:sz w:val="24"/>
              </w:rPr>
            </w:pPr>
          </w:p>
          <w:p>
            <w:pPr>
              <w:ind w:firstLine="6360" w:firstLineChars="2650"/>
              <w:rPr>
                <w:sz w:val="24"/>
              </w:rPr>
            </w:pPr>
            <w:r>
              <w:rPr>
                <w:sz w:val="24"/>
              </w:rPr>
              <w:t>公    章</w:t>
            </w:r>
          </w:p>
          <w:p>
            <w:pPr>
              <w:ind w:firstLine="6184" w:firstLineChars="2577"/>
              <w:rPr>
                <w:sz w:val="24"/>
              </w:rPr>
            </w:pPr>
          </w:p>
          <w:p>
            <w:pPr>
              <w:ind w:firstLine="5707" w:firstLineChars="2378"/>
              <w:rPr>
                <w:sz w:val="24"/>
              </w:rPr>
            </w:pPr>
          </w:p>
          <w:p>
            <w:pPr>
              <w:ind w:firstLine="240" w:firstLineChars="100"/>
              <w:rPr>
                <w:color w:val="FF0000"/>
                <w:sz w:val="24"/>
              </w:rPr>
            </w:pPr>
            <w:r>
              <w:rPr>
                <w:sz w:val="24"/>
              </w:rPr>
              <w:t>经办人：                                          年     月     日</w:t>
            </w:r>
          </w:p>
          <w:p>
            <w:pPr>
              <w:pStyle w:val="2"/>
              <w:ind w:firstLine="461"/>
              <w:rPr>
                <w:color w:val="FF0000"/>
                <w:sz w:val="24"/>
              </w:rPr>
            </w:pPr>
          </w:p>
          <w:p>
            <w:pPr>
              <w:pStyle w:val="2"/>
              <w:ind w:firstLine="461"/>
              <w:rPr>
                <w:color w:val="FF0000"/>
                <w:sz w:val="24"/>
              </w:rPr>
            </w:pPr>
          </w:p>
          <w:p>
            <w:pPr>
              <w:adjustRightInd w:val="0"/>
              <w:snapToGrid w:val="0"/>
              <w:spacing w:line="440" w:lineRule="exact"/>
              <w:jc w:val="center"/>
              <w:rPr>
                <w:bCs/>
                <w:sz w:val="24"/>
              </w:rPr>
            </w:pPr>
          </w:p>
          <w:p>
            <w:pPr>
              <w:adjustRightInd w:val="0"/>
              <w:snapToGrid w:val="0"/>
              <w:spacing w:line="440" w:lineRule="exact"/>
              <w:ind w:left="239" w:leftChars="114" w:firstLine="3736" w:firstLineChars="1557"/>
              <w:rPr>
                <w:bCs/>
                <w:sz w:val="24"/>
              </w:rPr>
            </w:pPr>
          </w:p>
          <w:p>
            <w:pPr>
              <w:adjustRightInd w:val="0"/>
              <w:snapToGrid w:val="0"/>
              <w:spacing w:line="440" w:lineRule="exact"/>
              <w:ind w:left="239" w:leftChars="114" w:firstLine="3736" w:firstLineChars="1557"/>
              <w:rPr>
                <w:bCs/>
                <w:sz w:val="24"/>
              </w:rPr>
            </w:pPr>
            <w:r>
              <w:rPr>
                <w:bCs/>
                <w:sz w:val="24"/>
              </w:rPr>
              <w:t>注     释</w:t>
            </w:r>
          </w:p>
          <w:p>
            <w:pPr>
              <w:adjustRightInd w:val="0"/>
              <w:snapToGrid w:val="0"/>
              <w:spacing w:line="440" w:lineRule="exact"/>
              <w:ind w:firstLine="240" w:firstLineChars="100"/>
              <w:rPr>
                <w:bCs/>
                <w:sz w:val="24"/>
              </w:rPr>
            </w:pPr>
          </w:p>
          <w:p>
            <w:pPr>
              <w:adjustRightInd w:val="0"/>
              <w:snapToGrid w:val="0"/>
              <w:spacing w:line="440" w:lineRule="exact"/>
              <w:ind w:firstLine="240" w:firstLineChars="100"/>
              <w:rPr>
                <w:bCs/>
                <w:sz w:val="24"/>
              </w:rPr>
            </w:pPr>
            <w:r>
              <w:rPr>
                <w:bCs/>
                <w:sz w:val="24"/>
              </w:rPr>
              <w:t xml:space="preserve">  一、本报告表应附以下附件、附图：</w:t>
            </w:r>
          </w:p>
          <w:p>
            <w:pPr>
              <w:adjustRightInd w:val="0"/>
              <w:snapToGrid w:val="0"/>
              <w:spacing w:line="440" w:lineRule="exact"/>
              <w:ind w:firstLine="256" w:firstLineChars="107"/>
              <w:rPr>
                <w:bCs/>
                <w:sz w:val="24"/>
              </w:rPr>
            </w:pPr>
            <w:r>
              <w:rPr>
                <w:bCs/>
                <w:sz w:val="24"/>
              </w:rPr>
              <w:t>附件1  委托书</w:t>
            </w:r>
          </w:p>
          <w:p>
            <w:pPr>
              <w:adjustRightInd w:val="0"/>
              <w:snapToGrid w:val="0"/>
              <w:spacing w:line="440" w:lineRule="exact"/>
              <w:ind w:firstLine="256" w:firstLineChars="107"/>
              <w:rPr>
                <w:bCs/>
                <w:sz w:val="24"/>
              </w:rPr>
            </w:pPr>
            <w:r>
              <w:rPr>
                <w:bCs/>
                <w:sz w:val="24"/>
              </w:rPr>
              <w:t>附件2  发改委备案</w:t>
            </w:r>
          </w:p>
          <w:p>
            <w:pPr>
              <w:adjustRightInd w:val="0"/>
              <w:snapToGrid w:val="0"/>
              <w:spacing w:line="440" w:lineRule="exact"/>
              <w:ind w:firstLine="256" w:firstLineChars="107"/>
              <w:rPr>
                <w:bCs/>
                <w:sz w:val="24"/>
              </w:rPr>
            </w:pPr>
            <w:r>
              <w:rPr>
                <w:bCs/>
                <w:sz w:val="24"/>
              </w:rPr>
              <w:t xml:space="preserve">附件3  </w:t>
            </w:r>
            <w:r>
              <w:rPr>
                <w:rFonts w:hint="eastAsia"/>
                <w:bCs/>
                <w:sz w:val="24"/>
              </w:rPr>
              <w:t>规划证明</w:t>
            </w:r>
          </w:p>
          <w:p>
            <w:pPr>
              <w:adjustRightInd w:val="0"/>
              <w:snapToGrid w:val="0"/>
              <w:spacing w:line="440" w:lineRule="exact"/>
              <w:ind w:firstLine="256" w:firstLineChars="107"/>
              <w:rPr>
                <w:bCs/>
                <w:sz w:val="24"/>
              </w:rPr>
            </w:pPr>
            <w:r>
              <w:rPr>
                <w:rFonts w:hint="eastAsia"/>
                <w:bCs/>
                <w:sz w:val="24"/>
              </w:rPr>
              <w:t>附件4  厂房租赁合同</w:t>
            </w:r>
          </w:p>
          <w:p>
            <w:pPr>
              <w:adjustRightInd w:val="0"/>
              <w:snapToGrid w:val="0"/>
              <w:spacing w:line="440" w:lineRule="exact"/>
              <w:ind w:firstLine="256" w:firstLineChars="107"/>
              <w:rPr>
                <w:bCs/>
                <w:sz w:val="24"/>
              </w:rPr>
            </w:pPr>
            <w:r>
              <w:rPr>
                <w:bCs/>
                <w:sz w:val="24"/>
              </w:rPr>
              <w:t>附图</w:t>
            </w:r>
            <w:r>
              <w:rPr>
                <w:rFonts w:hint="eastAsia"/>
                <w:bCs/>
                <w:sz w:val="24"/>
              </w:rPr>
              <w:t>1</w:t>
            </w:r>
            <w:r>
              <w:rPr>
                <w:bCs/>
                <w:sz w:val="24"/>
              </w:rPr>
              <w:t xml:space="preserve">  项目地理位置图</w:t>
            </w:r>
          </w:p>
          <w:p>
            <w:pPr>
              <w:adjustRightInd w:val="0"/>
              <w:snapToGrid w:val="0"/>
              <w:spacing w:line="440" w:lineRule="exact"/>
              <w:ind w:firstLine="256" w:firstLineChars="107"/>
              <w:rPr>
                <w:bCs/>
                <w:sz w:val="24"/>
              </w:rPr>
            </w:pPr>
            <w:r>
              <w:rPr>
                <w:bCs/>
                <w:sz w:val="24"/>
              </w:rPr>
              <w:t>附图</w:t>
            </w:r>
            <w:r>
              <w:rPr>
                <w:rFonts w:hint="eastAsia"/>
                <w:bCs/>
                <w:sz w:val="24"/>
              </w:rPr>
              <w:t>2  新乡县土地利用总体规划图</w:t>
            </w:r>
          </w:p>
          <w:p>
            <w:pPr>
              <w:adjustRightInd w:val="0"/>
              <w:snapToGrid w:val="0"/>
              <w:spacing w:line="440" w:lineRule="exact"/>
              <w:ind w:firstLine="256" w:firstLineChars="107"/>
              <w:rPr>
                <w:bCs/>
                <w:sz w:val="24"/>
              </w:rPr>
            </w:pPr>
            <w:r>
              <w:rPr>
                <w:bCs/>
                <w:sz w:val="24"/>
              </w:rPr>
              <w:t>附图</w:t>
            </w:r>
            <w:r>
              <w:rPr>
                <w:rFonts w:hint="eastAsia"/>
                <w:bCs/>
                <w:sz w:val="24"/>
              </w:rPr>
              <w:t>3  合河乡土地利用总体规划图</w:t>
            </w:r>
          </w:p>
          <w:p>
            <w:pPr>
              <w:adjustRightInd w:val="0"/>
              <w:snapToGrid w:val="0"/>
              <w:spacing w:line="440" w:lineRule="exact"/>
              <w:ind w:firstLine="256" w:firstLineChars="107"/>
              <w:rPr>
                <w:bCs/>
                <w:sz w:val="24"/>
              </w:rPr>
            </w:pPr>
            <w:r>
              <w:rPr>
                <w:bCs/>
                <w:sz w:val="24"/>
              </w:rPr>
              <w:t>附图</w:t>
            </w:r>
            <w:r>
              <w:rPr>
                <w:rFonts w:hint="eastAsia"/>
                <w:bCs/>
                <w:sz w:val="24"/>
              </w:rPr>
              <w:t>4</w:t>
            </w:r>
            <w:r>
              <w:rPr>
                <w:bCs/>
                <w:sz w:val="24"/>
              </w:rPr>
              <w:t xml:space="preserve">  项目</w:t>
            </w:r>
            <w:r>
              <w:rPr>
                <w:rFonts w:hint="eastAsia"/>
                <w:bCs/>
                <w:sz w:val="24"/>
              </w:rPr>
              <w:t>周边环境敏感点示意图</w:t>
            </w:r>
          </w:p>
          <w:p>
            <w:pPr>
              <w:adjustRightInd w:val="0"/>
              <w:snapToGrid w:val="0"/>
              <w:spacing w:line="440" w:lineRule="exact"/>
              <w:ind w:firstLine="256" w:firstLineChars="107"/>
              <w:rPr>
                <w:bCs/>
                <w:sz w:val="24"/>
              </w:rPr>
            </w:pPr>
            <w:r>
              <w:rPr>
                <w:bCs/>
                <w:sz w:val="24"/>
              </w:rPr>
              <w:t>附图</w:t>
            </w:r>
            <w:r>
              <w:rPr>
                <w:rFonts w:hint="eastAsia"/>
                <w:bCs/>
                <w:sz w:val="24"/>
              </w:rPr>
              <w:t>5  项目厂区平面图</w:t>
            </w:r>
          </w:p>
          <w:p>
            <w:pPr>
              <w:pStyle w:val="40"/>
            </w:pPr>
          </w:p>
          <w:p>
            <w:pPr>
              <w:adjustRightInd w:val="0"/>
              <w:snapToGrid w:val="0"/>
              <w:spacing w:line="440" w:lineRule="exact"/>
              <w:rPr>
                <w:bCs/>
                <w:sz w:val="24"/>
              </w:rPr>
            </w:pPr>
            <w:r>
              <w:rPr>
                <w:bCs/>
                <w:sz w:val="24"/>
              </w:rPr>
              <w:t>二、如果本报告表不能说明项目产生的污染及对环境造成的影响，应进行专项评价。根据建设项目的特点和当地环境特征，应选下列1～2项进行专项评价。</w:t>
            </w:r>
          </w:p>
          <w:p>
            <w:pPr>
              <w:adjustRightInd w:val="0"/>
              <w:snapToGrid w:val="0"/>
              <w:spacing w:line="440" w:lineRule="exact"/>
              <w:ind w:firstLine="540"/>
              <w:rPr>
                <w:bCs/>
                <w:sz w:val="24"/>
              </w:rPr>
            </w:pPr>
            <w:r>
              <w:rPr>
                <w:bCs/>
                <w:sz w:val="24"/>
              </w:rPr>
              <w:t>1、大气环境影响专项评价</w:t>
            </w:r>
          </w:p>
          <w:p>
            <w:pPr>
              <w:adjustRightInd w:val="0"/>
              <w:snapToGrid w:val="0"/>
              <w:spacing w:line="440" w:lineRule="exact"/>
              <w:ind w:firstLine="540"/>
              <w:rPr>
                <w:bCs/>
                <w:sz w:val="24"/>
              </w:rPr>
            </w:pPr>
            <w:r>
              <w:rPr>
                <w:bCs/>
                <w:sz w:val="24"/>
              </w:rPr>
              <w:t>2、水环境影响专项评价（包括地表水和地下水）</w:t>
            </w:r>
          </w:p>
          <w:p>
            <w:pPr>
              <w:adjustRightInd w:val="0"/>
              <w:snapToGrid w:val="0"/>
              <w:spacing w:line="440" w:lineRule="exact"/>
              <w:ind w:firstLine="540"/>
              <w:rPr>
                <w:bCs/>
                <w:sz w:val="24"/>
              </w:rPr>
            </w:pPr>
            <w:r>
              <w:rPr>
                <w:bCs/>
                <w:sz w:val="24"/>
              </w:rPr>
              <w:t>3、生态影响专项评价</w:t>
            </w:r>
          </w:p>
          <w:p>
            <w:pPr>
              <w:adjustRightInd w:val="0"/>
              <w:snapToGrid w:val="0"/>
              <w:spacing w:line="440" w:lineRule="exact"/>
              <w:ind w:firstLine="540"/>
              <w:rPr>
                <w:bCs/>
                <w:sz w:val="24"/>
              </w:rPr>
            </w:pPr>
            <w:r>
              <w:rPr>
                <w:bCs/>
                <w:sz w:val="24"/>
              </w:rPr>
              <w:t>4、声环境专项评价</w:t>
            </w:r>
          </w:p>
          <w:p>
            <w:pPr>
              <w:adjustRightInd w:val="0"/>
              <w:snapToGrid w:val="0"/>
              <w:spacing w:line="440" w:lineRule="exact"/>
              <w:ind w:firstLine="540"/>
              <w:rPr>
                <w:bCs/>
                <w:sz w:val="24"/>
              </w:rPr>
            </w:pPr>
            <w:r>
              <w:rPr>
                <w:bCs/>
                <w:sz w:val="24"/>
              </w:rPr>
              <w:t>5、土壤影响专项评价</w:t>
            </w:r>
          </w:p>
          <w:p>
            <w:pPr>
              <w:adjustRightInd w:val="0"/>
              <w:snapToGrid w:val="0"/>
              <w:spacing w:line="440" w:lineRule="exact"/>
              <w:ind w:firstLine="540"/>
              <w:rPr>
                <w:bCs/>
                <w:sz w:val="24"/>
              </w:rPr>
            </w:pPr>
            <w:r>
              <w:rPr>
                <w:bCs/>
                <w:sz w:val="24"/>
              </w:rPr>
              <w:t>6、固定废物影响专项评价</w:t>
            </w:r>
          </w:p>
          <w:p>
            <w:pPr>
              <w:pStyle w:val="2"/>
              <w:spacing w:after="0" w:line="440" w:lineRule="exact"/>
              <w:ind w:left="0" w:leftChars="0" w:firstLine="461"/>
              <w:rPr>
                <w:sz w:val="24"/>
              </w:rPr>
            </w:pPr>
            <w:r>
              <w:rPr>
                <w:bCs/>
                <w:sz w:val="24"/>
              </w:rPr>
              <w:t>以上专项评价未包括的可另列专项，专项评价按照《环境影响评价技术导则》中的要求进行。</w:t>
            </w:r>
          </w:p>
          <w:p>
            <w:pPr>
              <w:rPr>
                <w:sz w:val="24"/>
              </w:rPr>
            </w:pPr>
          </w:p>
          <w:p>
            <w:pPr>
              <w:pStyle w:val="40"/>
              <w:rPr>
                <w:sz w:val="24"/>
              </w:rPr>
            </w:pPr>
          </w:p>
          <w:p>
            <w:pPr>
              <w:pStyle w:val="45"/>
              <w:ind w:firstLine="480"/>
              <w:rPr>
                <w:rFonts w:ascii="Times New Roman" w:hAnsi="Times New Roman"/>
                <w:sz w:val="24"/>
              </w:rPr>
            </w:pPr>
          </w:p>
          <w:p>
            <w:pPr>
              <w:pStyle w:val="45"/>
              <w:ind w:firstLine="480"/>
              <w:rPr>
                <w:rFonts w:ascii="Times New Roman" w:hAnsi="Times New Roman"/>
                <w:sz w:val="24"/>
              </w:rPr>
            </w:pPr>
          </w:p>
          <w:p>
            <w:pPr>
              <w:pStyle w:val="45"/>
              <w:ind w:firstLine="480"/>
              <w:rPr>
                <w:rFonts w:ascii="Times New Roman" w:hAnsi="Times New Roman"/>
                <w:sz w:val="24"/>
              </w:rPr>
            </w:pPr>
          </w:p>
          <w:p>
            <w:pPr>
              <w:pStyle w:val="45"/>
              <w:ind w:firstLine="480"/>
              <w:rPr>
                <w:rFonts w:ascii="Times New Roman" w:hAnsi="Times New Roman"/>
                <w:sz w:val="24"/>
              </w:rPr>
            </w:pPr>
          </w:p>
          <w:p>
            <w:pPr>
              <w:pStyle w:val="45"/>
              <w:ind w:firstLine="480"/>
              <w:rPr>
                <w:rFonts w:ascii="Times New Roman" w:hAnsi="Times New Roman"/>
                <w:sz w:val="24"/>
              </w:rPr>
            </w:pPr>
          </w:p>
          <w:p>
            <w:pPr>
              <w:pStyle w:val="45"/>
              <w:ind w:firstLine="480"/>
              <w:rPr>
                <w:rFonts w:ascii="Times New Roman" w:hAnsi="Times New Roman"/>
                <w:sz w:val="24"/>
              </w:rPr>
            </w:pPr>
          </w:p>
          <w:p>
            <w:pPr>
              <w:pStyle w:val="45"/>
              <w:ind w:firstLine="480"/>
              <w:rPr>
                <w:rFonts w:ascii="Times New Roman" w:hAnsi="Times New Roman"/>
                <w:sz w:val="24"/>
              </w:rPr>
            </w:pPr>
          </w:p>
          <w:p>
            <w:pPr>
              <w:rPr>
                <w:color w:val="FF0000"/>
                <w:sz w:val="24"/>
              </w:rPr>
            </w:pPr>
          </w:p>
        </w:tc>
      </w:tr>
    </w:tbl>
    <w:p>
      <w:pPr>
        <w:spacing w:line="20" w:lineRule="exact"/>
      </w:pPr>
      <w:r>
        <w:drawing>
          <wp:inline distT="0" distB="0" distL="114300" distR="114300">
            <wp:extent cx="5286375" cy="7372350"/>
            <wp:effectExtent l="0" t="0" r="9525" b="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9"/>
                    <a:stretch>
                      <a:fillRect/>
                    </a:stretch>
                  </pic:blipFill>
                  <pic:spPr>
                    <a:xfrm>
                      <a:off x="0" y="0"/>
                      <a:ext cx="5286375" cy="7372350"/>
                    </a:xfrm>
                    <a:prstGeom prst="rect">
                      <a:avLst/>
                    </a:prstGeom>
                    <a:noFill/>
                    <a:ln>
                      <a:noFill/>
                    </a:ln>
                  </pic:spPr>
                </pic:pic>
              </a:graphicData>
            </a:graphic>
          </wp:inline>
        </w:drawing>
      </w: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spacing w:line="20" w:lineRule="exact"/>
      </w:pPr>
    </w:p>
    <w:p>
      <w:pPr>
        <w:keepNext w:val="0"/>
        <w:keepLines w:val="0"/>
        <w:pageBreakBefore w:val="0"/>
        <w:widowControl w:val="0"/>
        <w:kinsoku/>
        <w:wordWrap/>
        <w:overflowPunct/>
        <w:topLinePunct w:val="0"/>
        <w:autoSpaceDE/>
        <w:autoSpaceDN/>
        <w:bidi w:val="0"/>
        <w:adjustRightInd/>
        <w:snapToGrid/>
        <w:spacing w:line="240" w:lineRule="auto"/>
        <w:textAlignment w:val="auto"/>
      </w:pPr>
      <w:r>
        <w:drawing>
          <wp:inline distT="0" distB="0" distL="114300" distR="114300">
            <wp:extent cx="6071235" cy="8467090"/>
            <wp:effectExtent l="0" t="0" r="5715" b="1016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9"/>
                    <a:stretch>
                      <a:fillRect/>
                    </a:stretch>
                  </pic:blipFill>
                  <pic:spPr>
                    <a:xfrm>
                      <a:off x="0" y="0"/>
                      <a:ext cx="6071235" cy="8467090"/>
                    </a:xfrm>
                    <a:prstGeom prst="rect">
                      <a:avLst/>
                    </a:prstGeom>
                    <a:noFill/>
                    <a:ln>
                      <a:noFill/>
                    </a:ln>
                  </pic:spPr>
                </pic:pic>
              </a:graphicData>
            </a:graphic>
          </wp:inline>
        </w:drawing>
      </w:r>
    </w:p>
    <w:p>
      <w:pPr>
        <w:pStyle w:val="2"/>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drawing>
          <wp:inline distT="0" distB="0" distL="114300" distR="114300">
            <wp:extent cx="6148070" cy="8486140"/>
            <wp:effectExtent l="0" t="0" r="5080" b="1016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0"/>
                    <a:stretch>
                      <a:fillRect/>
                    </a:stretch>
                  </pic:blipFill>
                  <pic:spPr>
                    <a:xfrm>
                      <a:off x="0" y="0"/>
                      <a:ext cx="6148070" cy="848614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pPr>
      <w:r>
        <w:rPr>
          <w:rFonts w:hint="eastAsia" w:eastAsia="宋体"/>
          <w:lang w:eastAsia="zh-CN"/>
        </w:rPr>
        <w:drawing>
          <wp:inline distT="0" distB="0" distL="114300" distR="114300">
            <wp:extent cx="6098540" cy="8600440"/>
            <wp:effectExtent l="0" t="0" r="16510" b="10160"/>
            <wp:docPr id="16" name="图片 16" descr="15991194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599119497(1)"/>
                    <pic:cNvPicPr>
                      <a:picLocks noChangeAspect="1"/>
                    </pic:cNvPicPr>
                  </pic:nvPicPr>
                  <pic:blipFill>
                    <a:blip r:embed="rId21"/>
                    <a:stretch>
                      <a:fillRect/>
                    </a:stretch>
                  </pic:blipFill>
                  <pic:spPr>
                    <a:xfrm>
                      <a:off x="0" y="0"/>
                      <a:ext cx="6098540" cy="8600440"/>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drawing>
          <wp:inline distT="0" distB="0" distL="114300" distR="114300">
            <wp:extent cx="6229350" cy="8676640"/>
            <wp:effectExtent l="0" t="0" r="0" b="1016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2"/>
                    <a:stretch>
                      <a:fillRect/>
                    </a:stretch>
                  </pic:blipFill>
                  <pic:spPr>
                    <a:xfrm>
                      <a:off x="0" y="0"/>
                      <a:ext cx="6229350" cy="867664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lang w:eastAsia="zh-CN"/>
        </w:rPr>
      </w:pPr>
      <w:r>
        <w:drawing>
          <wp:inline distT="0" distB="0" distL="114300" distR="114300">
            <wp:extent cx="6369685" cy="8943975"/>
            <wp:effectExtent l="0" t="0" r="12065" b="952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3"/>
                    <a:stretch>
                      <a:fillRect/>
                    </a:stretch>
                  </pic:blipFill>
                  <pic:spPr>
                    <a:xfrm>
                      <a:off x="0" y="0"/>
                      <a:ext cx="6369685" cy="8943975"/>
                    </a:xfrm>
                    <a:prstGeom prst="rect">
                      <a:avLst/>
                    </a:prstGeom>
                    <a:noFill/>
                    <a:ln>
                      <a:noFill/>
                    </a:ln>
                  </pic:spPr>
                </pic:pic>
              </a:graphicData>
            </a:graphic>
          </wp:inline>
        </w:drawing>
      </w:r>
    </w:p>
    <w:p>
      <w:pPr>
        <w:spacing w:line="20" w:lineRule="exact"/>
      </w:pPr>
    </w:p>
    <w:p>
      <w:pPr>
        <w:keepNext w:val="0"/>
        <w:keepLines w:val="0"/>
        <w:pageBreakBefore w:val="0"/>
        <w:widowControl w:val="0"/>
        <w:kinsoku/>
        <w:wordWrap/>
        <w:overflowPunct/>
        <w:topLinePunct w:val="0"/>
        <w:autoSpaceDE/>
        <w:autoSpaceDN/>
        <w:bidi w:val="0"/>
        <w:adjustRightInd/>
        <w:snapToGrid/>
        <w:spacing w:line="240" w:lineRule="auto"/>
        <w:textAlignment w:val="auto"/>
      </w:pPr>
      <w:r>
        <w:drawing>
          <wp:inline distT="0" distB="0" distL="114300" distR="114300">
            <wp:extent cx="6224270" cy="8829040"/>
            <wp:effectExtent l="0" t="0" r="5080" b="1016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24"/>
                    <a:stretch>
                      <a:fillRect/>
                    </a:stretch>
                  </pic:blipFill>
                  <pic:spPr>
                    <a:xfrm>
                      <a:off x="0" y="0"/>
                      <a:ext cx="6224270" cy="882904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drawing>
          <wp:inline distT="0" distB="0" distL="114300" distR="114300">
            <wp:extent cx="5895975" cy="8745855"/>
            <wp:effectExtent l="0" t="0" r="9525" b="1714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25"/>
                    <a:stretch>
                      <a:fillRect/>
                    </a:stretch>
                  </pic:blipFill>
                  <pic:spPr>
                    <a:xfrm>
                      <a:off x="0" y="0"/>
                      <a:ext cx="5895975" cy="8745855"/>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pPr>
      <w:r>
        <w:rPr>
          <w:rFonts w:hint="eastAsia" w:eastAsia="宋体"/>
          <w:lang w:eastAsia="zh-CN"/>
        </w:rPr>
        <w:drawing>
          <wp:inline distT="0" distB="0" distL="114300" distR="114300">
            <wp:extent cx="6038215" cy="8020050"/>
            <wp:effectExtent l="0" t="0" r="635" b="0"/>
            <wp:docPr id="21" name="图片 21" descr="1599120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599120318(1)"/>
                    <pic:cNvPicPr>
                      <a:picLocks noChangeAspect="1"/>
                    </pic:cNvPicPr>
                  </pic:nvPicPr>
                  <pic:blipFill>
                    <a:blip r:embed="rId26"/>
                    <a:stretch>
                      <a:fillRect/>
                    </a:stretch>
                  </pic:blipFill>
                  <pic:spPr>
                    <a:xfrm>
                      <a:off x="0" y="0"/>
                      <a:ext cx="6038215" cy="8020050"/>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pPr>
      <w:r>
        <w:rPr>
          <w:rFonts w:hint="eastAsia" w:eastAsia="宋体"/>
          <w:lang w:eastAsia="zh-CN"/>
        </w:rPr>
        <w:drawing>
          <wp:inline distT="0" distB="0" distL="114300" distR="114300">
            <wp:extent cx="5823585" cy="8168640"/>
            <wp:effectExtent l="0" t="0" r="5715" b="3810"/>
            <wp:docPr id="22" name="图片 22" descr="1599120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599120397(1)"/>
                    <pic:cNvPicPr>
                      <a:picLocks noChangeAspect="1"/>
                    </pic:cNvPicPr>
                  </pic:nvPicPr>
                  <pic:blipFill>
                    <a:blip r:embed="rId27"/>
                    <a:stretch>
                      <a:fillRect/>
                    </a:stretch>
                  </pic:blipFill>
                  <pic:spPr>
                    <a:xfrm>
                      <a:off x="0" y="0"/>
                      <a:ext cx="5823585" cy="8168640"/>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宋体"/>
          <w:lang w:eastAsia="zh-CN"/>
        </w:rPr>
        <w:sectPr>
          <w:pgSz w:w="11906" w:h="16838"/>
          <w:pgMar w:top="1134" w:right="1417" w:bottom="1134" w:left="1417" w:header="851" w:footer="992" w:gutter="0"/>
          <w:cols w:space="0" w:num="1"/>
          <w:rtlGutter w:val="0"/>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sectPr>
          <w:pgSz w:w="16838" w:h="11906" w:orient="landscape"/>
          <w:pgMar w:top="1417" w:right="1134" w:bottom="1417" w:left="1134" w:header="851" w:footer="992" w:gutter="0"/>
          <w:cols w:space="0" w:num="1"/>
          <w:rtlGutter w:val="0"/>
          <w:docGrid w:type="lines" w:linePitch="312" w:charSpace="0"/>
        </w:sectPr>
      </w:pPr>
      <w:r>
        <w:drawing>
          <wp:inline distT="0" distB="0" distL="114300" distR="114300">
            <wp:extent cx="8420735" cy="5501640"/>
            <wp:effectExtent l="0" t="0" r="18415" b="3810"/>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28"/>
                    <a:stretch>
                      <a:fillRect/>
                    </a:stretch>
                  </pic:blipFill>
                  <pic:spPr>
                    <a:xfrm>
                      <a:off x="0" y="0"/>
                      <a:ext cx="8420735" cy="550164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r>
        <w:drawing>
          <wp:inline distT="0" distB="0" distL="114300" distR="114300">
            <wp:extent cx="5890895" cy="5933440"/>
            <wp:effectExtent l="0" t="0" r="14605" b="10160"/>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29"/>
                    <a:stretch>
                      <a:fillRect/>
                    </a:stretch>
                  </pic:blipFill>
                  <pic:spPr>
                    <a:xfrm>
                      <a:off x="0" y="0"/>
                      <a:ext cx="5890895" cy="593344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5676900" cy="8402320"/>
            <wp:effectExtent l="0" t="0" r="0" b="17780"/>
            <wp:docPr id="25" name="图片 25" descr="1599120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599120599(1)"/>
                    <pic:cNvPicPr>
                      <a:picLocks noChangeAspect="1"/>
                    </pic:cNvPicPr>
                  </pic:nvPicPr>
                  <pic:blipFill>
                    <a:blip r:embed="rId30"/>
                    <a:stretch>
                      <a:fillRect/>
                    </a:stretch>
                  </pic:blipFill>
                  <pic:spPr>
                    <a:xfrm>
                      <a:off x="0" y="0"/>
                      <a:ext cx="5676900" cy="8402320"/>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lang w:eastAsia="zh-CN"/>
        </w:r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lang w:eastAsia="zh-CN"/>
        </w:r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6144895" cy="7295515"/>
            <wp:effectExtent l="0" t="0" r="8255" b="635"/>
            <wp:docPr id="26" name="图片 26" descr="1599120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599120712(1)"/>
                    <pic:cNvPicPr>
                      <a:picLocks noChangeAspect="1"/>
                    </pic:cNvPicPr>
                  </pic:nvPicPr>
                  <pic:blipFill>
                    <a:blip r:embed="rId31"/>
                    <a:stretch>
                      <a:fillRect/>
                    </a:stretch>
                  </pic:blipFill>
                  <pic:spPr>
                    <a:xfrm>
                      <a:off x="0" y="0"/>
                      <a:ext cx="6144895" cy="7295515"/>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lang w:eastAsia="zh-CN"/>
        </w:r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lang w:eastAsia="zh-CN"/>
        </w:rPr>
        <w:sectPr>
          <w:pgSz w:w="11906" w:h="16838"/>
          <w:pgMar w:top="1134" w:right="1417" w:bottom="1134" w:left="1417" w:header="851" w:footer="992" w:gutter="0"/>
          <w:cols w:space="0" w:num="1"/>
          <w:rtlGutter w:val="0"/>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lang w:eastAsia="zh-CN"/>
        </w:rPr>
      </w:pPr>
      <w:r>
        <w:drawing>
          <wp:inline distT="0" distB="0" distL="114300" distR="114300">
            <wp:extent cx="9246870" cy="5925820"/>
            <wp:effectExtent l="0" t="0" r="11430" b="17780"/>
            <wp:docPr id="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2"/>
                    <pic:cNvPicPr>
                      <a:picLocks noChangeAspect="1"/>
                    </pic:cNvPicPr>
                  </pic:nvPicPr>
                  <pic:blipFill>
                    <a:blip r:embed="rId32"/>
                    <a:stretch>
                      <a:fillRect/>
                    </a:stretch>
                  </pic:blipFill>
                  <pic:spPr>
                    <a:xfrm>
                      <a:off x="0" y="0"/>
                      <a:ext cx="9246870" cy="5925820"/>
                    </a:xfrm>
                    <a:prstGeom prst="rect">
                      <a:avLst/>
                    </a:prstGeom>
                    <a:noFill/>
                    <a:ln>
                      <a:noFill/>
                    </a:ln>
                  </pic:spPr>
                </pic:pic>
              </a:graphicData>
            </a:graphic>
          </wp:inline>
        </w:drawing>
      </w:r>
    </w:p>
    <w:sectPr>
      <w:pgSz w:w="16838" w:h="11906" w:orient="landscape"/>
      <w:pgMar w:top="1417" w:right="1134" w:bottom="1417"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erif">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rPr>
        <w:rStyle w:val="28"/>
      </w:rPr>
    </w:pPr>
    <w:r>
      <w:rPr>
        <w:sz w:val="24"/>
      </w:rPr>
      <w:fldChar w:fldCharType="begin"/>
    </w:r>
    <w:r>
      <w:rPr>
        <w:rStyle w:val="28"/>
      </w:rPr>
      <w:instrText xml:space="preserve">PAGE  </w:instrText>
    </w:r>
    <w:r>
      <w:rPr>
        <w:sz w:val="24"/>
      </w:rPr>
      <w:fldChar w:fldCharType="separate"/>
    </w:r>
    <w:r>
      <w:rPr>
        <w:rStyle w:val="28"/>
      </w:rPr>
      <w:t>37</w:t>
    </w:r>
    <w:r>
      <w:rPr>
        <w:sz w:val="24"/>
      </w:rPr>
      <w:fldChar w:fldCharType="end"/>
    </w:r>
  </w:p>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rPr>
        <w:rStyle w:val="28"/>
      </w:rPr>
    </w:pPr>
    <w:r>
      <w:fldChar w:fldCharType="begin"/>
    </w:r>
    <w:r>
      <w:rPr>
        <w:rStyle w:val="28"/>
      </w:rPr>
      <w:instrText xml:space="preserve">PAGE  </w:instrText>
    </w:r>
    <w:r>
      <w:fldChar w:fldCharType="end"/>
    </w:r>
  </w:p>
  <w:p>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F0B55F"/>
    <w:multiLevelType w:val="singleLevel"/>
    <w:tmpl w:val="83F0B55F"/>
    <w:lvl w:ilvl="0" w:tentative="0">
      <w:start w:val="5"/>
      <w:numFmt w:val="decimal"/>
      <w:suff w:val="nothing"/>
      <w:lvlText w:val="%1、"/>
      <w:lvlJc w:val="left"/>
    </w:lvl>
  </w:abstractNum>
  <w:abstractNum w:abstractNumId="1">
    <w:nsid w:val="7446A6EA"/>
    <w:multiLevelType w:val="singleLevel"/>
    <w:tmpl w:val="7446A6EA"/>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1353D"/>
    <w:rsid w:val="00000500"/>
    <w:rsid w:val="000008B8"/>
    <w:rsid w:val="000011FF"/>
    <w:rsid w:val="000013F0"/>
    <w:rsid w:val="000014FB"/>
    <w:rsid w:val="0000195A"/>
    <w:rsid w:val="00001B52"/>
    <w:rsid w:val="00002012"/>
    <w:rsid w:val="00002388"/>
    <w:rsid w:val="000025BC"/>
    <w:rsid w:val="0000274E"/>
    <w:rsid w:val="00002A60"/>
    <w:rsid w:val="00002B5D"/>
    <w:rsid w:val="00002C34"/>
    <w:rsid w:val="00002DED"/>
    <w:rsid w:val="00002F0B"/>
    <w:rsid w:val="0000332A"/>
    <w:rsid w:val="0000358D"/>
    <w:rsid w:val="0000388D"/>
    <w:rsid w:val="00003AED"/>
    <w:rsid w:val="00003E57"/>
    <w:rsid w:val="00003F99"/>
    <w:rsid w:val="0000433C"/>
    <w:rsid w:val="0000450B"/>
    <w:rsid w:val="000046AA"/>
    <w:rsid w:val="000054A2"/>
    <w:rsid w:val="00006466"/>
    <w:rsid w:val="000064AE"/>
    <w:rsid w:val="00006AF8"/>
    <w:rsid w:val="0000718F"/>
    <w:rsid w:val="000071BB"/>
    <w:rsid w:val="00007299"/>
    <w:rsid w:val="0000764F"/>
    <w:rsid w:val="00007686"/>
    <w:rsid w:val="00007DA8"/>
    <w:rsid w:val="00010B39"/>
    <w:rsid w:val="00010D40"/>
    <w:rsid w:val="00010FF2"/>
    <w:rsid w:val="0001132D"/>
    <w:rsid w:val="00011374"/>
    <w:rsid w:val="00011747"/>
    <w:rsid w:val="00011822"/>
    <w:rsid w:val="00011F31"/>
    <w:rsid w:val="000125E5"/>
    <w:rsid w:val="000126F8"/>
    <w:rsid w:val="00012899"/>
    <w:rsid w:val="00012A15"/>
    <w:rsid w:val="00012B5F"/>
    <w:rsid w:val="00013193"/>
    <w:rsid w:val="00013373"/>
    <w:rsid w:val="0001470F"/>
    <w:rsid w:val="00014799"/>
    <w:rsid w:val="0001498B"/>
    <w:rsid w:val="00014D2D"/>
    <w:rsid w:val="00014E10"/>
    <w:rsid w:val="0001509A"/>
    <w:rsid w:val="000152E8"/>
    <w:rsid w:val="000154A0"/>
    <w:rsid w:val="000154D0"/>
    <w:rsid w:val="00015654"/>
    <w:rsid w:val="00015AEC"/>
    <w:rsid w:val="00015B69"/>
    <w:rsid w:val="00016921"/>
    <w:rsid w:val="000169D4"/>
    <w:rsid w:val="00016E07"/>
    <w:rsid w:val="00016F2E"/>
    <w:rsid w:val="000176AC"/>
    <w:rsid w:val="000176B0"/>
    <w:rsid w:val="000177B9"/>
    <w:rsid w:val="00017824"/>
    <w:rsid w:val="00017849"/>
    <w:rsid w:val="00017CBE"/>
    <w:rsid w:val="00017FB4"/>
    <w:rsid w:val="000205C3"/>
    <w:rsid w:val="000207B0"/>
    <w:rsid w:val="0002097B"/>
    <w:rsid w:val="00021070"/>
    <w:rsid w:val="0002149F"/>
    <w:rsid w:val="000223D0"/>
    <w:rsid w:val="000228A7"/>
    <w:rsid w:val="00022B61"/>
    <w:rsid w:val="00022B6D"/>
    <w:rsid w:val="00022CB0"/>
    <w:rsid w:val="0002300B"/>
    <w:rsid w:val="00023A5E"/>
    <w:rsid w:val="00023C05"/>
    <w:rsid w:val="00023D24"/>
    <w:rsid w:val="00023D98"/>
    <w:rsid w:val="00024448"/>
    <w:rsid w:val="00024562"/>
    <w:rsid w:val="00024878"/>
    <w:rsid w:val="00024B72"/>
    <w:rsid w:val="00024B9C"/>
    <w:rsid w:val="000251EB"/>
    <w:rsid w:val="00025369"/>
    <w:rsid w:val="000255FD"/>
    <w:rsid w:val="00025D93"/>
    <w:rsid w:val="000264B8"/>
    <w:rsid w:val="0002696F"/>
    <w:rsid w:val="00026E83"/>
    <w:rsid w:val="00027003"/>
    <w:rsid w:val="00027635"/>
    <w:rsid w:val="000276FF"/>
    <w:rsid w:val="00027754"/>
    <w:rsid w:val="00027A83"/>
    <w:rsid w:val="00027AC7"/>
    <w:rsid w:val="00027D60"/>
    <w:rsid w:val="00027DF8"/>
    <w:rsid w:val="00027EA4"/>
    <w:rsid w:val="00027EFF"/>
    <w:rsid w:val="00027FF1"/>
    <w:rsid w:val="00030069"/>
    <w:rsid w:val="000305AC"/>
    <w:rsid w:val="000308E7"/>
    <w:rsid w:val="00030966"/>
    <w:rsid w:val="00030977"/>
    <w:rsid w:val="000309AE"/>
    <w:rsid w:val="00030BAF"/>
    <w:rsid w:val="00030C64"/>
    <w:rsid w:val="00030E67"/>
    <w:rsid w:val="00030F65"/>
    <w:rsid w:val="00031163"/>
    <w:rsid w:val="00031845"/>
    <w:rsid w:val="000318A4"/>
    <w:rsid w:val="00031F57"/>
    <w:rsid w:val="00031FC4"/>
    <w:rsid w:val="00032291"/>
    <w:rsid w:val="0003240D"/>
    <w:rsid w:val="00032A3D"/>
    <w:rsid w:val="00032E76"/>
    <w:rsid w:val="0003322B"/>
    <w:rsid w:val="00033513"/>
    <w:rsid w:val="00033638"/>
    <w:rsid w:val="0003379C"/>
    <w:rsid w:val="00033C40"/>
    <w:rsid w:val="00033F52"/>
    <w:rsid w:val="0003422F"/>
    <w:rsid w:val="00034610"/>
    <w:rsid w:val="00034641"/>
    <w:rsid w:val="000352AE"/>
    <w:rsid w:val="000356A1"/>
    <w:rsid w:val="0003590D"/>
    <w:rsid w:val="00035B84"/>
    <w:rsid w:val="00035C5E"/>
    <w:rsid w:val="0003653F"/>
    <w:rsid w:val="000367F0"/>
    <w:rsid w:val="000368C0"/>
    <w:rsid w:val="000368FE"/>
    <w:rsid w:val="00036A87"/>
    <w:rsid w:val="00036BA8"/>
    <w:rsid w:val="00036BC8"/>
    <w:rsid w:val="00036E41"/>
    <w:rsid w:val="000372BE"/>
    <w:rsid w:val="00037722"/>
    <w:rsid w:val="0003782A"/>
    <w:rsid w:val="00037869"/>
    <w:rsid w:val="00037BD3"/>
    <w:rsid w:val="00037C4F"/>
    <w:rsid w:val="00037D68"/>
    <w:rsid w:val="00037FAB"/>
    <w:rsid w:val="000401E3"/>
    <w:rsid w:val="00040489"/>
    <w:rsid w:val="00040E84"/>
    <w:rsid w:val="0004108A"/>
    <w:rsid w:val="000410B1"/>
    <w:rsid w:val="000417EF"/>
    <w:rsid w:val="00041D4D"/>
    <w:rsid w:val="00041D6B"/>
    <w:rsid w:val="00042536"/>
    <w:rsid w:val="000426C0"/>
    <w:rsid w:val="00042ED3"/>
    <w:rsid w:val="00043524"/>
    <w:rsid w:val="000439B4"/>
    <w:rsid w:val="00043E81"/>
    <w:rsid w:val="00044256"/>
    <w:rsid w:val="00044259"/>
    <w:rsid w:val="0004475B"/>
    <w:rsid w:val="00044C36"/>
    <w:rsid w:val="00045737"/>
    <w:rsid w:val="000457A5"/>
    <w:rsid w:val="000459AE"/>
    <w:rsid w:val="00045A40"/>
    <w:rsid w:val="00045CC8"/>
    <w:rsid w:val="0004628A"/>
    <w:rsid w:val="0004630F"/>
    <w:rsid w:val="0004665C"/>
    <w:rsid w:val="0004665D"/>
    <w:rsid w:val="000467AB"/>
    <w:rsid w:val="00046880"/>
    <w:rsid w:val="00046F3E"/>
    <w:rsid w:val="0004729B"/>
    <w:rsid w:val="000474AF"/>
    <w:rsid w:val="00047961"/>
    <w:rsid w:val="00047C2D"/>
    <w:rsid w:val="00050150"/>
    <w:rsid w:val="000505D4"/>
    <w:rsid w:val="00050682"/>
    <w:rsid w:val="00050B71"/>
    <w:rsid w:val="00050D37"/>
    <w:rsid w:val="00051107"/>
    <w:rsid w:val="000516CF"/>
    <w:rsid w:val="000519DE"/>
    <w:rsid w:val="00051C4E"/>
    <w:rsid w:val="000521E8"/>
    <w:rsid w:val="000522D6"/>
    <w:rsid w:val="000523D4"/>
    <w:rsid w:val="00052621"/>
    <w:rsid w:val="00052814"/>
    <w:rsid w:val="0005298A"/>
    <w:rsid w:val="00052FB5"/>
    <w:rsid w:val="0005322E"/>
    <w:rsid w:val="00053337"/>
    <w:rsid w:val="0005395F"/>
    <w:rsid w:val="00053B80"/>
    <w:rsid w:val="00053E0A"/>
    <w:rsid w:val="00054003"/>
    <w:rsid w:val="00054099"/>
    <w:rsid w:val="00054223"/>
    <w:rsid w:val="0005447D"/>
    <w:rsid w:val="000547A7"/>
    <w:rsid w:val="00054A91"/>
    <w:rsid w:val="00054B30"/>
    <w:rsid w:val="0005505C"/>
    <w:rsid w:val="000551CA"/>
    <w:rsid w:val="0005527A"/>
    <w:rsid w:val="00055B5F"/>
    <w:rsid w:val="00055B91"/>
    <w:rsid w:val="00055B9E"/>
    <w:rsid w:val="00055CEF"/>
    <w:rsid w:val="00055DAC"/>
    <w:rsid w:val="00055E85"/>
    <w:rsid w:val="00055F07"/>
    <w:rsid w:val="00055F8E"/>
    <w:rsid w:val="00056111"/>
    <w:rsid w:val="00056477"/>
    <w:rsid w:val="00056BFD"/>
    <w:rsid w:val="00056C3F"/>
    <w:rsid w:val="00056D29"/>
    <w:rsid w:val="00056F74"/>
    <w:rsid w:val="00057580"/>
    <w:rsid w:val="00057678"/>
    <w:rsid w:val="00057B00"/>
    <w:rsid w:val="00060147"/>
    <w:rsid w:val="00060227"/>
    <w:rsid w:val="000607A5"/>
    <w:rsid w:val="00060914"/>
    <w:rsid w:val="0006092E"/>
    <w:rsid w:val="00060955"/>
    <w:rsid w:val="00061232"/>
    <w:rsid w:val="0006124A"/>
    <w:rsid w:val="000612E1"/>
    <w:rsid w:val="00061316"/>
    <w:rsid w:val="000619A2"/>
    <w:rsid w:val="00061BAF"/>
    <w:rsid w:val="00061BDE"/>
    <w:rsid w:val="00062138"/>
    <w:rsid w:val="00062276"/>
    <w:rsid w:val="00062341"/>
    <w:rsid w:val="000623C5"/>
    <w:rsid w:val="000626E5"/>
    <w:rsid w:val="000628FE"/>
    <w:rsid w:val="00062962"/>
    <w:rsid w:val="00062F53"/>
    <w:rsid w:val="000634A1"/>
    <w:rsid w:val="00063D98"/>
    <w:rsid w:val="00063F7E"/>
    <w:rsid w:val="000645D1"/>
    <w:rsid w:val="000647A3"/>
    <w:rsid w:val="0006493B"/>
    <w:rsid w:val="000649AE"/>
    <w:rsid w:val="00064B58"/>
    <w:rsid w:val="00064F17"/>
    <w:rsid w:val="00065371"/>
    <w:rsid w:val="000653E9"/>
    <w:rsid w:val="0006553A"/>
    <w:rsid w:val="0006556B"/>
    <w:rsid w:val="0006562E"/>
    <w:rsid w:val="00065935"/>
    <w:rsid w:val="0006605F"/>
    <w:rsid w:val="000661B3"/>
    <w:rsid w:val="00066390"/>
    <w:rsid w:val="000670B9"/>
    <w:rsid w:val="000678E5"/>
    <w:rsid w:val="00067A1F"/>
    <w:rsid w:val="00067D38"/>
    <w:rsid w:val="00067FCC"/>
    <w:rsid w:val="0007028B"/>
    <w:rsid w:val="0007068F"/>
    <w:rsid w:val="00070767"/>
    <w:rsid w:val="0007083E"/>
    <w:rsid w:val="00071005"/>
    <w:rsid w:val="0007109F"/>
    <w:rsid w:val="00071227"/>
    <w:rsid w:val="0007167D"/>
    <w:rsid w:val="0007174D"/>
    <w:rsid w:val="00071829"/>
    <w:rsid w:val="000719B9"/>
    <w:rsid w:val="00071B02"/>
    <w:rsid w:val="00072068"/>
    <w:rsid w:val="000723B1"/>
    <w:rsid w:val="00072553"/>
    <w:rsid w:val="00072EB3"/>
    <w:rsid w:val="0007303C"/>
    <w:rsid w:val="00073751"/>
    <w:rsid w:val="00073A2B"/>
    <w:rsid w:val="00073B73"/>
    <w:rsid w:val="00073FCD"/>
    <w:rsid w:val="00074413"/>
    <w:rsid w:val="00074A2E"/>
    <w:rsid w:val="00074D4D"/>
    <w:rsid w:val="000750FA"/>
    <w:rsid w:val="00075919"/>
    <w:rsid w:val="00075B8C"/>
    <w:rsid w:val="000760D7"/>
    <w:rsid w:val="000768B0"/>
    <w:rsid w:val="000768BE"/>
    <w:rsid w:val="000773DB"/>
    <w:rsid w:val="00077706"/>
    <w:rsid w:val="000778CE"/>
    <w:rsid w:val="0007797E"/>
    <w:rsid w:val="00077DF0"/>
    <w:rsid w:val="00077E44"/>
    <w:rsid w:val="00080491"/>
    <w:rsid w:val="000805B2"/>
    <w:rsid w:val="00080B51"/>
    <w:rsid w:val="0008122C"/>
    <w:rsid w:val="00081C3E"/>
    <w:rsid w:val="00081D27"/>
    <w:rsid w:val="00081FAF"/>
    <w:rsid w:val="0008201F"/>
    <w:rsid w:val="00082138"/>
    <w:rsid w:val="00082600"/>
    <w:rsid w:val="00082825"/>
    <w:rsid w:val="00082A4E"/>
    <w:rsid w:val="00082CDB"/>
    <w:rsid w:val="00082E73"/>
    <w:rsid w:val="00082EEB"/>
    <w:rsid w:val="00083829"/>
    <w:rsid w:val="00083CC1"/>
    <w:rsid w:val="00083D08"/>
    <w:rsid w:val="000840B6"/>
    <w:rsid w:val="000847C2"/>
    <w:rsid w:val="00084841"/>
    <w:rsid w:val="00084FE6"/>
    <w:rsid w:val="0008532A"/>
    <w:rsid w:val="00085403"/>
    <w:rsid w:val="0008564F"/>
    <w:rsid w:val="000857A6"/>
    <w:rsid w:val="00085C0D"/>
    <w:rsid w:val="00085D72"/>
    <w:rsid w:val="000860B3"/>
    <w:rsid w:val="00086189"/>
    <w:rsid w:val="0008650D"/>
    <w:rsid w:val="00087129"/>
    <w:rsid w:val="00087DDB"/>
    <w:rsid w:val="000902E9"/>
    <w:rsid w:val="00090537"/>
    <w:rsid w:val="00090681"/>
    <w:rsid w:val="00090725"/>
    <w:rsid w:val="0009089B"/>
    <w:rsid w:val="00090AC0"/>
    <w:rsid w:val="00090B33"/>
    <w:rsid w:val="00090D20"/>
    <w:rsid w:val="00090D97"/>
    <w:rsid w:val="00091226"/>
    <w:rsid w:val="0009123B"/>
    <w:rsid w:val="000921E3"/>
    <w:rsid w:val="00092480"/>
    <w:rsid w:val="000925C5"/>
    <w:rsid w:val="00092889"/>
    <w:rsid w:val="00092987"/>
    <w:rsid w:val="00092C3D"/>
    <w:rsid w:val="00092E6A"/>
    <w:rsid w:val="00092F24"/>
    <w:rsid w:val="000934D5"/>
    <w:rsid w:val="00093784"/>
    <w:rsid w:val="000939E1"/>
    <w:rsid w:val="00093B57"/>
    <w:rsid w:val="000944CF"/>
    <w:rsid w:val="00094772"/>
    <w:rsid w:val="00094B9F"/>
    <w:rsid w:val="00094DC3"/>
    <w:rsid w:val="000952E4"/>
    <w:rsid w:val="00095433"/>
    <w:rsid w:val="0009585C"/>
    <w:rsid w:val="00095D37"/>
    <w:rsid w:val="0009612E"/>
    <w:rsid w:val="0009648A"/>
    <w:rsid w:val="00096963"/>
    <w:rsid w:val="00096A81"/>
    <w:rsid w:val="00096D8B"/>
    <w:rsid w:val="00096DB4"/>
    <w:rsid w:val="00097022"/>
    <w:rsid w:val="0009711E"/>
    <w:rsid w:val="000978BD"/>
    <w:rsid w:val="00097DE1"/>
    <w:rsid w:val="000A02B7"/>
    <w:rsid w:val="000A036B"/>
    <w:rsid w:val="000A0679"/>
    <w:rsid w:val="000A0B4A"/>
    <w:rsid w:val="000A0EEF"/>
    <w:rsid w:val="000A1200"/>
    <w:rsid w:val="000A1BAC"/>
    <w:rsid w:val="000A1CC4"/>
    <w:rsid w:val="000A1DD9"/>
    <w:rsid w:val="000A1F9B"/>
    <w:rsid w:val="000A1FEB"/>
    <w:rsid w:val="000A2268"/>
    <w:rsid w:val="000A254D"/>
    <w:rsid w:val="000A28FB"/>
    <w:rsid w:val="000A29AA"/>
    <w:rsid w:val="000A2BBA"/>
    <w:rsid w:val="000A2D3A"/>
    <w:rsid w:val="000A2FFC"/>
    <w:rsid w:val="000A3625"/>
    <w:rsid w:val="000A3797"/>
    <w:rsid w:val="000A3886"/>
    <w:rsid w:val="000A3D8C"/>
    <w:rsid w:val="000A3E4F"/>
    <w:rsid w:val="000A3E93"/>
    <w:rsid w:val="000A44ED"/>
    <w:rsid w:val="000A465A"/>
    <w:rsid w:val="000A47EC"/>
    <w:rsid w:val="000A4E8F"/>
    <w:rsid w:val="000A516A"/>
    <w:rsid w:val="000A533F"/>
    <w:rsid w:val="000A59D3"/>
    <w:rsid w:val="000A5E37"/>
    <w:rsid w:val="000A5F26"/>
    <w:rsid w:val="000A6B9D"/>
    <w:rsid w:val="000A6C89"/>
    <w:rsid w:val="000A6F2B"/>
    <w:rsid w:val="000A7885"/>
    <w:rsid w:val="000A7D10"/>
    <w:rsid w:val="000B0246"/>
    <w:rsid w:val="000B04DA"/>
    <w:rsid w:val="000B0564"/>
    <w:rsid w:val="000B0572"/>
    <w:rsid w:val="000B0E44"/>
    <w:rsid w:val="000B0ECF"/>
    <w:rsid w:val="000B0FAF"/>
    <w:rsid w:val="000B1238"/>
    <w:rsid w:val="000B12A0"/>
    <w:rsid w:val="000B1814"/>
    <w:rsid w:val="000B1889"/>
    <w:rsid w:val="000B1C1B"/>
    <w:rsid w:val="000B1C8D"/>
    <w:rsid w:val="000B1D86"/>
    <w:rsid w:val="000B1EE7"/>
    <w:rsid w:val="000B242E"/>
    <w:rsid w:val="000B2726"/>
    <w:rsid w:val="000B2A90"/>
    <w:rsid w:val="000B2B87"/>
    <w:rsid w:val="000B2C28"/>
    <w:rsid w:val="000B2CD2"/>
    <w:rsid w:val="000B30E9"/>
    <w:rsid w:val="000B3476"/>
    <w:rsid w:val="000B48B0"/>
    <w:rsid w:val="000B4A79"/>
    <w:rsid w:val="000B4EC1"/>
    <w:rsid w:val="000B504C"/>
    <w:rsid w:val="000B52D2"/>
    <w:rsid w:val="000B58F8"/>
    <w:rsid w:val="000B5912"/>
    <w:rsid w:val="000B5DA4"/>
    <w:rsid w:val="000B5F56"/>
    <w:rsid w:val="000B5F66"/>
    <w:rsid w:val="000B642D"/>
    <w:rsid w:val="000B667D"/>
    <w:rsid w:val="000B6924"/>
    <w:rsid w:val="000B695B"/>
    <w:rsid w:val="000B6998"/>
    <w:rsid w:val="000B6FED"/>
    <w:rsid w:val="000B711A"/>
    <w:rsid w:val="000B7575"/>
    <w:rsid w:val="000B76DC"/>
    <w:rsid w:val="000B774A"/>
    <w:rsid w:val="000B7C61"/>
    <w:rsid w:val="000B7EFD"/>
    <w:rsid w:val="000C029A"/>
    <w:rsid w:val="000C032B"/>
    <w:rsid w:val="000C05E4"/>
    <w:rsid w:val="000C0C1F"/>
    <w:rsid w:val="000C0F17"/>
    <w:rsid w:val="000C1A21"/>
    <w:rsid w:val="000C1E68"/>
    <w:rsid w:val="000C2197"/>
    <w:rsid w:val="000C2249"/>
    <w:rsid w:val="000C22A6"/>
    <w:rsid w:val="000C22D5"/>
    <w:rsid w:val="000C24A7"/>
    <w:rsid w:val="000C2671"/>
    <w:rsid w:val="000C2947"/>
    <w:rsid w:val="000C2A23"/>
    <w:rsid w:val="000C31C0"/>
    <w:rsid w:val="000C3249"/>
    <w:rsid w:val="000C3DF9"/>
    <w:rsid w:val="000C4568"/>
    <w:rsid w:val="000C4581"/>
    <w:rsid w:val="000C4D4A"/>
    <w:rsid w:val="000C50AC"/>
    <w:rsid w:val="000C5153"/>
    <w:rsid w:val="000C539A"/>
    <w:rsid w:val="000C541C"/>
    <w:rsid w:val="000C544F"/>
    <w:rsid w:val="000C5839"/>
    <w:rsid w:val="000C58BD"/>
    <w:rsid w:val="000C59CE"/>
    <w:rsid w:val="000C5A39"/>
    <w:rsid w:val="000C5DB7"/>
    <w:rsid w:val="000C5FEF"/>
    <w:rsid w:val="000C6087"/>
    <w:rsid w:val="000C6542"/>
    <w:rsid w:val="000C667B"/>
    <w:rsid w:val="000C69BB"/>
    <w:rsid w:val="000C6A7C"/>
    <w:rsid w:val="000C6A7F"/>
    <w:rsid w:val="000C6BBE"/>
    <w:rsid w:val="000C6E98"/>
    <w:rsid w:val="000C762E"/>
    <w:rsid w:val="000C7800"/>
    <w:rsid w:val="000C7FE8"/>
    <w:rsid w:val="000D0330"/>
    <w:rsid w:val="000D0380"/>
    <w:rsid w:val="000D070B"/>
    <w:rsid w:val="000D0711"/>
    <w:rsid w:val="000D07BA"/>
    <w:rsid w:val="000D07C3"/>
    <w:rsid w:val="000D0C1F"/>
    <w:rsid w:val="000D0DAB"/>
    <w:rsid w:val="000D0E21"/>
    <w:rsid w:val="000D0F92"/>
    <w:rsid w:val="000D13BD"/>
    <w:rsid w:val="000D14EB"/>
    <w:rsid w:val="000D15AE"/>
    <w:rsid w:val="000D1C71"/>
    <w:rsid w:val="000D23BE"/>
    <w:rsid w:val="000D270B"/>
    <w:rsid w:val="000D2E90"/>
    <w:rsid w:val="000D2FF6"/>
    <w:rsid w:val="000D3B04"/>
    <w:rsid w:val="000D3B2C"/>
    <w:rsid w:val="000D479E"/>
    <w:rsid w:val="000D4EE2"/>
    <w:rsid w:val="000D5988"/>
    <w:rsid w:val="000D5A30"/>
    <w:rsid w:val="000D5D1E"/>
    <w:rsid w:val="000D6373"/>
    <w:rsid w:val="000D64C0"/>
    <w:rsid w:val="000D64D5"/>
    <w:rsid w:val="000D659C"/>
    <w:rsid w:val="000D6808"/>
    <w:rsid w:val="000D6941"/>
    <w:rsid w:val="000D6AA7"/>
    <w:rsid w:val="000D6BE1"/>
    <w:rsid w:val="000D6D7C"/>
    <w:rsid w:val="000D6E3A"/>
    <w:rsid w:val="000D706A"/>
    <w:rsid w:val="000D7606"/>
    <w:rsid w:val="000D7E51"/>
    <w:rsid w:val="000D7E6D"/>
    <w:rsid w:val="000E0196"/>
    <w:rsid w:val="000E03D8"/>
    <w:rsid w:val="000E071D"/>
    <w:rsid w:val="000E092C"/>
    <w:rsid w:val="000E11CD"/>
    <w:rsid w:val="000E1694"/>
    <w:rsid w:val="000E1997"/>
    <w:rsid w:val="000E1E60"/>
    <w:rsid w:val="000E220F"/>
    <w:rsid w:val="000E2695"/>
    <w:rsid w:val="000E28EB"/>
    <w:rsid w:val="000E29E7"/>
    <w:rsid w:val="000E2A92"/>
    <w:rsid w:val="000E2B56"/>
    <w:rsid w:val="000E2C02"/>
    <w:rsid w:val="000E3017"/>
    <w:rsid w:val="000E33D4"/>
    <w:rsid w:val="000E367C"/>
    <w:rsid w:val="000E395D"/>
    <w:rsid w:val="000E3995"/>
    <w:rsid w:val="000E3A6E"/>
    <w:rsid w:val="000E3B9B"/>
    <w:rsid w:val="000E3C88"/>
    <w:rsid w:val="000E3DC8"/>
    <w:rsid w:val="000E40C4"/>
    <w:rsid w:val="000E4332"/>
    <w:rsid w:val="000E4460"/>
    <w:rsid w:val="000E48E9"/>
    <w:rsid w:val="000E4CCB"/>
    <w:rsid w:val="000E4EFD"/>
    <w:rsid w:val="000E4F50"/>
    <w:rsid w:val="000E54A0"/>
    <w:rsid w:val="000E5618"/>
    <w:rsid w:val="000E5B1E"/>
    <w:rsid w:val="000E5B87"/>
    <w:rsid w:val="000E5E2C"/>
    <w:rsid w:val="000E6074"/>
    <w:rsid w:val="000E65F9"/>
    <w:rsid w:val="000E6CC4"/>
    <w:rsid w:val="000E73F1"/>
    <w:rsid w:val="000E7CCA"/>
    <w:rsid w:val="000F001C"/>
    <w:rsid w:val="000F019B"/>
    <w:rsid w:val="000F027D"/>
    <w:rsid w:val="000F0589"/>
    <w:rsid w:val="000F05A8"/>
    <w:rsid w:val="000F08E9"/>
    <w:rsid w:val="000F0AB0"/>
    <w:rsid w:val="000F0CCE"/>
    <w:rsid w:val="000F114E"/>
    <w:rsid w:val="000F11DE"/>
    <w:rsid w:val="000F11F3"/>
    <w:rsid w:val="000F1393"/>
    <w:rsid w:val="000F1C6E"/>
    <w:rsid w:val="000F1CB0"/>
    <w:rsid w:val="000F1FC4"/>
    <w:rsid w:val="000F2030"/>
    <w:rsid w:val="000F2058"/>
    <w:rsid w:val="000F214E"/>
    <w:rsid w:val="000F21A1"/>
    <w:rsid w:val="000F248E"/>
    <w:rsid w:val="000F2A60"/>
    <w:rsid w:val="000F2ACB"/>
    <w:rsid w:val="000F2C1D"/>
    <w:rsid w:val="000F300A"/>
    <w:rsid w:val="000F3344"/>
    <w:rsid w:val="000F36BC"/>
    <w:rsid w:val="000F385A"/>
    <w:rsid w:val="000F39BA"/>
    <w:rsid w:val="000F3AA6"/>
    <w:rsid w:val="000F3ECA"/>
    <w:rsid w:val="000F44D6"/>
    <w:rsid w:val="000F4918"/>
    <w:rsid w:val="000F4D01"/>
    <w:rsid w:val="000F4DD4"/>
    <w:rsid w:val="000F4EF8"/>
    <w:rsid w:val="000F5ADF"/>
    <w:rsid w:val="000F5BB6"/>
    <w:rsid w:val="000F618A"/>
    <w:rsid w:val="000F61B2"/>
    <w:rsid w:val="000F6447"/>
    <w:rsid w:val="000F663D"/>
    <w:rsid w:val="000F668D"/>
    <w:rsid w:val="000F6909"/>
    <w:rsid w:val="000F6A47"/>
    <w:rsid w:val="000F6C73"/>
    <w:rsid w:val="000F6E5F"/>
    <w:rsid w:val="000F6F57"/>
    <w:rsid w:val="000F75C9"/>
    <w:rsid w:val="000F763E"/>
    <w:rsid w:val="000F77AD"/>
    <w:rsid w:val="000F78A2"/>
    <w:rsid w:val="000F78DC"/>
    <w:rsid w:val="000F7A12"/>
    <w:rsid w:val="000F7A5C"/>
    <w:rsid w:val="000F7C7B"/>
    <w:rsid w:val="000F7CB0"/>
    <w:rsid w:val="000F7E0A"/>
    <w:rsid w:val="000F7E8E"/>
    <w:rsid w:val="0010018E"/>
    <w:rsid w:val="00100655"/>
    <w:rsid w:val="00100882"/>
    <w:rsid w:val="001008B5"/>
    <w:rsid w:val="001009F9"/>
    <w:rsid w:val="00100AEF"/>
    <w:rsid w:val="00100EF8"/>
    <w:rsid w:val="0010105F"/>
    <w:rsid w:val="0010204D"/>
    <w:rsid w:val="001021F2"/>
    <w:rsid w:val="00102329"/>
    <w:rsid w:val="0010237B"/>
    <w:rsid w:val="00102951"/>
    <w:rsid w:val="00102CEE"/>
    <w:rsid w:val="001033FA"/>
    <w:rsid w:val="00103938"/>
    <w:rsid w:val="00103993"/>
    <w:rsid w:val="00103AC5"/>
    <w:rsid w:val="00103C8D"/>
    <w:rsid w:val="001044FF"/>
    <w:rsid w:val="00104509"/>
    <w:rsid w:val="00104A8F"/>
    <w:rsid w:val="00104FF7"/>
    <w:rsid w:val="001061B1"/>
    <w:rsid w:val="001062E7"/>
    <w:rsid w:val="0010637D"/>
    <w:rsid w:val="00106711"/>
    <w:rsid w:val="00106747"/>
    <w:rsid w:val="001068BC"/>
    <w:rsid w:val="00106E6B"/>
    <w:rsid w:val="00106EEB"/>
    <w:rsid w:val="00107047"/>
    <w:rsid w:val="00107316"/>
    <w:rsid w:val="001077F7"/>
    <w:rsid w:val="00107C4B"/>
    <w:rsid w:val="00107E25"/>
    <w:rsid w:val="00110132"/>
    <w:rsid w:val="00110143"/>
    <w:rsid w:val="001102DD"/>
    <w:rsid w:val="001103DA"/>
    <w:rsid w:val="00110ACD"/>
    <w:rsid w:val="00110B37"/>
    <w:rsid w:val="00110C56"/>
    <w:rsid w:val="00111948"/>
    <w:rsid w:val="00112024"/>
    <w:rsid w:val="00113194"/>
    <w:rsid w:val="001137CB"/>
    <w:rsid w:val="001138D6"/>
    <w:rsid w:val="001144BC"/>
    <w:rsid w:val="00114856"/>
    <w:rsid w:val="00114A39"/>
    <w:rsid w:val="00114DF6"/>
    <w:rsid w:val="00114EB3"/>
    <w:rsid w:val="00115AB9"/>
    <w:rsid w:val="00115B9C"/>
    <w:rsid w:val="00115E1B"/>
    <w:rsid w:val="0011605C"/>
    <w:rsid w:val="00116128"/>
    <w:rsid w:val="00116321"/>
    <w:rsid w:val="00116542"/>
    <w:rsid w:val="001169DC"/>
    <w:rsid w:val="00116B9E"/>
    <w:rsid w:val="00116CAC"/>
    <w:rsid w:val="00116EB8"/>
    <w:rsid w:val="00116F5D"/>
    <w:rsid w:val="00117AF5"/>
    <w:rsid w:val="00117BEC"/>
    <w:rsid w:val="00117E0D"/>
    <w:rsid w:val="001208C8"/>
    <w:rsid w:val="001209B5"/>
    <w:rsid w:val="00120ACA"/>
    <w:rsid w:val="00120C8F"/>
    <w:rsid w:val="00120E30"/>
    <w:rsid w:val="00120FC7"/>
    <w:rsid w:val="001213F3"/>
    <w:rsid w:val="0012153B"/>
    <w:rsid w:val="00121B7C"/>
    <w:rsid w:val="00121BE9"/>
    <w:rsid w:val="00121D19"/>
    <w:rsid w:val="00121D8E"/>
    <w:rsid w:val="001221A8"/>
    <w:rsid w:val="00122226"/>
    <w:rsid w:val="0012264C"/>
    <w:rsid w:val="00122F3A"/>
    <w:rsid w:val="00122FC4"/>
    <w:rsid w:val="001230C6"/>
    <w:rsid w:val="00123394"/>
    <w:rsid w:val="00123ED9"/>
    <w:rsid w:val="001240B7"/>
    <w:rsid w:val="00124A99"/>
    <w:rsid w:val="00125098"/>
    <w:rsid w:val="00125537"/>
    <w:rsid w:val="00125707"/>
    <w:rsid w:val="00125FC3"/>
    <w:rsid w:val="001262CE"/>
    <w:rsid w:val="001264FA"/>
    <w:rsid w:val="00126539"/>
    <w:rsid w:val="001270FE"/>
    <w:rsid w:val="001272D2"/>
    <w:rsid w:val="00127575"/>
    <w:rsid w:val="00127870"/>
    <w:rsid w:val="001279B9"/>
    <w:rsid w:val="00127DFE"/>
    <w:rsid w:val="001304B8"/>
    <w:rsid w:val="0013074F"/>
    <w:rsid w:val="00130A26"/>
    <w:rsid w:val="00130E50"/>
    <w:rsid w:val="00130E84"/>
    <w:rsid w:val="00131312"/>
    <w:rsid w:val="00132351"/>
    <w:rsid w:val="00132400"/>
    <w:rsid w:val="00132A72"/>
    <w:rsid w:val="00132D4E"/>
    <w:rsid w:val="00132E33"/>
    <w:rsid w:val="00133005"/>
    <w:rsid w:val="00133143"/>
    <w:rsid w:val="00133275"/>
    <w:rsid w:val="00133ABA"/>
    <w:rsid w:val="00133BD7"/>
    <w:rsid w:val="00133DDE"/>
    <w:rsid w:val="001341BD"/>
    <w:rsid w:val="00134339"/>
    <w:rsid w:val="00134910"/>
    <w:rsid w:val="00134A34"/>
    <w:rsid w:val="00134BC0"/>
    <w:rsid w:val="001350A9"/>
    <w:rsid w:val="00135BC3"/>
    <w:rsid w:val="00135CD9"/>
    <w:rsid w:val="00136282"/>
    <w:rsid w:val="00136456"/>
    <w:rsid w:val="001364EF"/>
    <w:rsid w:val="00136B56"/>
    <w:rsid w:val="00136E01"/>
    <w:rsid w:val="00137131"/>
    <w:rsid w:val="00137819"/>
    <w:rsid w:val="00137BA3"/>
    <w:rsid w:val="0014062B"/>
    <w:rsid w:val="00140A12"/>
    <w:rsid w:val="00140A36"/>
    <w:rsid w:val="00140B7E"/>
    <w:rsid w:val="00141287"/>
    <w:rsid w:val="00141597"/>
    <w:rsid w:val="00141DC3"/>
    <w:rsid w:val="00141F10"/>
    <w:rsid w:val="00141FB1"/>
    <w:rsid w:val="001425CF"/>
    <w:rsid w:val="0014262E"/>
    <w:rsid w:val="001426E0"/>
    <w:rsid w:val="00142970"/>
    <w:rsid w:val="00142A70"/>
    <w:rsid w:val="00142B3A"/>
    <w:rsid w:val="00142E98"/>
    <w:rsid w:val="00142F35"/>
    <w:rsid w:val="00143071"/>
    <w:rsid w:val="0014326D"/>
    <w:rsid w:val="001432F2"/>
    <w:rsid w:val="001434DA"/>
    <w:rsid w:val="00143518"/>
    <w:rsid w:val="00143659"/>
    <w:rsid w:val="0014370E"/>
    <w:rsid w:val="00143BF8"/>
    <w:rsid w:val="00143CBA"/>
    <w:rsid w:val="00143F9B"/>
    <w:rsid w:val="00144E64"/>
    <w:rsid w:val="00144E94"/>
    <w:rsid w:val="00144F0C"/>
    <w:rsid w:val="00145025"/>
    <w:rsid w:val="0014533D"/>
    <w:rsid w:val="00145514"/>
    <w:rsid w:val="00145564"/>
    <w:rsid w:val="0014583A"/>
    <w:rsid w:val="0014586D"/>
    <w:rsid w:val="00145B9A"/>
    <w:rsid w:val="00145B9D"/>
    <w:rsid w:val="00145E94"/>
    <w:rsid w:val="0014619D"/>
    <w:rsid w:val="00146713"/>
    <w:rsid w:val="00146CA1"/>
    <w:rsid w:val="00146FD7"/>
    <w:rsid w:val="0014708D"/>
    <w:rsid w:val="00147671"/>
    <w:rsid w:val="001501F6"/>
    <w:rsid w:val="0015078E"/>
    <w:rsid w:val="00150BCB"/>
    <w:rsid w:val="00150FE0"/>
    <w:rsid w:val="001517F7"/>
    <w:rsid w:val="00151937"/>
    <w:rsid w:val="00152208"/>
    <w:rsid w:val="0015242B"/>
    <w:rsid w:val="001527D9"/>
    <w:rsid w:val="0015281B"/>
    <w:rsid w:val="00152D57"/>
    <w:rsid w:val="001533F0"/>
    <w:rsid w:val="001538D0"/>
    <w:rsid w:val="001539CA"/>
    <w:rsid w:val="00153B66"/>
    <w:rsid w:val="00153CED"/>
    <w:rsid w:val="0015479D"/>
    <w:rsid w:val="001549C4"/>
    <w:rsid w:val="00154C2F"/>
    <w:rsid w:val="00154C94"/>
    <w:rsid w:val="00155082"/>
    <w:rsid w:val="00155B2B"/>
    <w:rsid w:val="00155CD0"/>
    <w:rsid w:val="00155E02"/>
    <w:rsid w:val="00155E98"/>
    <w:rsid w:val="00155EB8"/>
    <w:rsid w:val="00155FF8"/>
    <w:rsid w:val="00156141"/>
    <w:rsid w:val="00156358"/>
    <w:rsid w:val="00157872"/>
    <w:rsid w:val="00157BC2"/>
    <w:rsid w:val="00160AEE"/>
    <w:rsid w:val="00160BFA"/>
    <w:rsid w:val="0016114E"/>
    <w:rsid w:val="0016115C"/>
    <w:rsid w:val="0016166C"/>
    <w:rsid w:val="001617AD"/>
    <w:rsid w:val="00161C6A"/>
    <w:rsid w:val="00161DF4"/>
    <w:rsid w:val="001621A8"/>
    <w:rsid w:val="0016226E"/>
    <w:rsid w:val="00162596"/>
    <w:rsid w:val="00162EE4"/>
    <w:rsid w:val="00163285"/>
    <w:rsid w:val="0016332F"/>
    <w:rsid w:val="00163788"/>
    <w:rsid w:val="00163900"/>
    <w:rsid w:val="00163F51"/>
    <w:rsid w:val="0016413B"/>
    <w:rsid w:val="00164173"/>
    <w:rsid w:val="001641FE"/>
    <w:rsid w:val="00164258"/>
    <w:rsid w:val="00164B8F"/>
    <w:rsid w:val="00164EEF"/>
    <w:rsid w:val="00164FBB"/>
    <w:rsid w:val="00165164"/>
    <w:rsid w:val="00165450"/>
    <w:rsid w:val="0016565F"/>
    <w:rsid w:val="00165768"/>
    <w:rsid w:val="00165C96"/>
    <w:rsid w:val="00165CF9"/>
    <w:rsid w:val="00166566"/>
    <w:rsid w:val="0016678A"/>
    <w:rsid w:val="001667CA"/>
    <w:rsid w:val="0016682C"/>
    <w:rsid w:val="001670B0"/>
    <w:rsid w:val="00167389"/>
    <w:rsid w:val="001674F8"/>
    <w:rsid w:val="00167D62"/>
    <w:rsid w:val="001701C1"/>
    <w:rsid w:val="0017071C"/>
    <w:rsid w:val="00170A3C"/>
    <w:rsid w:val="00170B88"/>
    <w:rsid w:val="00170C3B"/>
    <w:rsid w:val="00170D00"/>
    <w:rsid w:val="00170D51"/>
    <w:rsid w:val="00171071"/>
    <w:rsid w:val="001712A3"/>
    <w:rsid w:val="001717ED"/>
    <w:rsid w:val="001721F8"/>
    <w:rsid w:val="00172343"/>
    <w:rsid w:val="001723E2"/>
    <w:rsid w:val="0017246F"/>
    <w:rsid w:val="001727CE"/>
    <w:rsid w:val="001729D7"/>
    <w:rsid w:val="00172BE9"/>
    <w:rsid w:val="00172CF0"/>
    <w:rsid w:val="00172E1A"/>
    <w:rsid w:val="001741B7"/>
    <w:rsid w:val="001746B9"/>
    <w:rsid w:val="001746C8"/>
    <w:rsid w:val="00174CE4"/>
    <w:rsid w:val="0017519F"/>
    <w:rsid w:val="001751FE"/>
    <w:rsid w:val="001757BA"/>
    <w:rsid w:val="001759DA"/>
    <w:rsid w:val="00175A36"/>
    <w:rsid w:val="00175D44"/>
    <w:rsid w:val="001767FF"/>
    <w:rsid w:val="00177353"/>
    <w:rsid w:val="001774B4"/>
    <w:rsid w:val="00177854"/>
    <w:rsid w:val="00177E77"/>
    <w:rsid w:val="00180015"/>
    <w:rsid w:val="001800A6"/>
    <w:rsid w:val="00180836"/>
    <w:rsid w:val="00180A20"/>
    <w:rsid w:val="00180B13"/>
    <w:rsid w:val="00180BA2"/>
    <w:rsid w:val="001815C7"/>
    <w:rsid w:val="001815CB"/>
    <w:rsid w:val="00181C3C"/>
    <w:rsid w:val="00181D75"/>
    <w:rsid w:val="001828D6"/>
    <w:rsid w:val="001828D8"/>
    <w:rsid w:val="00183279"/>
    <w:rsid w:val="00183299"/>
    <w:rsid w:val="0018348F"/>
    <w:rsid w:val="00183786"/>
    <w:rsid w:val="001839E6"/>
    <w:rsid w:val="00183AAF"/>
    <w:rsid w:val="00183C36"/>
    <w:rsid w:val="001842CA"/>
    <w:rsid w:val="00184359"/>
    <w:rsid w:val="00184803"/>
    <w:rsid w:val="0018480A"/>
    <w:rsid w:val="00184AE6"/>
    <w:rsid w:val="00184AF2"/>
    <w:rsid w:val="0018528D"/>
    <w:rsid w:val="00185A42"/>
    <w:rsid w:val="00185C85"/>
    <w:rsid w:val="001866AF"/>
    <w:rsid w:val="001866D3"/>
    <w:rsid w:val="001867E2"/>
    <w:rsid w:val="001868E6"/>
    <w:rsid w:val="00186A06"/>
    <w:rsid w:val="00186B81"/>
    <w:rsid w:val="0018733B"/>
    <w:rsid w:val="001908E2"/>
    <w:rsid w:val="00190BF7"/>
    <w:rsid w:val="00190EDA"/>
    <w:rsid w:val="00190F85"/>
    <w:rsid w:val="00191067"/>
    <w:rsid w:val="00191086"/>
    <w:rsid w:val="001911CF"/>
    <w:rsid w:val="0019142C"/>
    <w:rsid w:val="001916DA"/>
    <w:rsid w:val="00191B00"/>
    <w:rsid w:val="00191B1F"/>
    <w:rsid w:val="001920E6"/>
    <w:rsid w:val="001924D7"/>
    <w:rsid w:val="0019260F"/>
    <w:rsid w:val="00192842"/>
    <w:rsid w:val="00192861"/>
    <w:rsid w:val="001929A1"/>
    <w:rsid w:val="001929E4"/>
    <w:rsid w:val="00193A96"/>
    <w:rsid w:val="00193CCA"/>
    <w:rsid w:val="00193DF1"/>
    <w:rsid w:val="001946CA"/>
    <w:rsid w:val="001955C2"/>
    <w:rsid w:val="00195614"/>
    <w:rsid w:val="001956C7"/>
    <w:rsid w:val="00195B52"/>
    <w:rsid w:val="00195EBA"/>
    <w:rsid w:val="00195F1B"/>
    <w:rsid w:val="00196012"/>
    <w:rsid w:val="00196172"/>
    <w:rsid w:val="001964D2"/>
    <w:rsid w:val="00196724"/>
    <w:rsid w:val="00196809"/>
    <w:rsid w:val="00196F8F"/>
    <w:rsid w:val="00197157"/>
    <w:rsid w:val="001976A6"/>
    <w:rsid w:val="001976EC"/>
    <w:rsid w:val="00197731"/>
    <w:rsid w:val="00197957"/>
    <w:rsid w:val="00197976"/>
    <w:rsid w:val="001A04C4"/>
    <w:rsid w:val="001A0563"/>
    <w:rsid w:val="001A07B9"/>
    <w:rsid w:val="001A09CC"/>
    <w:rsid w:val="001A1014"/>
    <w:rsid w:val="001A13DD"/>
    <w:rsid w:val="001A1B7D"/>
    <w:rsid w:val="001A215E"/>
    <w:rsid w:val="001A2BDE"/>
    <w:rsid w:val="001A2C19"/>
    <w:rsid w:val="001A2CD7"/>
    <w:rsid w:val="001A2D00"/>
    <w:rsid w:val="001A2EA5"/>
    <w:rsid w:val="001A31A5"/>
    <w:rsid w:val="001A31D1"/>
    <w:rsid w:val="001A32BD"/>
    <w:rsid w:val="001A333E"/>
    <w:rsid w:val="001A33CA"/>
    <w:rsid w:val="001A34E1"/>
    <w:rsid w:val="001A3685"/>
    <w:rsid w:val="001A3AA7"/>
    <w:rsid w:val="001A3DB7"/>
    <w:rsid w:val="001A3E24"/>
    <w:rsid w:val="001A3EAC"/>
    <w:rsid w:val="001A48E1"/>
    <w:rsid w:val="001A4AA9"/>
    <w:rsid w:val="001A4C05"/>
    <w:rsid w:val="001A4C0D"/>
    <w:rsid w:val="001A4F14"/>
    <w:rsid w:val="001A52AD"/>
    <w:rsid w:val="001A53C2"/>
    <w:rsid w:val="001A53D7"/>
    <w:rsid w:val="001A5654"/>
    <w:rsid w:val="001A574D"/>
    <w:rsid w:val="001A59B2"/>
    <w:rsid w:val="001A5DE3"/>
    <w:rsid w:val="001A5F2E"/>
    <w:rsid w:val="001A628E"/>
    <w:rsid w:val="001A6814"/>
    <w:rsid w:val="001A6C9A"/>
    <w:rsid w:val="001A72DB"/>
    <w:rsid w:val="001A7671"/>
    <w:rsid w:val="001A77E2"/>
    <w:rsid w:val="001B01CA"/>
    <w:rsid w:val="001B0252"/>
    <w:rsid w:val="001B08CB"/>
    <w:rsid w:val="001B093A"/>
    <w:rsid w:val="001B0AEC"/>
    <w:rsid w:val="001B0CA6"/>
    <w:rsid w:val="001B196D"/>
    <w:rsid w:val="001B1C88"/>
    <w:rsid w:val="001B1F8C"/>
    <w:rsid w:val="001B21BB"/>
    <w:rsid w:val="001B2448"/>
    <w:rsid w:val="001B2536"/>
    <w:rsid w:val="001B275B"/>
    <w:rsid w:val="001B291E"/>
    <w:rsid w:val="001B3B06"/>
    <w:rsid w:val="001B3C10"/>
    <w:rsid w:val="001B3C25"/>
    <w:rsid w:val="001B3E82"/>
    <w:rsid w:val="001B4038"/>
    <w:rsid w:val="001B4316"/>
    <w:rsid w:val="001B4571"/>
    <w:rsid w:val="001B4B0F"/>
    <w:rsid w:val="001B4D6D"/>
    <w:rsid w:val="001B4E28"/>
    <w:rsid w:val="001B4F3B"/>
    <w:rsid w:val="001B569C"/>
    <w:rsid w:val="001B5A5A"/>
    <w:rsid w:val="001B5CE6"/>
    <w:rsid w:val="001B617C"/>
    <w:rsid w:val="001B63CB"/>
    <w:rsid w:val="001B6878"/>
    <w:rsid w:val="001B7016"/>
    <w:rsid w:val="001B73E2"/>
    <w:rsid w:val="001B79A7"/>
    <w:rsid w:val="001B7CB7"/>
    <w:rsid w:val="001C0011"/>
    <w:rsid w:val="001C0146"/>
    <w:rsid w:val="001C021E"/>
    <w:rsid w:val="001C0442"/>
    <w:rsid w:val="001C0487"/>
    <w:rsid w:val="001C0BDE"/>
    <w:rsid w:val="001C103E"/>
    <w:rsid w:val="001C128E"/>
    <w:rsid w:val="001C12F9"/>
    <w:rsid w:val="001C1358"/>
    <w:rsid w:val="001C167D"/>
    <w:rsid w:val="001C1714"/>
    <w:rsid w:val="001C1BA4"/>
    <w:rsid w:val="001C1E98"/>
    <w:rsid w:val="001C234C"/>
    <w:rsid w:val="001C2978"/>
    <w:rsid w:val="001C2D54"/>
    <w:rsid w:val="001C2E41"/>
    <w:rsid w:val="001C30C4"/>
    <w:rsid w:val="001C32C6"/>
    <w:rsid w:val="001C3327"/>
    <w:rsid w:val="001C3765"/>
    <w:rsid w:val="001C38E3"/>
    <w:rsid w:val="001C3BF8"/>
    <w:rsid w:val="001C476C"/>
    <w:rsid w:val="001C494C"/>
    <w:rsid w:val="001C4E33"/>
    <w:rsid w:val="001C4E7E"/>
    <w:rsid w:val="001C52E1"/>
    <w:rsid w:val="001C57B5"/>
    <w:rsid w:val="001C5A30"/>
    <w:rsid w:val="001C5EF1"/>
    <w:rsid w:val="001C6054"/>
    <w:rsid w:val="001C613F"/>
    <w:rsid w:val="001C62B2"/>
    <w:rsid w:val="001C6717"/>
    <w:rsid w:val="001C6CA9"/>
    <w:rsid w:val="001C74C5"/>
    <w:rsid w:val="001C78EC"/>
    <w:rsid w:val="001C78F0"/>
    <w:rsid w:val="001C7B9D"/>
    <w:rsid w:val="001C7D53"/>
    <w:rsid w:val="001C7D76"/>
    <w:rsid w:val="001D00E0"/>
    <w:rsid w:val="001D0378"/>
    <w:rsid w:val="001D07CD"/>
    <w:rsid w:val="001D0874"/>
    <w:rsid w:val="001D0CB0"/>
    <w:rsid w:val="001D0D5F"/>
    <w:rsid w:val="001D0E5E"/>
    <w:rsid w:val="001D15F4"/>
    <w:rsid w:val="001D16B9"/>
    <w:rsid w:val="001D1BF8"/>
    <w:rsid w:val="001D1E12"/>
    <w:rsid w:val="001D2320"/>
    <w:rsid w:val="001D25AD"/>
    <w:rsid w:val="001D2FDF"/>
    <w:rsid w:val="001D36C9"/>
    <w:rsid w:val="001D36E1"/>
    <w:rsid w:val="001D3747"/>
    <w:rsid w:val="001D3E72"/>
    <w:rsid w:val="001D404A"/>
    <w:rsid w:val="001D4286"/>
    <w:rsid w:val="001D435F"/>
    <w:rsid w:val="001D4361"/>
    <w:rsid w:val="001D45D5"/>
    <w:rsid w:val="001D4A37"/>
    <w:rsid w:val="001D4C00"/>
    <w:rsid w:val="001D4C02"/>
    <w:rsid w:val="001D4FBE"/>
    <w:rsid w:val="001D5112"/>
    <w:rsid w:val="001D511F"/>
    <w:rsid w:val="001D54D2"/>
    <w:rsid w:val="001D58F2"/>
    <w:rsid w:val="001D5CBA"/>
    <w:rsid w:val="001D67DB"/>
    <w:rsid w:val="001D68BC"/>
    <w:rsid w:val="001D6904"/>
    <w:rsid w:val="001D699E"/>
    <w:rsid w:val="001D6B57"/>
    <w:rsid w:val="001D6D5F"/>
    <w:rsid w:val="001D702E"/>
    <w:rsid w:val="001D72D2"/>
    <w:rsid w:val="001D76D8"/>
    <w:rsid w:val="001D77D9"/>
    <w:rsid w:val="001E00F0"/>
    <w:rsid w:val="001E0BD1"/>
    <w:rsid w:val="001E0FBA"/>
    <w:rsid w:val="001E14D2"/>
    <w:rsid w:val="001E170D"/>
    <w:rsid w:val="001E17B2"/>
    <w:rsid w:val="001E1C28"/>
    <w:rsid w:val="001E2103"/>
    <w:rsid w:val="001E2154"/>
    <w:rsid w:val="001E2609"/>
    <w:rsid w:val="001E289E"/>
    <w:rsid w:val="001E305D"/>
    <w:rsid w:val="001E32A7"/>
    <w:rsid w:val="001E3438"/>
    <w:rsid w:val="001E3467"/>
    <w:rsid w:val="001E34B0"/>
    <w:rsid w:val="001E3942"/>
    <w:rsid w:val="001E3946"/>
    <w:rsid w:val="001E3E7C"/>
    <w:rsid w:val="001E4736"/>
    <w:rsid w:val="001E49C6"/>
    <w:rsid w:val="001E4A21"/>
    <w:rsid w:val="001E5229"/>
    <w:rsid w:val="001E5658"/>
    <w:rsid w:val="001E5866"/>
    <w:rsid w:val="001E5984"/>
    <w:rsid w:val="001E5AA0"/>
    <w:rsid w:val="001E6265"/>
    <w:rsid w:val="001E6A3D"/>
    <w:rsid w:val="001E6DCE"/>
    <w:rsid w:val="001E6FE9"/>
    <w:rsid w:val="001E7210"/>
    <w:rsid w:val="001E728E"/>
    <w:rsid w:val="001E72AB"/>
    <w:rsid w:val="001E74C2"/>
    <w:rsid w:val="001E7583"/>
    <w:rsid w:val="001E762C"/>
    <w:rsid w:val="001E76CD"/>
    <w:rsid w:val="001E79E7"/>
    <w:rsid w:val="001E7B24"/>
    <w:rsid w:val="001E7B33"/>
    <w:rsid w:val="001E7D59"/>
    <w:rsid w:val="001E7E78"/>
    <w:rsid w:val="001F0011"/>
    <w:rsid w:val="001F04F7"/>
    <w:rsid w:val="001F0572"/>
    <w:rsid w:val="001F0A08"/>
    <w:rsid w:val="001F0AC6"/>
    <w:rsid w:val="001F0EF6"/>
    <w:rsid w:val="001F110B"/>
    <w:rsid w:val="001F1149"/>
    <w:rsid w:val="001F1272"/>
    <w:rsid w:val="001F177A"/>
    <w:rsid w:val="001F1BF5"/>
    <w:rsid w:val="001F1C04"/>
    <w:rsid w:val="001F1C36"/>
    <w:rsid w:val="001F1CBB"/>
    <w:rsid w:val="001F1CC7"/>
    <w:rsid w:val="001F1E02"/>
    <w:rsid w:val="001F2005"/>
    <w:rsid w:val="001F21BA"/>
    <w:rsid w:val="001F2343"/>
    <w:rsid w:val="001F23C6"/>
    <w:rsid w:val="001F24C3"/>
    <w:rsid w:val="001F2BA3"/>
    <w:rsid w:val="001F34B4"/>
    <w:rsid w:val="001F35C1"/>
    <w:rsid w:val="001F3A96"/>
    <w:rsid w:val="001F3B05"/>
    <w:rsid w:val="001F46F4"/>
    <w:rsid w:val="001F47F4"/>
    <w:rsid w:val="001F487E"/>
    <w:rsid w:val="001F4B2D"/>
    <w:rsid w:val="001F4C41"/>
    <w:rsid w:val="001F4EDB"/>
    <w:rsid w:val="001F503A"/>
    <w:rsid w:val="001F5091"/>
    <w:rsid w:val="001F50DD"/>
    <w:rsid w:val="001F523A"/>
    <w:rsid w:val="001F5443"/>
    <w:rsid w:val="001F5A0F"/>
    <w:rsid w:val="001F5AAF"/>
    <w:rsid w:val="001F5B73"/>
    <w:rsid w:val="001F5BA6"/>
    <w:rsid w:val="001F5D8B"/>
    <w:rsid w:val="001F6173"/>
    <w:rsid w:val="001F6332"/>
    <w:rsid w:val="001F64C1"/>
    <w:rsid w:val="001F719E"/>
    <w:rsid w:val="001F7368"/>
    <w:rsid w:val="001F748E"/>
    <w:rsid w:val="001F76E1"/>
    <w:rsid w:val="001F773C"/>
    <w:rsid w:val="001F777F"/>
    <w:rsid w:val="001F7FDF"/>
    <w:rsid w:val="00200026"/>
    <w:rsid w:val="002002CB"/>
    <w:rsid w:val="002002E3"/>
    <w:rsid w:val="00200322"/>
    <w:rsid w:val="0020033A"/>
    <w:rsid w:val="00200367"/>
    <w:rsid w:val="002014F7"/>
    <w:rsid w:val="00201A24"/>
    <w:rsid w:val="00201BE7"/>
    <w:rsid w:val="00201C1B"/>
    <w:rsid w:val="00201E7C"/>
    <w:rsid w:val="00202671"/>
    <w:rsid w:val="00202922"/>
    <w:rsid w:val="00202B47"/>
    <w:rsid w:val="0020366F"/>
    <w:rsid w:val="002037A7"/>
    <w:rsid w:val="002039CC"/>
    <w:rsid w:val="00203D54"/>
    <w:rsid w:val="00203D9C"/>
    <w:rsid w:val="00203E59"/>
    <w:rsid w:val="00204066"/>
    <w:rsid w:val="00204714"/>
    <w:rsid w:val="002047E1"/>
    <w:rsid w:val="002048AE"/>
    <w:rsid w:val="00204D2C"/>
    <w:rsid w:val="00205423"/>
    <w:rsid w:val="00205BE3"/>
    <w:rsid w:val="00205F7E"/>
    <w:rsid w:val="00205FF0"/>
    <w:rsid w:val="0020608B"/>
    <w:rsid w:val="00206173"/>
    <w:rsid w:val="0020652A"/>
    <w:rsid w:val="002066AD"/>
    <w:rsid w:val="0020693C"/>
    <w:rsid w:val="00206ABB"/>
    <w:rsid w:val="00206BC1"/>
    <w:rsid w:val="00206DCB"/>
    <w:rsid w:val="00206F27"/>
    <w:rsid w:val="002071AC"/>
    <w:rsid w:val="00207427"/>
    <w:rsid w:val="00207630"/>
    <w:rsid w:val="00207693"/>
    <w:rsid w:val="002077E3"/>
    <w:rsid w:val="00207845"/>
    <w:rsid w:val="00210093"/>
    <w:rsid w:val="0021010C"/>
    <w:rsid w:val="00210400"/>
    <w:rsid w:val="00210496"/>
    <w:rsid w:val="002106E4"/>
    <w:rsid w:val="002108E6"/>
    <w:rsid w:val="002109C9"/>
    <w:rsid w:val="00210E22"/>
    <w:rsid w:val="00211977"/>
    <w:rsid w:val="00211A19"/>
    <w:rsid w:val="00211FF8"/>
    <w:rsid w:val="00212032"/>
    <w:rsid w:val="002128E5"/>
    <w:rsid w:val="00212A9E"/>
    <w:rsid w:val="00212E4A"/>
    <w:rsid w:val="00212FD3"/>
    <w:rsid w:val="002131A0"/>
    <w:rsid w:val="00213B86"/>
    <w:rsid w:val="00213C73"/>
    <w:rsid w:val="00213D99"/>
    <w:rsid w:val="00213F37"/>
    <w:rsid w:val="00214A4C"/>
    <w:rsid w:val="00214AAA"/>
    <w:rsid w:val="00214B5F"/>
    <w:rsid w:val="00214BDB"/>
    <w:rsid w:val="00214C65"/>
    <w:rsid w:val="00214F4C"/>
    <w:rsid w:val="00215248"/>
    <w:rsid w:val="00215964"/>
    <w:rsid w:val="00215AD4"/>
    <w:rsid w:val="00215F6C"/>
    <w:rsid w:val="002167A6"/>
    <w:rsid w:val="0021692C"/>
    <w:rsid w:val="00216962"/>
    <w:rsid w:val="00216E73"/>
    <w:rsid w:val="0021723A"/>
    <w:rsid w:val="00217577"/>
    <w:rsid w:val="0021758D"/>
    <w:rsid w:val="002178C0"/>
    <w:rsid w:val="00217D45"/>
    <w:rsid w:val="0022012E"/>
    <w:rsid w:val="00220B70"/>
    <w:rsid w:val="00220E52"/>
    <w:rsid w:val="00220E72"/>
    <w:rsid w:val="002212EF"/>
    <w:rsid w:val="00221761"/>
    <w:rsid w:val="0022193F"/>
    <w:rsid w:val="0022194E"/>
    <w:rsid w:val="00222149"/>
    <w:rsid w:val="0022228B"/>
    <w:rsid w:val="002223DA"/>
    <w:rsid w:val="00222735"/>
    <w:rsid w:val="00222D51"/>
    <w:rsid w:val="00222DE4"/>
    <w:rsid w:val="0022341C"/>
    <w:rsid w:val="002234F3"/>
    <w:rsid w:val="002237DB"/>
    <w:rsid w:val="00223869"/>
    <w:rsid w:val="00223B38"/>
    <w:rsid w:val="00223F6A"/>
    <w:rsid w:val="00224120"/>
    <w:rsid w:val="0022414A"/>
    <w:rsid w:val="002241B7"/>
    <w:rsid w:val="00224C24"/>
    <w:rsid w:val="00224CB0"/>
    <w:rsid w:val="0022592B"/>
    <w:rsid w:val="00225B64"/>
    <w:rsid w:val="002263FF"/>
    <w:rsid w:val="002264C8"/>
    <w:rsid w:val="002265C0"/>
    <w:rsid w:val="00226942"/>
    <w:rsid w:val="00226C6E"/>
    <w:rsid w:val="00227381"/>
    <w:rsid w:val="00227677"/>
    <w:rsid w:val="00227E24"/>
    <w:rsid w:val="00227E3E"/>
    <w:rsid w:val="002300EE"/>
    <w:rsid w:val="0023053B"/>
    <w:rsid w:val="00230765"/>
    <w:rsid w:val="00231256"/>
    <w:rsid w:val="00231569"/>
    <w:rsid w:val="0023180C"/>
    <w:rsid w:val="00231963"/>
    <w:rsid w:val="00231B97"/>
    <w:rsid w:val="002320A8"/>
    <w:rsid w:val="00232195"/>
    <w:rsid w:val="00232211"/>
    <w:rsid w:val="00232272"/>
    <w:rsid w:val="00232446"/>
    <w:rsid w:val="002329B5"/>
    <w:rsid w:val="00232C23"/>
    <w:rsid w:val="00232F6C"/>
    <w:rsid w:val="00232FC9"/>
    <w:rsid w:val="00233008"/>
    <w:rsid w:val="002332A8"/>
    <w:rsid w:val="00233B1D"/>
    <w:rsid w:val="00233EFB"/>
    <w:rsid w:val="002345AC"/>
    <w:rsid w:val="0023461B"/>
    <w:rsid w:val="00234876"/>
    <w:rsid w:val="0023510F"/>
    <w:rsid w:val="0023578E"/>
    <w:rsid w:val="00236741"/>
    <w:rsid w:val="0023695C"/>
    <w:rsid w:val="00236EA6"/>
    <w:rsid w:val="00237139"/>
    <w:rsid w:val="002372BF"/>
    <w:rsid w:val="002374B2"/>
    <w:rsid w:val="00237EEF"/>
    <w:rsid w:val="002406B2"/>
    <w:rsid w:val="002408DB"/>
    <w:rsid w:val="00240D78"/>
    <w:rsid w:val="00240FB3"/>
    <w:rsid w:val="00241109"/>
    <w:rsid w:val="00241221"/>
    <w:rsid w:val="0024139B"/>
    <w:rsid w:val="00241422"/>
    <w:rsid w:val="002416E0"/>
    <w:rsid w:val="00241853"/>
    <w:rsid w:val="002419B9"/>
    <w:rsid w:val="002419F9"/>
    <w:rsid w:val="00241C3C"/>
    <w:rsid w:val="00241EB6"/>
    <w:rsid w:val="00242180"/>
    <w:rsid w:val="002424CE"/>
    <w:rsid w:val="00242731"/>
    <w:rsid w:val="00242811"/>
    <w:rsid w:val="00242A55"/>
    <w:rsid w:val="00242EB0"/>
    <w:rsid w:val="00243DFB"/>
    <w:rsid w:val="00243DFE"/>
    <w:rsid w:val="00244687"/>
    <w:rsid w:val="0024490C"/>
    <w:rsid w:val="00244D90"/>
    <w:rsid w:val="0024524D"/>
    <w:rsid w:val="002453B5"/>
    <w:rsid w:val="002454CA"/>
    <w:rsid w:val="0024563F"/>
    <w:rsid w:val="00245A68"/>
    <w:rsid w:val="00245DEF"/>
    <w:rsid w:val="00245F69"/>
    <w:rsid w:val="00246412"/>
    <w:rsid w:val="0024686C"/>
    <w:rsid w:val="002469DB"/>
    <w:rsid w:val="00246BC3"/>
    <w:rsid w:val="0024723D"/>
    <w:rsid w:val="0024741A"/>
    <w:rsid w:val="00247635"/>
    <w:rsid w:val="002477D6"/>
    <w:rsid w:val="00247AB5"/>
    <w:rsid w:val="00247CBB"/>
    <w:rsid w:val="00247DF9"/>
    <w:rsid w:val="00250272"/>
    <w:rsid w:val="0025095E"/>
    <w:rsid w:val="002509A0"/>
    <w:rsid w:val="00250D8E"/>
    <w:rsid w:val="00250E99"/>
    <w:rsid w:val="00250ECD"/>
    <w:rsid w:val="002516C9"/>
    <w:rsid w:val="00251B5F"/>
    <w:rsid w:val="00251C5B"/>
    <w:rsid w:val="0025223A"/>
    <w:rsid w:val="0025268D"/>
    <w:rsid w:val="0025274F"/>
    <w:rsid w:val="00253242"/>
    <w:rsid w:val="00253B19"/>
    <w:rsid w:val="00253B9D"/>
    <w:rsid w:val="00253C17"/>
    <w:rsid w:val="00253F36"/>
    <w:rsid w:val="00253FB4"/>
    <w:rsid w:val="00254273"/>
    <w:rsid w:val="002547A8"/>
    <w:rsid w:val="0025499B"/>
    <w:rsid w:val="0025533D"/>
    <w:rsid w:val="0025567D"/>
    <w:rsid w:val="002557B9"/>
    <w:rsid w:val="00256281"/>
    <w:rsid w:val="002564BD"/>
    <w:rsid w:val="00256A01"/>
    <w:rsid w:val="00256ACF"/>
    <w:rsid w:val="00256EA7"/>
    <w:rsid w:val="00256EE1"/>
    <w:rsid w:val="00257220"/>
    <w:rsid w:val="00257B26"/>
    <w:rsid w:val="002600DF"/>
    <w:rsid w:val="002609CF"/>
    <w:rsid w:val="00260A16"/>
    <w:rsid w:val="00260C7F"/>
    <w:rsid w:val="00260E58"/>
    <w:rsid w:val="0026109A"/>
    <w:rsid w:val="0026190D"/>
    <w:rsid w:val="00261F29"/>
    <w:rsid w:val="0026208A"/>
    <w:rsid w:val="00262531"/>
    <w:rsid w:val="0026255F"/>
    <w:rsid w:val="002629CE"/>
    <w:rsid w:val="00262AD5"/>
    <w:rsid w:val="00262B22"/>
    <w:rsid w:val="002630E4"/>
    <w:rsid w:val="00263F5F"/>
    <w:rsid w:val="00264103"/>
    <w:rsid w:val="0026425D"/>
    <w:rsid w:val="00264966"/>
    <w:rsid w:val="00264A68"/>
    <w:rsid w:val="00264B60"/>
    <w:rsid w:val="00265106"/>
    <w:rsid w:val="0026530B"/>
    <w:rsid w:val="0026564E"/>
    <w:rsid w:val="00265D55"/>
    <w:rsid w:val="00265F4A"/>
    <w:rsid w:val="00265FCA"/>
    <w:rsid w:val="00265FCD"/>
    <w:rsid w:val="00266641"/>
    <w:rsid w:val="00266A1C"/>
    <w:rsid w:val="00267092"/>
    <w:rsid w:val="002678F7"/>
    <w:rsid w:val="00267957"/>
    <w:rsid w:val="00267C2B"/>
    <w:rsid w:val="00267EC2"/>
    <w:rsid w:val="00267FB6"/>
    <w:rsid w:val="00270098"/>
    <w:rsid w:val="002704B8"/>
    <w:rsid w:val="00270686"/>
    <w:rsid w:val="00270702"/>
    <w:rsid w:val="0027108A"/>
    <w:rsid w:val="00271097"/>
    <w:rsid w:val="002713B0"/>
    <w:rsid w:val="0027142F"/>
    <w:rsid w:val="00271B6B"/>
    <w:rsid w:val="00271B93"/>
    <w:rsid w:val="00271C0D"/>
    <w:rsid w:val="00271C27"/>
    <w:rsid w:val="00272023"/>
    <w:rsid w:val="00272698"/>
    <w:rsid w:val="002728E6"/>
    <w:rsid w:val="00272B65"/>
    <w:rsid w:val="00272D88"/>
    <w:rsid w:val="0027322E"/>
    <w:rsid w:val="002732CF"/>
    <w:rsid w:val="00273984"/>
    <w:rsid w:val="002739C5"/>
    <w:rsid w:val="00273F86"/>
    <w:rsid w:val="00274CD8"/>
    <w:rsid w:val="00274D25"/>
    <w:rsid w:val="0027513E"/>
    <w:rsid w:val="0027541A"/>
    <w:rsid w:val="00275853"/>
    <w:rsid w:val="00275928"/>
    <w:rsid w:val="00275956"/>
    <w:rsid w:val="00275D2F"/>
    <w:rsid w:val="00275E5F"/>
    <w:rsid w:val="002763BC"/>
    <w:rsid w:val="00276541"/>
    <w:rsid w:val="002769F6"/>
    <w:rsid w:val="00276ECE"/>
    <w:rsid w:val="00276FE3"/>
    <w:rsid w:val="0027745A"/>
    <w:rsid w:val="002777BE"/>
    <w:rsid w:val="00277EA1"/>
    <w:rsid w:val="00280020"/>
    <w:rsid w:val="002804A1"/>
    <w:rsid w:val="002809D3"/>
    <w:rsid w:val="00280CCC"/>
    <w:rsid w:val="00280D62"/>
    <w:rsid w:val="0028117F"/>
    <w:rsid w:val="0028119A"/>
    <w:rsid w:val="002813A4"/>
    <w:rsid w:val="0028145A"/>
    <w:rsid w:val="00281768"/>
    <w:rsid w:val="00281D01"/>
    <w:rsid w:val="00281D16"/>
    <w:rsid w:val="00282257"/>
    <w:rsid w:val="00282445"/>
    <w:rsid w:val="00282C79"/>
    <w:rsid w:val="0028358F"/>
    <w:rsid w:val="00283706"/>
    <w:rsid w:val="00283798"/>
    <w:rsid w:val="002838F7"/>
    <w:rsid w:val="00283A34"/>
    <w:rsid w:val="00283EF2"/>
    <w:rsid w:val="00284048"/>
    <w:rsid w:val="0028436A"/>
    <w:rsid w:val="002843A8"/>
    <w:rsid w:val="00284618"/>
    <w:rsid w:val="00284C14"/>
    <w:rsid w:val="00285031"/>
    <w:rsid w:val="002856B1"/>
    <w:rsid w:val="00285734"/>
    <w:rsid w:val="00285844"/>
    <w:rsid w:val="00285B71"/>
    <w:rsid w:val="00286010"/>
    <w:rsid w:val="0028616E"/>
    <w:rsid w:val="00286584"/>
    <w:rsid w:val="0028677E"/>
    <w:rsid w:val="002868C1"/>
    <w:rsid w:val="00286C03"/>
    <w:rsid w:val="00286E6B"/>
    <w:rsid w:val="0028732F"/>
    <w:rsid w:val="002873ED"/>
    <w:rsid w:val="00287734"/>
    <w:rsid w:val="00287852"/>
    <w:rsid w:val="00287F89"/>
    <w:rsid w:val="00290207"/>
    <w:rsid w:val="002902AB"/>
    <w:rsid w:val="002903E1"/>
    <w:rsid w:val="002906EB"/>
    <w:rsid w:val="00290871"/>
    <w:rsid w:val="00290C05"/>
    <w:rsid w:val="00291A3A"/>
    <w:rsid w:val="0029250C"/>
    <w:rsid w:val="00292575"/>
    <w:rsid w:val="002925E3"/>
    <w:rsid w:val="002927B2"/>
    <w:rsid w:val="00292A48"/>
    <w:rsid w:val="00292A87"/>
    <w:rsid w:val="00292C8E"/>
    <w:rsid w:val="00292E71"/>
    <w:rsid w:val="002934DB"/>
    <w:rsid w:val="002937C7"/>
    <w:rsid w:val="00293AFB"/>
    <w:rsid w:val="00294AC8"/>
    <w:rsid w:val="00295300"/>
    <w:rsid w:val="00295550"/>
    <w:rsid w:val="00295708"/>
    <w:rsid w:val="00295E98"/>
    <w:rsid w:val="00295F8C"/>
    <w:rsid w:val="00296481"/>
    <w:rsid w:val="00296859"/>
    <w:rsid w:val="00296DCD"/>
    <w:rsid w:val="00296F0E"/>
    <w:rsid w:val="0029731A"/>
    <w:rsid w:val="00297666"/>
    <w:rsid w:val="002977E0"/>
    <w:rsid w:val="00297B7C"/>
    <w:rsid w:val="00297BDD"/>
    <w:rsid w:val="002A009D"/>
    <w:rsid w:val="002A0156"/>
    <w:rsid w:val="002A066D"/>
    <w:rsid w:val="002A09C1"/>
    <w:rsid w:val="002A0FC1"/>
    <w:rsid w:val="002A13FD"/>
    <w:rsid w:val="002A14FD"/>
    <w:rsid w:val="002A17B8"/>
    <w:rsid w:val="002A17C3"/>
    <w:rsid w:val="002A2281"/>
    <w:rsid w:val="002A2AA3"/>
    <w:rsid w:val="002A2BC2"/>
    <w:rsid w:val="002A2BCF"/>
    <w:rsid w:val="002A2C6E"/>
    <w:rsid w:val="002A30C1"/>
    <w:rsid w:val="002A3130"/>
    <w:rsid w:val="002A3438"/>
    <w:rsid w:val="002A3A53"/>
    <w:rsid w:val="002A4099"/>
    <w:rsid w:val="002A4659"/>
    <w:rsid w:val="002A49B7"/>
    <w:rsid w:val="002A54E0"/>
    <w:rsid w:val="002A5830"/>
    <w:rsid w:val="002A58C4"/>
    <w:rsid w:val="002A5945"/>
    <w:rsid w:val="002A5DCB"/>
    <w:rsid w:val="002A601C"/>
    <w:rsid w:val="002A6030"/>
    <w:rsid w:val="002A6042"/>
    <w:rsid w:val="002A6536"/>
    <w:rsid w:val="002A6578"/>
    <w:rsid w:val="002A66A4"/>
    <w:rsid w:val="002A6A9B"/>
    <w:rsid w:val="002A6C33"/>
    <w:rsid w:val="002A742D"/>
    <w:rsid w:val="002A7752"/>
    <w:rsid w:val="002A7842"/>
    <w:rsid w:val="002A7A41"/>
    <w:rsid w:val="002B0462"/>
    <w:rsid w:val="002B0545"/>
    <w:rsid w:val="002B082A"/>
    <w:rsid w:val="002B090F"/>
    <w:rsid w:val="002B0DBF"/>
    <w:rsid w:val="002B1214"/>
    <w:rsid w:val="002B143B"/>
    <w:rsid w:val="002B1711"/>
    <w:rsid w:val="002B1775"/>
    <w:rsid w:val="002B1A0A"/>
    <w:rsid w:val="002B1B9C"/>
    <w:rsid w:val="002B1D29"/>
    <w:rsid w:val="002B200A"/>
    <w:rsid w:val="002B28B4"/>
    <w:rsid w:val="002B2CA3"/>
    <w:rsid w:val="002B331E"/>
    <w:rsid w:val="002B335A"/>
    <w:rsid w:val="002B3470"/>
    <w:rsid w:val="002B3859"/>
    <w:rsid w:val="002B3930"/>
    <w:rsid w:val="002B3AAC"/>
    <w:rsid w:val="002B3C7D"/>
    <w:rsid w:val="002B3CAB"/>
    <w:rsid w:val="002B3F48"/>
    <w:rsid w:val="002B4135"/>
    <w:rsid w:val="002B4248"/>
    <w:rsid w:val="002B4554"/>
    <w:rsid w:val="002B4651"/>
    <w:rsid w:val="002B48CB"/>
    <w:rsid w:val="002B4C88"/>
    <w:rsid w:val="002B4CD7"/>
    <w:rsid w:val="002B4DF4"/>
    <w:rsid w:val="002B56D0"/>
    <w:rsid w:val="002B5954"/>
    <w:rsid w:val="002B5C09"/>
    <w:rsid w:val="002B5D84"/>
    <w:rsid w:val="002B61EC"/>
    <w:rsid w:val="002B6254"/>
    <w:rsid w:val="002B6B7F"/>
    <w:rsid w:val="002B7290"/>
    <w:rsid w:val="002B7393"/>
    <w:rsid w:val="002B75C5"/>
    <w:rsid w:val="002B7BEF"/>
    <w:rsid w:val="002B7D57"/>
    <w:rsid w:val="002C0254"/>
    <w:rsid w:val="002C02F2"/>
    <w:rsid w:val="002C03AA"/>
    <w:rsid w:val="002C0833"/>
    <w:rsid w:val="002C0F88"/>
    <w:rsid w:val="002C10BD"/>
    <w:rsid w:val="002C1228"/>
    <w:rsid w:val="002C1559"/>
    <w:rsid w:val="002C1794"/>
    <w:rsid w:val="002C1C0F"/>
    <w:rsid w:val="002C2206"/>
    <w:rsid w:val="002C246B"/>
    <w:rsid w:val="002C2615"/>
    <w:rsid w:val="002C29BB"/>
    <w:rsid w:val="002C2E08"/>
    <w:rsid w:val="002C3049"/>
    <w:rsid w:val="002C31A3"/>
    <w:rsid w:val="002C358C"/>
    <w:rsid w:val="002C3B2C"/>
    <w:rsid w:val="002C4010"/>
    <w:rsid w:val="002C418A"/>
    <w:rsid w:val="002C4755"/>
    <w:rsid w:val="002C4B10"/>
    <w:rsid w:val="002C4D39"/>
    <w:rsid w:val="002C50CF"/>
    <w:rsid w:val="002C53F8"/>
    <w:rsid w:val="002C5777"/>
    <w:rsid w:val="002C57AB"/>
    <w:rsid w:val="002C5A5F"/>
    <w:rsid w:val="002C618F"/>
    <w:rsid w:val="002C6986"/>
    <w:rsid w:val="002C6F69"/>
    <w:rsid w:val="002C7172"/>
    <w:rsid w:val="002C71E7"/>
    <w:rsid w:val="002C7475"/>
    <w:rsid w:val="002C75E8"/>
    <w:rsid w:val="002C7AEC"/>
    <w:rsid w:val="002C7C15"/>
    <w:rsid w:val="002C7C93"/>
    <w:rsid w:val="002D04AC"/>
    <w:rsid w:val="002D055D"/>
    <w:rsid w:val="002D09C4"/>
    <w:rsid w:val="002D0A90"/>
    <w:rsid w:val="002D0C03"/>
    <w:rsid w:val="002D1039"/>
    <w:rsid w:val="002D119B"/>
    <w:rsid w:val="002D130D"/>
    <w:rsid w:val="002D136E"/>
    <w:rsid w:val="002D14C3"/>
    <w:rsid w:val="002D1551"/>
    <w:rsid w:val="002D15A1"/>
    <w:rsid w:val="002D15B8"/>
    <w:rsid w:val="002D191D"/>
    <w:rsid w:val="002D2214"/>
    <w:rsid w:val="002D248C"/>
    <w:rsid w:val="002D249C"/>
    <w:rsid w:val="002D285C"/>
    <w:rsid w:val="002D28C0"/>
    <w:rsid w:val="002D29A5"/>
    <w:rsid w:val="002D2D02"/>
    <w:rsid w:val="002D2E4C"/>
    <w:rsid w:val="002D2FA1"/>
    <w:rsid w:val="002D30A0"/>
    <w:rsid w:val="002D381B"/>
    <w:rsid w:val="002D3826"/>
    <w:rsid w:val="002D3C05"/>
    <w:rsid w:val="002D4710"/>
    <w:rsid w:val="002D47A5"/>
    <w:rsid w:val="002D495D"/>
    <w:rsid w:val="002D4C50"/>
    <w:rsid w:val="002D4E03"/>
    <w:rsid w:val="002D4E2F"/>
    <w:rsid w:val="002D4FFA"/>
    <w:rsid w:val="002D5544"/>
    <w:rsid w:val="002D554E"/>
    <w:rsid w:val="002D5C08"/>
    <w:rsid w:val="002D5DCE"/>
    <w:rsid w:val="002D610A"/>
    <w:rsid w:val="002D65E6"/>
    <w:rsid w:val="002D66A8"/>
    <w:rsid w:val="002D6F64"/>
    <w:rsid w:val="002D70EB"/>
    <w:rsid w:val="002D797A"/>
    <w:rsid w:val="002D7D94"/>
    <w:rsid w:val="002E0167"/>
    <w:rsid w:val="002E0219"/>
    <w:rsid w:val="002E084D"/>
    <w:rsid w:val="002E0905"/>
    <w:rsid w:val="002E0C76"/>
    <w:rsid w:val="002E11F0"/>
    <w:rsid w:val="002E1656"/>
    <w:rsid w:val="002E16E2"/>
    <w:rsid w:val="002E1A49"/>
    <w:rsid w:val="002E1CB5"/>
    <w:rsid w:val="002E248B"/>
    <w:rsid w:val="002E266F"/>
    <w:rsid w:val="002E2930"/>
    <w:rsid w:val="002E2F12"/>
    <w:rsid w:val="002E308B"/>
    <w:rsid w:val="002E3283"/>
    <w:rsid w:val="002E3A46"/>
    <w:rsid w:val="002E41A7"/>
    <w:rsid w:val="002E437B"/>
    <w:rsid w:val="002E44C8"/>
    <w:rsid w:val="002E553C"/>
    <w:rsid w:val="002E5BEA"/>
    <w:rsid w:val="002E5FDB"/>
    <w:rsid w:val="002E64E0"/>
    <w:rsid w:val="002E6C5A"/>
    <w:rsid w:val="002E6E2E"/>
    <w:rsid w:val="002E7284"/>
    <w:rsid w:val="002E78A8"/>
    <w:rsid w:val="002F04A8"/>
    <w:rsid w:val="002F070B"/>
    <w:rsid w:val="002F0949"/>
    <w:rsid w:val="002F0DE7"/>
    <w:rsid w:val="002F1236"/>
    <w:rsid w:val="002F18E0"/>
    <w:rsid w:val="002F1C2D"/>
    <w:rsid w:val="002F1DB7"/>
    <w:rsid w:val="002F230E"/>
    <w:rsid w:val="002F23EC"/>
    <w:rsid w:val="002F262B"/>
    <w:rsid w:val="002F31C2"/>
    <w:rsid w:val="002F3277"/>
    <w:rsid w:val="002F335A"/>
    <w:rsid w:val="002F36C4"/>
    <w:rsid w:val="002F3B1E"/>
    <w:rsid w:val="002F3E99"/>
    <w:rsid w:val="002F3FDF"/>
    <w:rsid w:val="002F4201"/>
    <w:rsid w:val="002F4C80"/>
    <w:rsid w:val="002F4CD0"/>
    <w:rsid w:val="002F51B7"/>
    <w:rsid w:val="002F53AA"/>
    <w:rsid w:val="002F53C4"/>
    <w:rsid w:val="002F5451"/>
    <w:rsid w:val="002F54CE"/>
    <w:rsid w:val="002F5581"/>
    <w:rsid w:val="002F56BE"/>
    <w:rsid w:val="002F578A"/>
    <w:rsid w:val="002F57A8"/>
    <w:rsid w:val="002F57B2"/>
    <w:rsid w:val="002F5BBC"/>
    <w:rsid w:val="002F5D80"/>
    <w:rsid w:val="002F65FB"/>
    <w:rsid w:val="002F67F8"/>
    <w:rsid w:val="002F6DDD"/>
    <w:rsid w:val="002F73A2"/>
    <w:rsid w:val="002F73C3"/>
    <w:rsid w:val="002F74BF"/>
    <w:rsid w:val="002F75EF"/>
    <w:rsid w:val="002F78BB"/>
    <w:rsid w:val="002F7D41"/>
    <w:rsid w:val="002F7D4E"/>
    <w:rsid w:val="002F7D88"/>
    <w:rsid w:val="00300157"/>
    <w:rsid w:val="003002AB"/>
    <w:rsid w:val="003008B4"/>
    <w:rsid w:val="00300E03"/>
    <w:rsid w:val="00300E21"/>
    <w:rsid w:val="0030164F"/>
    <w:rsid w:val="0030194F"/>
    <w:rsid w:val="00301CB5"/>
    <w:rsid w:val="00301F56"/>
    <w:rsid w:val="00302383"/>
    <w:rsid w:val="0030244C"/>
    <w:rsid w:val="003024DE"/>
    <w:rsid w:val="00302BF7"/>
    <w:rsid w:val="00302EF6"/>
    <w:rsid w:val="003032F3"/>
    <w:rsid w:val="00303FC6"/>
    <w:rsid w:val="00304B3C"/>
    <w:rsid w:val="00304C52"/>
    <w:rsid w:val="00304F14"/>
    <w:rsid w:val="0030503D"/>
    <w:rsid w:val="003052DF"/>
    <w:rsid w:val="00305762"/>
    <w:rsid w:val="00305C9B"/>
    <w:rsid w:val="00305FA3"/>
    <w:rsid w:val="00306088"/>
    <w:rsid w:val="003068AC"/>
    <w:rsid w:val="00307216"/>
    <w:rsid w:val="00307346"/>
    <w:rsid w:val="00307FC6"/>
    <w:rsid w:val="00310194"/>
    <w:rsid w:val="003101E7"/>
    <w:rsid w:val="00310314"/>
    <w:rsid w:val="00310503"/>
    <w:rsid w:val="00310994"/>
    <w:rsid w:val="00310BAE"/>
    <w:rsid w:val="00310C96"/>
    <w:rsid w:val="00310EBF"/>
    <w:rsid w:val="003112E1"/>
    <w:rsid w:val="0031163A"/>
    <w:rsid w:val="0031176B"/>
    <w:rsid w:val="003118C8"/>
    <w:rsid w:val="003119AA"/>
    <w:rsid w:val="00311B1B"/>
    <w:rsid w:val="00312210"/>
    <w:rsid w:val="00312461"/>
    <w:rsid w:val="003124F8"/>
    <w:rsid w:val="00312699"/>
    <w:rsid w:val="00312BE3"/>
    <w:rsid w:val="00312D29"/>
    <w:rsid w:val="00312D8B"/>
    <w:rsid w:val="003134A6"/>
    <w:rsid w:val="00313A17"/>
    <w:rsid w:val="00313AF1"/>
    <w:rsid w:val="00313BB5"/>
    <w:rsid w:val="00313CF5"/>
    <w:rsid w:val="00313E5F"/>
    <w:rsid w:val="00313F7A"/>
    <w:rsid w:val="003148CB"/>
    <w:rsid w:val="00315175"/>
    <w:rsid w:val="003152C3"/>
    <w:rsid w:val="003156F3"/>
    <w:rsid w:val="003158C8"/>
    <w:rsid w:val="00315E6C"/>
    <w:rsid w:val="00316124"/>
    <w:rsid w:val="003164A6"/>
    <w:rsid w:val="0031655F"/>
    <w:rsid w:val="00316849"/>
    <w:rsid w:val="00316AC4"/>
    <w:rsid w:val="00316F77"/>
    <w:rsid w:val="003176CF"/>
    <w:rsid w:val="003177F7"/>
    <w:rsid w:val="003177FC"/>
    <w:rsid w:val="00317891"/>
    <w:rsid w:val="003178C1"/>
    <w:rsid w:val="00317B43"/>
    <w:rsid w:val="0032058F"/>
    <w:rsid w:val="0032065B"/>
    <w:rsid w:val="00320696"/>
    <w:rsid w:val="00320794"/>
    <w:rsid w:val="00320F5C"/>
    <w:rsid w:val="003210E1"/>
    <w:rsid w:val="0032142A"/>
    <w:rsid w:val="00321825"/>
    <w:rsid w:val="00321EE4"/>
    <w:rsid w:val="00322381"/>
    <w:rsid w:val="0032248A"/>
    <w:rsid w:val="00323B02"/>
    <w:rsid w:val="003243BD"/>
    <w:rsid w:val="003244FF"/>
    <w:rsid w:val="0032452E"/>
    <w:rsid w:val="00324872"/>
    <w:rsid w:val="003249B0"/>
    <w:rsid w:val="00325147"/>
    <w:rsid w:val="00325253"/>
    <w:rsid w:val="0032558E"/>
    <w:rsid w:val="00325AC3"/>
    <w:rsid w:val="00325AFD"/>
    <w:rsid w:val="00325B3E"/>
    <w:rsid w:val="00325BB4"/>
    <w:rsid w:val="00325C85"/>
    <w:rsid w:val="00325CF5"/>
    <w:rsid w:val="00325FE3"/>
    <w:rsid w:val="003267AB"/>
    <w:rsid w:val="00326DEB"/>
    <w:rsid w:val="00326E14"/>
    <w:rsid w:val="00327098"/>
    <w:rsid w:val="003271A2"/>
    <w:rsid w:val="00327CDA"/>
    <w:rsid w:val="00327D4A"/>
    <w:rsid w:val="00327D7A"/>
    <w:rsid w:val="003307DA"/>
    <w:rsid w:val="00330E77"/>
    <w:rsid w:val="00331103"/>
    <w:rsid w:val="0033123B"/>
    <w:rsid w:val="0033152A"/>
    <w:rsid w:val="003315AB"/>
    <w:rsid w:val="00331A4C"/>
    <w:rsid w:val="00332277"/>
    <w:rsid w:val="00333064"/>
    <w:rsid w:val="00333468"/>
    <w:rsid w:val="003334DC"/>
    <w:rsid w:val="003337D5"/>
    <w:rsid w:val="003341EC"/>
    <w:rsid w:val="00334694"/>
    <w:rsid w:val="00335680"/>
    <w:rsid w:val="0033574B"/>
    <w:rsid w:val="00335BE4"/>
    <w:rsid w:val="00335C9A"/>
    <w:rsid w:val="00335E81"/>
    <w:rsid w:val="00335F95"/>
    <w:rsid w:val="00336EF8"/>
    <w:rsid w:val="00336F8E"/>
    <w:rsid w:val="00336FC9"/>
    <w:rsid w:val="003370BB"/>
    <w:rsid w:val="003372D6"/>
    <w:rsid w:val="00337720"/>
    <w:rsid w:val="00337891"/>
    <w:rsid w:val="00337F1F"/>
    <w:rsid w:val="00337FEC"/>
    <w:rsid w:val="00340104"/>
    <w:rsid w:val="00340137"/>
    <w:rsid w:val="0034035E"/>
    <w:rsid w:val="00340A43"/>
    <w:rsid w:val="00340D0D"/>
    <w:rsid w:val="00340D77"/>
    <w:rsid w:val="003418B7"/>
    <w:rsid w:val="0034196F"/>
    <w:rsid w:val="00341A7C"/>
    <w:rsid w:val="00341F22"/>
    <w:rsid w:val="003422B2"/>
    <w:rsid w:val="00342BA5"/>
    <w:rsid w:val="00342E7C"/>
    <w:rsid w:val="00343178"/>
    <w:rsid w:val="003431C6"/>
    <w:rsid w:val="0034356D"/>
    <w:rsid w:val="00343A7A"/>
    <w:rsid w:val="00343D81"/>
    <w:rsid w:val="00343E8D"/>
    <w:rsid w:val="00343F9A"/>
    <w:rsid w:val="0034459D"/>
    <w:rsid w:val="00344689"/>
    <w:rsid w:val="003449A7"/>
    <w:rsid w:val="00344BD9"/>
    <w:rsid w:val="00344D2A"/>
    <w:rsid w:val="00345CFC"/>
    <w:rsid w:val="003462C6"/>
    <w:rsid w:val="003463D1"/>
    <w:rsid w:val="00346846"/>
    <w:rsid w:val="00346CB5"/>
    <w:rsid w:val="003474FB"/>
    <w:rsid w:val="003476C3"/>
    <w:rsid w:val="00347805"/>
    <w:rsid w:val="00350496"/>
    <w:rsid w:val="0035070A"/>
    <w:rsid w:val="0035074C"/>
    <w:rsid w:val="00350E75"/>
    <w:rsid w:val="00350F70"/>
    <w:rsid w:val="00351084"/>
    <w:rsid w:val="0035125A"/>
    <w:rsid w:val="003516DC"/>
    <w:rsid w:val="00351AFB"/>
    <w:rsid w:val="00351BC4"/>
    <w:rsid w:val="0035260F"/>
    <w:rsid w:val="0035276E"/>
    <w:rsid w:val="00352887"/>
    <w:rsid w:val="00352934"/>
    <w:rsid w:val="00352979"/>
    <w:rsid w:val="00352E15"/>
    <w:rsid w:val="00352FBD"/>
    <w:rsid w:val="003532DD"/>
    <w:rsid w:val="0035338E"/>
    <w:rsid w:val="00353667"/>
    <w:rsid w:val="00353841"/>
    <w:rsid w:val="0035390D"/>
    <w:rsid w:val="003547CD"/>
    <w:rsid w:val="0035486B"/>
    <w:rsid w:val="00354A42"/>
    <w:rsid w:val="00354A9F"/>
    <w:rsid w:val="00354B8B"/>
    <w:rsid w:val="00354D90"/>
    <w:rsid w:val="00354E3D"/>
    <w:rsid w:val="00354E9E"/>
    <w:rsid w:val="003550C1"/>
    <w:rsid w:val="00355540"/>
    <w:rsid w:val="00355C06"/>
    <w:rsid w:val="00356394"/>
    <w:rsid w:val="00356E40"/>
    <w:rsid w:val="00357261"/>
    <w:rsid w:val="003573F2"/>
    <w:rsid w:val="00357475"/>
    <w:rsid w:val="00357784"/>
    <w:rsid w:val="00357F33"/>
    <w:rsid w:val="0036007A"/>
    <w:rsid w:val="0036017A"/>
    <w:rsid w:val="00360221"/>
    <w:rsid w:val="00360608"/>
    <w:rsid w:val="00360610"/>
    <w:rsid w:val="0036069B"/>
    <w:rsid w:val="003609CE"/>
    <w:rsid w:val="00360EE6"/>
    <w:rsid w:val="003613DD"/>
    <w:rsid w:val="003616AE"/>
    <w:rsid w:val="003619E4"/>
    <w:rsid w:val="00361DC1"/>
    <w:rsid w:val="003620EE"/>
    <w:rsid w:val="003625A8"/>
    <w:rsid w:val="0036277C"/>
    <w:rsid w:val="00362929"/>
    <w:rsid w:val="00362A78"/>
    <w:rsid w:val="00362BFA"/>
    <w:rsid w:val="00362CF4"/>
    <w:rsid w:val="00362EF2"/>
    <w:rsid w:val="0036324A"/>
    <w:rsid w:val="003635D4"/>
    <w:rsid w:val="00363A51"/>
    <w:rsid w:val="00363A8B"/>
    <w:rsid w:val="00363C84"/>
    <w:rsid w:val="00363C91"/>
    <w:rsid w:val="00363D81"/>
    <w:rsid w:val="00363F2A"/>
    <w:rsid w:val="00363F76"/>
    <w:rsid w:val="003649B6"/>
    <w:rsid w:val="00364A19"/>
    <w:rsid w:val="00365133"/>
    <w:rsid w:val="003654EA"/>
    <w:rsid w:val="00365581"/>
    <w:rsid w:val="003655BF"/>
    <w:rsid w:val="003660D6"/>
    <w:rsid w:val="00367363"/>
    <w:rsid w:val="00367C06"/>
    <w:rsid w:val="00370479"/>
    <w:rsid w:val="00370520"/>
    <w:rsid w:val="00370563"/>
    <w:rsid w:val="00370676"/>
    <w:rsid w:val="003717A8"/>
    <w:rsid w:val="00371BA9"/>
    <w:rsid w:val="003720A8"/>
    <w:rsid w:val="0037242E"/>
    <w:rsid w:val="0037246F"/>
    <w:rsid w:val="00372857"/>
    <w:rsid w:val="00372C24"/>
    <w:rsid w:val="00372DBD"/>
    <w:rsid w:val="00372E98"/>
    <w:rsid w:val="0037326B"/>
    <w:rsid w:val="00373283"/>
    <w:rsid w:val="003732E1"/>
    <w:rsid w:val="003735AD"/>
    <w:rsid w:val="00373676"/>
    <w:rsid w:val="00373826"/>
    <w:rsid w:val="00373B8F"/>
    <w:rsid w:val="00373D6A"/>
    <w:rsid w:val="003744DE"/>
    <w:rsid w:val="003744F5"/>
    <w:rsid w:val="0037462C"/>
    <w:rsid w:val="00374840"/>
    <w:rsid w:val="00374882"/>
    <w:rsid w:val="00374BB5"/>
    <w:rsid w:val="003757B7"/>
    <w:rsid w:val="003762BB"/>
    <w:rsid w:val="00376512"/>
    <w:rsid w:val="003765B6"/>
    <w:rsid w:val="003766B7"/>
    <w:rsid w:val="0037675F"/>
    <w:rsid w:val="00376854"/>
    <w:rsid w:val="00376D67"/>
    <w:rsid w:val="00376DE1"/>
    <w:rsid w:val="0037719E"/>
    <w:rsid w:val="00377433"/>
    <w:rsid w:val="00377667"/>
    <w:rsid w:val="003778DD"/>
    <w:rsid w:val="00377A86"/>
    <w:rsid w:val="00377E50"/>
    <w:rsid w:val="003804DE"/>
    <w:rsid w:val="00380917"/>
    <w:rsid w:val="00380D7F"/>
    <w:rsid w:val="003814F0"/>
    <w:rsid w:val="003816D6"/>
    <w:rsid w:val="003817BE"/>
    <w:rsid w:val="00381A61"/>
    <w:rsid w:val="00382002"/>
    <w:rsid w:val="0038225D"/>
    <w:rsid w:val="00382A2A"/>
    <w:rsid w:val="00382DC4"/>
    <w:rsid w:val="00383311"/>
    <w:rsid w:val="00383395"/>
    <w:rsid w:val="003833E3"/>
    <w:rsid w:val="003837AC"/>
    <w:rsid w:val="00383CD3"/>
    <w:rsid w:val="00383E92"/>
    <w:rsid w:val="003848AF"/>
    <w:rsid w:val="00384E7D"/>
    <w:rsid w:val="00385C4B"/>
    <w:rsid w:val="00385F7B"/>
    <w:rsid w:val="00386086"/>
    <w:rsid w:val="00386093"/>
    <w:rsid w:val="003861B4"/>
    <w:rsid w:val="00386338"/>
    <w:rsid w:val="003866C4"/>
    <w:rsid w:val="003867AF"/>
    <w:rsid w:val="00386AE6"/>
    <w:rsid w:val="00386DFA"/>
    <w:rsid w:val="00386EF7"/>
    <w:rsid w:val="003872A4"/>
    <w:rsid w:val="00387904"/>
    <w:rsid w:val="003900EC"/>
    <w:rsid w:val="003906E0"/>
    <w:rsid w:val="0039087E"/>
    <w:rsid w:val="0039150C"/>
    <w:rsid w:val="00392A2B"/>
    <w:rsid w:val="00392AEC"/>
    <w:rsid w:val="00392B11"/>
    <w:rsid w:val="00392B3B"/>
    <w:rsid w:val="00392DEB"/>
    <w:rsid w:val="00392E56"/>
    <w:rsid w:val="003930DF"/>
    <w:rsid w:val="003935FE"/>
    <w:rsid w:val="0039385B"/>
    <w:rsid w:val="00393F0E"/>
    <w:rsid w:val="00394034"/>
    <w:rsid w:val="00394534"/>
    <w:rsid w:val="0039462E"/>
    <w:rsid w:val="00394B51"/>
    <w:rsid w:val="00394D83"/>
    <w:rsid w:val="00394DB9"/>
    <w:rsid w:val="00394DC4"/>
    <w:rsid w:val="00394FAC"/>
    <w:rsid w:val="00395C85"/>
    <w:rsid w:val="00395D05"/>
    <w:rsid w:val="00395FD0"/>
    <w:rsid w:val="003960D9"/>
    <w:rsid w:val="0039636D"/>
    <w:rsid w:val="0039642A"/>
    <w:rsid w:val="00396681"/>
    <w:rsid w:val="00397075"/>
    <w:rsid w:val="00397120"/>
    <w:rsid w:val="00397306"/>
    <w:rsid w:val="003973F9"/>
    <w:rsid w:val="00397981"/>
    <w:rsid w:val="00397AF6"/>
    <w:rsid w:val="00397C44"/>
    <w:rsid w:val="00397D48"/>
    <w:rsid w:val="00397F7A"/>
    <w:rsid w:val="003A00BC"/>
    <w:rsid w:val="003A064D"/>
    <w:rsid w:val="003A067D"/>
    <w:rsid w:val="003A085A"/>
    <w:rsid w:val="003A10B8"/>
    <w:rsid w:val="003A1225"/>
    <w:rsid w:val="003A1310"/>
    <w:rsid w:val="003A14DF"/>
    <w:rsid w:val="003A168F"/>
    <w:rsid w:val="003A20D6"/>
    <w:rsid w:val="003A25A1"/>
    <w:rsid w:val="003A262A"/>
    <w:rsid w:val="003A26BD"/>
    <w:rsid w:val="003A2818"/>
    <w:rsid w:val="003A2958"/>
    <w:rsid w:val="003A2AAF"/>
    <w:rsid w:val="003A30D7"/>
    <w:rsid w:val="003A31A0"/>
    <w:rsid w:val="003A35DF"/>
    <w:rsid w:val="003A369A"/>
    <w:rsid w:val="003A3AB6"/>
    <w:rsid w:val="003A3C1C"/>
    <w:rsid w:val="003A3C61"/>
    <w:rsid w:val="003A3E54"/>
    <w:rsid w:val="003A3F5D"/>
    <w:rsid w:val="003A46FC"/>
    <w:rsid w:val="003A5014"/>
    <w:rsid w:val="003A55DA"/>
    <w:rsid w:val="003A57F2"/>
    <w:rsid w:val="003A58D7"/>
    <w:rsid w:val="003A58DA"/>
    <w:rsid w:val="003A6453"/>
    <w:rsid w:val="003A6603"/>
    <w:rsid w:val="003A66E4"/>
    <w:rsid w:val="003A69F2"/>
    <w:rsid w:val="003A6C56"/>
    <w:rsid w:val="003A6C62"/>
    <w:rsid w:val="003A6FF8"/>
    <w:rsid w:val="003A7252"/>
    <w:rsid w:val="003A7561"/>
    <w:rsid w:val="003A75B4"/>
    <w:rsid w:val="003A7880"/>
    <w:rsid w:val="003A7964"/>
    <w:rsid w:val="003A7F1D"/>
    <w:rsid w:val="003A7F25"/>
    <w:rsid w:val="003B0647"/>
    <w:rsid w:val="003B0669"/>
    <w:rsid w:val="003B0B6B"/>
    <w:rsid w:val="003B0CA1"/>
    <w:rsid w:val="003B10CE"/>
    <w:rsid w:val="003B19B9"/>
    <w:rsid w:val="003B1B6F"/>
    <w:rsid w:val="003B1F4D"/>
    <w:rsid w:val="003B2850"/>
    <w:rsid w:val="003B28FF"/>
    <w:rsid w:val="003B2CE7"/>
    <w:rsid w:val="003B319D"/>
    <w:rsid w:val="003B31B4"/>
    <w:rsid w:val="003B3253"/>
    <w:rsid w:val="003B3290"/>
    <w:rsid w:val="003B35BE"/>
    <w:rsid w:val="003B37BF"/>
    <w:rsid w:val="003B3D0E"/>
    <w:rsid w:val="003B400B"/>
    <w:rsid w:val="003B4256"/>
    <w:rsid w:val="003B42E0"/>
    <w:rsid w:val="003B4A4C"/>
    <w:rsid w:val="003B4D5F"/>
    <w:rsid w:val="003B4E7C"/>
    <w:rsid w:val="003B5385"/>
    <w:rsid w:val="003B56EB"/>
    <w:rsid w:val="003B5A3A"/>
    <w:rsid w:val="003B5AE5"/>
    <w:rsid w:val="003B5BFF"/>
    <w:rsid w:val="003B6150"/>
    <w:rsid w:val="003B6282"/>
    <w:rsid w:val="003B64C6"/>
    <w:rsid w:val="003B69B0"/>
    <w:rsid w:val="003B6A52"/>
    <w:rsid w:val="003B6E1D"/>
    <w:rsid w:val="003B6FDF"/>
    <w:rsid w:val="003B7112"/>
    <w:rsid w:val="003B71CD"/>
    <w:rsid w:val="003B726D"/>
    <w:rsid w:val="003B745E"/>
    <w:rsid w:val="003B74D4"/>
    <w:rsid w:val="003C024F"/>
    <w:rsid w:val="003C026F"/>
    <w:rsid w:val="003C0437"/>
    <w:rsid w:val="003C0A65"/>
    <w:rsid w:val="003C0C5F"/>
    <w:rsid w:val="003C0F80"/>
    <w:rsid w:val="003C138F"/>
    <w:rsid w:val="003C167F"/>
    <w:rsid w:val="003C18C4"/>
    <w:rsid w:val="003C1A31"/>
    <w:rsid w:val="003C1AA3"/>
    <w:rsid w:val="003C1C6F"/>
    <w:rsid w:val="003C1D75"/>
    <w:rsid w:val="003C1E4F"/>
    <w:rsid w:val="003C2548"/>
    <w:rsid w:val="003C27A7"/>
    <w:rsid w:val="003C287F"/>
    <w:rsid w:val="003C3005"/>
    <w:rsid w:val="003C31DE"/>
    <w:rsid w:val="003C3575"/>
    <w:rsid w:val="003C379A"/>
    <w:rsid w:val="003C37F7"/>
    <w:rsid w:val="003C38C9"/>
    <w:rsid w:val="003C3D24"/>
    <w:rsid w:val="003C480A"/>
    <w:rsid w:val="003C4960"/>
    <w:rsid w:val="003C497B"/>
    <w:rsid w:val="003C4987"/>
    <w:rsid w:val="003C4A61"/>
    <w:rsid w:val="003C4D03"/>
    <w:rsid w:val="003C4E37"/>
    <w:rsid w:val="003C4F94"/>
    <w:rsid w:val="003C558E"/>
    <w:rsid w:val="003C5874"/>
    <w:rsid w:val="003C5A7F"/>
    <w:rsid w:val="003C5C05"/>
    <w:rsid w:val="003C5DAA"/>
    <w:rsid w:val="003C5E50"/>
    <w:rsid w:val="003C5F28"/>
    <w:rsid w:val="003C66D4"/>
    <w:rsid w:val="003C6700"/>
    <w:rsid w:val="003C690F"/>
    <w:rsid w:val="003C69F5"/>
    <w:rsid w:val="003C6A09"/>
    <w:rsid w:val="003C6B44"/>
    <w:rsid w:val="003C6C22"/>
    <w:rsid w:val="003C7222"/>
    <w:rsid w:val="003C75A9"/>
    <w:rsid w:val="003C7C2A"/>
    <w:rsid w:val="003C7C8E"/>
    <w:rsid w:val="003C7CB5"/>
    <w:rsid w:val="003C7F22"/>
    <w:rsid w:val="003D0070"/>
    <w:rsid w:val="003D01F0"/>
    <w:rsid w:val="003D024B"/>
    <w:rsid w:val="003D0D2D"/>
    <w:rsid w:val="003D139A"/>
    <w:rsid w:val="003D1CAE"/>
    <w:rsid w:val="003D1E94"/>
    <w:rsid w:val="003D209C"/>
    <w:rsid w:val="003D2126"/>
    <w:rsid w:val="003D22D5"/>
    <w:rsid w:val="003D2398"/>
    <w:rsid w:val="003D292A"/>
    <w:rsid w:val="003D293C"/>
    <w:rsid w:val="003D2A9C"/>
    <w:rsid w:val="003D2AE7"/>
    <w:rsid w:val="003D2C0F"/>
    <w:rsid w:val="003D319F"/>
    <w:rsid w:val="003D3213"/>
    <w:rsid w:val="003D353F"/>
    <w:rsid w:val="003D3544"/>
    <w:rsid w:val="003D3615"/>
    <w:rsid w:val="003D3773"/>
    <w:rsid w:val="003D3CFE"/>
    <w:rsid w:val="003D3EAD"/>
    <w:rsid w:val="003D3FD7"/>
    <w:rsid w:val="003D42FD"/>
    <w:rsid w:val="003D461C"/>
    <w:rsid w:val="003D4A79"/>
    <w:rsid w:val="003D4C9D"/>
    <w:rsid w:val="003D5126"/>
    <w:rsid w:val="003D5195"/>
    <w:rsid w:val="003D51C2"/>
    <w:rsid w:val="003D54D3"/>
    <w:rsid w:val="003D5804"/>
    <w:rsid w:val="003D585B"/>
    <w:rsid w:val="003D5B40"/>
    <w:rsid w:val="003D5CD8"/>
    <w:rsid w:val="003D5EF4"/>
    <w:rsid w:val="003D602C"/>
    <w:rsid w:val="003D61B0"/>
    <w:rsid w:val="003D6798"/>
    <w:rsid w:val="003D679D"/>
    <w:rsid w:val="003D6CB4"/>
    <w:rsid w:val="003D6EA8"/>
    <w:rsid w:val="003D7563"/>
    <w:rsid w:val="003D783C"/>
    <w:rsid w:val="003D79A8"/>
    <w:rsid w:val="003D7A18"/>
    <w:rsid w:val="003D7C94"/>
    <w:rsid w:val="003D7CFB"/>
    <w:rsid w:val="003D7F6F"/>
    <w:rsid w:val="003E0027"/>
    <w:rsid w:val="003E00E9"/>
    <w:rsid w:val="003E01B1"/>
    <w:rsid w:val="003E05C1"/>
    <w:rsid w:val="003E0FF4"/>
    <w:rsid w:val="003E1013"/>
    <w:rsid w:val="003E14A4"/>
    <w:rsid w:val="003E1776"/>
    <w:rsid w:val="003E1940"/>
    <w:rsid w:val="003E1941"/>
    <w:rsid w:val="003E1CEA"/>
    <w:rsid w:val="003E1EFE"/>
    <w:rsid w:val="003E20AD"/>
    <w:rsid w:val="003E248F"/>
    <w:rsid w:val="003E2713"/>
    <w:rsid w:val="003E27C3"/>
    <w:rsid w:val="003E30B7"/>
    <w:rsid w:val="003E3CAD"/>
    <w:rsid w:val="003E3E4E"/>
    <w:rsid w:val="003E422B"/>
    <w:rsid w:val="003E459C"/>
    <w:rsid w:val="003E460E"/>
    <w:rsid w:val="003E47BE"/>
    <w:rsid w:val="003E54F8"/>
    <w:rsid w:val="003E5655"/>
    <w:rsid w:val="003E56F9"/>
    <w:rsid w:val="003E5E22"/>
    <w:rsid w:val="003E5F08"/>
    <w:rsid w:val="003E6428"/>
    <w:rsid w:val="003E6436"/>
    <w:rsid w:val="003E68E7"/>
    <w:rsid w:val="003E6B22"/>
    <w:rsid w:val="003E6E05"/>
    <w:rsid w:val="003E6E77"/>
    <w:rsid w:val="003E7991"/>
    <w:rsid w:val="003E7CA1"/>
    <w:rsid w:val="003E7FA8"/>
    <w:rsid w:val="003F03D5"/>
    <w:rsid w:val="003F069D"/>
    <w:rsid w:val="003F07C9"/>
    <w:rsid w:val="003F0E63"/>
    <w:rsid w:val="003F0F5A"/>
    <w:rsid w:val="003F1006"/>
    <w:rsid w:val="003F105F"/>
    <w:rsid w:val="003F11FD"/>
    <w:rsid w:val="003F13B9"/>
    <w:rsid w:val="003F14B0"/>
    <w:rsid w:val="003F160D"/>
    <w:rsid w:val="003F1A72"/>
    <w:rsid w:val="003F1EAE"/>
    <w:rsid w:val="003F2330"/>
    <w:rsid w:val="003F25A1"/>
    <w:rsid w:val="003F2765"/>
    <w:rsid w:val="003F2944"/>
    <w:rsid w:val="003F313D"/>
    <w:rsid w:val="003F33C0"/>
    <w:rsid w:val="003F33D2"/>
    <w:rsid w:val="003F351D"/>
    <w:rsid w:val="003F3BD1"/>
    <w:rsid w:val="003F3DB4"/>
    <w:rsid w:val="003F3E2D"/>
    <w:rsid w:val="003F46FC"/>
    <w:rsid w:val="003F4E13"/>
    <w:rsid w:val="003F5116"/>
    <w:rsid w:val="003F542C"/>
    <w:rsid w:val="003F54A5"/>
    <w:rsid w:val="003F57E0"/>
    <w:rsid w:val="003F5E88"/>
    <w:rsid w:val="003F5EDD"/>
    <w:rsid w:val="003F60FB"/>
    <w:rsid w:val="003F6198"/>
    <w:rsid w:val="003F6DCF"/>
    <w:rsid w:val="003F734C"/>
    <w:rsid w:val="003F73BD"/>
    <w:rsid w:val="003F7515"/>
    <w:rsid w:val="003F77CF"/>
    <w:rsid w:val="003F7A48"/>
    <w:rsid w:val="003F7E3F"/>
    <w:rsid w:val="003F7EC6"/>
    <w:rsid w:val="00400216"/>
    <w:rsid w:val="00400482"/>
    <w:rsid w:val="004004B4"/>
    <w:rsid w:val="00400A8E"/>
    <w:rsid w:val="00401007"/>
    <w:rsid w:val="004011FC"/>
    <w:rsid w:val="0040177E"/>
    <w:rsid w:val="00401B99"/>
    <w:rsid w:val="00401CDB"/>
    <w:rsid w:val="00402176"/>
    <w:rsid w:val="0040231C"/>
    <w:rsid w:val="004027B8"/>
    <w:rsid w:val="00402854"/>
    <w:rsid w:val="00402A6D"/>
    <w:rsid w:val="00402B3A"/>
    <w:rsid w:val="00402B4C"/>
    <w:rsid w:val="00402C87"/>
    <w:rsid w:val="0040327D"/>
    <w:rsid w:val="0040339E"/>
    <w:rsid w:val="004034C1"/>
    <w:rsid w:val="004039A0"/>
    <w:rsid w:val="004039A9"/>
    <w:rsid w:val="00403A70"/>
    <w:rsid w:val="00403AF2"/>
    <w:rsid w:val="00403B38"/>
    <w:rsid w:val="00403E57"/>
    <w:rsid w:val="00404015"/>
    <w:rsid w:val="00404117"/>
    <w:rsid w:val="0040414F"/>
    <w:rsid w:val="0040454C"/>
    <w:rsid w:val="004045CF"/>
    <w:rsid w:val="004046A9"/>
    <w:rsid w:val="00404ACA"/>
    <w:rsid w:val="00404B1F"/>
    <w:rsid w:val="00404DBE"/>
    <w:rsid w:val="00405109"/>
    <w:rsid w:val="0040533A"/>
    <w:rsid w:val="0040537A"/>
    <w:rsid w:val="004053DD"/>
    <w:rsid w:val="004056A4"/>
    <w:rsid w:val="004057EA"/>
    <w:rsid w:val="00405AA3"/>
    <w:rsid w:val="00406023"/>
    <w:rsid w:val="00406039"/>
    <w:rsid w:val="0040626B"/>
    <w:rsid w:val="00406560"/>
    <w:rsid w:val="00406569"/>
    <w:rsid w:val="004065E9"/>
    <w:rsid w:val="00406641"/>
    <w:rsid w:val="004066FB"/>
    <w:rsid w:val="00406B5F"/>
    <w:rsid w:val="004073AD"/>
    <w:rsid w:val="00407480"/>
    <w:rsid w:val="00407EF6"/>
    <w:rsid w:val="00410345"/>
    <w:rsid w:val="00410F63"/>
    <w:rsid w:val="00411136"/>
    <w:rsid w:val="0041116A"/>
    <w:rsid w:val="0041117B"/>
    <w:rsid w:val="00411244"/>
    <w:rsid w:val="004115C9"/>
    <w:rsid w:val="00411720"/>
    <w:rsid w:val="00411A81"/>
    <w:rsid w:val="00411CB8"/>
    <w:rsid w:val="00411E0F"/>
    <w:rsid w:val="00411EC7"/>
    <w:rsid w:val="004128A6"/>
    <w:rsid w:val="0041294E"/>
    <w:rsid w:val="00412B69"/>
    <w:rsid w:val="00412BC2"/>
    <w:rsid w:val="00412C16"/>
    <w:rsid w:val="00412DBD"/>
    <w:rsid w:val="00412F16"/>
    <w:rsid w:val="00413000"/>
    <w:rsid w:val="0041305E"/>
    <w:rsid w:val="004131BF"/>
    <w:rsid w:val="0041346E"/>
    <w:rsid w:val="00413661"/>
    <w:rsid w:val="00413705"/>
    <w:rsid w:val="00413739"/>
    <w:rsid w:val="00413D4A"/>
    <w:rsid w:val="00413DF2"/>
    <w:rsid w:val="00413E69"/>
    <w:rsid w:val="004140EB"/>
    <w:rsid w:val="004141B4"/>
    <w:rsid w:val="004142AF"/>
    <w:rsid w:val="00414428"/>
    <w:rsid w:val="0041444E"/>
    <w:rsid w:val="00414711"/>
    <w:rsid w:val="00414936"/>
    <w:rsid w:val="00414A5E"/>
    <w:rsid w:val="00415029"/>
    <w:rsid w:val="00415194"/>
    <w:rsid w:val="0041586B"/>
    <w:rsid w:val="0041596E"/>
    <w:rsid w:val="004159A4"/>
    <w:rsid w:val="004159D8"/>
    <w:rsid w:val="00415D28"/>
    <w:rsid w:val="0041629D"/>
    <w:rsid w:val="0041629E"/>
    <w:rsid w:val="004163AE"/>
    <w:rsid w:val="00416453"/>
    <w:rsid w:val="00416A84"/>
    <w:rsid w:val="00417325"/>
    <w:rsid w:val="004173A2"/>
    <w:rsid w:val="0041750B"/>
    <w:rsid w:val="00417760"/>
    <w:rsid w:val="00417AB2"/>
    <w:rsid w:val="00417CC8"/>
    <w:rsid w:val="00417D40"/>
    <w:rsid w:val="00417EB5"/>
    <w:rsid w:val="004204B6"/>
    <w:rsid w:val="00420ADD"/>
    <w:rsid w:val="00420BB1"/>
    <w:rsid w:val="00420CD1"/>
    <w:rsid w:val="00420DB6"/>
    <w:rsid w:val="00421268"/>
    <w:rsid w:val="00422B64"/>
    <w:rsid w:val="00422CEC"/>
    <w:rsid w:val="00423163"/>
    <w:rsid w:val="00423278"/>
    <w:rsid w:val="00423A89"/>
    <w:rsid w:val="00424189"/>
    <w:rsid w:val="00424426"/>
    <w:rsid w:val="00424A15"/>
    <w:rsid w:val="00425714"/>
    <w:rsid w:val="004258FA"/>
    <w:rsid w:val="00425A35"/>
    <w:rsid w:val="00425ABA"/>
    <w:rsid w:val="00425CC6"/>
    <w:rsid w:val="00425D9A"/>
    <w:rsid w:val="00425E45"/>
    <w:rsid w:val="004263EA"/>
    <w:rsid w:val="004263EE"/>
    <w:rsid w:val="00426859"/>
    <w:rsid w:val="004269A5"/>
    <w:rsid w:val="00426A0D"/>
    <w:rsid w:val="00426C38"/>
    <w:rsid w:val="004270A0"/>
    <w:rsid w:val="00427365"/>
    <w:rsid w:val="004273EF"/>
    <w:rsid w:val="00427452"/>
    <w:rsid w:val="004279D4"/>
    <w:rsid w:val="00427AC3"/>
    <w:rsid w:val="00427C0B"/>
    <w:rsid w:val="004300FA"/>
    <w:rsid w:val="0043014B"/>
    <w:rsid w:val="004301C9"/>
    <w:rsid w:val="00430293"/>
    <w:rsid w:val="0043078F"/>
    <w:rsid w:val="004307FE"/>
    <w:rsid w:val="004309A8"/>
    <w:rsid w:val="00430D6D"/>
    <w:rsid w:val="00430DA7"/>
    <w:rsid w:val="00430E8F"/>
    <w:rsid w:val="00430FD1"/>
    <w:rsid w:val="0043120E"/>
    <w:rsid w:val="00431833"/>
    <w:rsid w:val="00431A0E"/>
    <w:rsid w:val="00431D00"/>
    <w:rsid w:val="004324C1"/>
    <w:rsid w:val="00432766"/>
    <w:rsid w:val="00432F05"/>
    <w:rsid w:val="00433528"/>
    <w:rsid w:val="00433877"/>
    <w:rsid w:val="00433C29"/>
    <w:rsid w:val="00433CAE"/>
    <w:rsid w:val="004341DC"/>
    <w:rsid w:val="0043426B"/>
    <w:rsid w:val="004342FA"/>
    <w:rsid w:val="00434955"/>
    <w:rsid w:val="00434F46"/>
    <w:rsid w:val="00434F78"/>
    <w:rsid w:val="004352B7"/>
    <w:rsid w:val="004354AE"/>
    <w:rsid w:val="004356C1"/>
    <w:rsid w:val="00435794"/>
    <w:rsid w:val="00436027"/>
    <w:rsid w:val="004360AE"/>
    <w:rsid w:val="004361AF"/>
    <w:rsid w:val="00436513"/>
    <w:rsid w:val="004367DB"/>
    <w:rsid w:val="004368B0"/>
    <w:rsid w:val="004369C6"/>
    <w:rsid w:val="00436B25"/>
    <w:rsid w:val="00436CFF"/>
    <w:rsid w:val="00436D10"/>
    <w:rsid w:val="00436F7A"/>
    <w:rsid w:val="00437329"/>
    <w:rsid w:val="004400D7"/>
    <w:rsid w:val="004401E7"/>
    <w:rsid w:val="004408C3"/>
    <w:rsid w:val="004417ED"/>
    <w:rsid w:val="00441B69"/>
    <w:rsid w:val="00441DDB"/>
    <w:rsid w:val="00441EEE"/>
    <w:rsid w:val="004420E9"/>
    <w:rsid w:val="00442336"/>
    <w:rsid w:val="0044283D"/>
    <w:rsid w:val="00442CD2"/>
    <w:rsid w:val="00442EF4"/>
    <w:rsid w:val="00442FD5"/>
    <w:rsid w:val="00443425"/>
    <w:rsid w:val="004436A3"/>
    <w:rsid w:val="0044371C"/>
    <w:rsid w:val="00443770"/>
    <w:rsid w:val="00443F93"/>
    <w:rsid w:val="00443FD7"/>
    <w:rsid w:val="004444CA"/>
    <w:rsid w:val="00444DB6"/>
    <w:rsid w:val="00444F77"/>
    <w:rsid w:val="004451C9"/>
    <w:rsid w:val="004451E5"/>
    <w:rsid w:val="004456A7"/>
    <w:rsid w:val="0044573B"/>
    <w:rsid w:val="00445CFF"/>
    <w:rsid w:val="00445D5B"/>
    <w:rsid w:val="004465F8"/>
    <w:rsid w:val="00446629"/>
    <w:rsid w:val="00446827"/>
    <w:rsid w:val="00446AEC"/>
    <w:rsid w:val="0044708F"/>
    <w:rsid w:val="004473DC"/>
    <w:rsid w:val="0044784A"/>
    <w:rsid w:val="00447937"/>
    <w:rsid w:val="0044795B"/>
    <w:rsid w:val="00447A08"/>
    <w:rsid w:val="00447B7C"/>
    <w:rsid w:val="00447DB9"/>
    <w:rsid w:val="00447F26"/>
    <w:rsid w:val="00447F2E"/>
    <w:rsid w:val="00447F77"/>
    <w:rsid w:val="00447FDC"/>
    <w:rsid w:val="00450657"/>
    <w:rsid w:val="004508A9"/>
    <w:rsid w:val="00450C17"/>
    <w:rsid w:val="00450E11"/>
    <w:rsid w:val="00451103"/>
    <w:rsid w:val="004512C8"/>
    <w:rsid w:val="004517C3"/>
    <w:rsid w:val="00451806"/>
    <w:rsid w:val="00452045"/>
    <w:rsid w:val="00452157"/>
    <w:rsid w:val="00452556"/>
    <w:rsid w:val="00452ECB"/>
    <w:rsid w:val="0045323B"/>
    <w:rsid w:val="00453420"/>
    <w:rsid w:val="00453631"/>
    <w:rsid w:val="004536FF"/>
    <w:rsid w:val="00453A7B"/>
    <w:rsid w:val="00453BE0"/>
    <w:rsid w:val="00453C0A"/>
    <w:rsid w:val="004544BF"/>
    <w:rsid w:val="0045450F"/>
    <w:rsid w:val="00454870"/>
    <w:rsid w:val="00454DB9"/>
    <w:rsid w:val="00455051"/>
    <w:rsid w:val="00455F0C"/>
    <w:rsid w:val="0045642B"/>
    <w:rsid w:val="004564D3"/>
    <w:rsid w:val="00456515"/>
    <w:rsid w:val="00456B79"/>
    <w:rsid w:val="00456BF7"/>
    <w:rsid w:val="00456C64"/>
    <w:rsid w:val="00457068"/>
    <w:rsid w:val="00457074"/>
    <w:rsid w:val="0045733C"/>
    <w:rsid w:val="0045739B"/>
    <w:rsid w:val="0045758C"/>
    <w:rsid w:val="0045771B"/>
    <w:rsid w:val="00457D3B"/>
    <w:rsid w:val="004604E3"/>
    <w:rsid w:val="00460574"/>
    <w:rsid w:val="00460617"/>
    <w:rsid w:val="0046061F"/>
    <w:rsid w:val="0046087B"/>
    <w:rsid w:val="004608F2"/>
    <w:rsid w:val="00460B38"/>
    <w:rsid w:val="00460C43"/>
    <w:rsid w:val="00460C9C"/>
    <w:rsid w:val="00460CDA"/>
    <w:rsid w:val="00460DDB"/>
    <w:rsid w:val="00461009"/>
    <w:rsid w:val="00461223"/>
    <w:rsid w:val="00461250"/>
    <w:rsid w:val="004614DF"/>
    <w:rsid w:val="004615DC"/>
    <w:rsid w:val="00461633"/>
    <w:rsid w:val="00461700"/>
    <w:rsid w:val="00461A29"/>
    <w:rsid w:val="00461EE2"/>
    <w:rsid w:val="00462A07"/>
    <w:rsid w:val="00462E7E"/>
    <w:rsid w:val="00462F3E"/>
    <w:rsid w:val="00462FD1"/>
    <w:rsid w:val="0046314F"/>
    <w:rsid w:val="00463265"/>
    <w:rsid w:val="00463399"/>
    <w:rsid w:val="00463907"/>
    <w:rsid w:val="00463E02"/>
    <w:rsid w:val="00463E08"/>
    <w:rsid w:val="00463F95"/>
    <w:rsid w:val="00464014"/>
    <w:rsid w:val="0046450D"/>
    <w:rsid w:val="00464541"/>
    <w:rsid w:val="0046457A"/>
    <w:rsid w:val="00464756"/>
    <w:rsid w:val="00465014"/>
    <w:rsid w:val="00465481"/>
    <w:rsid w:val="00465E81"/>
    <w:rsid w:val="004662B4"/>
    <w:rsid w:val="00466582"/>
    <w:rsid w:val="004667B7"/>
    <w:rsid w:val="004667C3"/>
    <w:rsid w:val="00466BAE"/>
    <w:rsid w:val="00466D23"/>
    <w:rsid w:val="004670F5"/>
    <w:rsid w:val="00467153"/>
    <w:rsid w:val="004671FB"/>
    <w:rsid w:val="004674F2"/>
    <w:rsid w:val="00467767"/>
    <w:rsid w:val="004677A6"/>
    <w:rsid w:val="004678DD"/>
    <w:rsid w:val="00467950"/>
    <w:rsid w:val="0047035E"/>
    <w:rsid w:val="00470BAF"/>
    <w:rsid w:val="00471407"/>
    <w:rsid w:val="00471568"/>
    <w:rsid w:val="004715EF"/>
    <w:rsid w:val="00471F82"/>
    <w:rsid w:val="004727AE"/>
    <w:rsid w:val="004727F5"/>
    <w:rsid w:val="00472977"/>
    <w:rsid w:val="004729AF"/>
    <w:rsid w:val="0047310B"/>
    <w:rsid w:val="004731B3"/>
    <w:rsid w:val="0047324B"/>
    <w:rsid w:val="0047346B"/>
    <w:rsid w:val="004743E2"/>
    <w:rsid w:val="00474943"/>
    <w:rsid w:val="00474D46"/>
    <w:rsid w:val="00474FA6"/>
    <w:rsid w:val="0047516D"/>
    <w:rsid w:val="00475422"/>
    <w:rsid w:val="00475F8F"/>
    <w:rsid w:val="004760F1"/>
    <w:rsid w:val="00476133"/>
    <w:rsid w:val="0047614C"/>
    <w:rsid w:val="0047614F"/>
    <w:rsid w:val="0047647B"/>
    <w:rsid w:val="00476E0D"/>
    <w:rsid w:val="00477083"/>
    <w:rsid w:val="0047730F"/>
    <w:rsid w:val="00477559"/>
    <w:rsid w:val="0047772E"/>
    <w:rsid w:val="00477901"/>
    <w:rsid w:val="00477A6D"/>
    <w:rsid w:val="00480288"/>
    <w:rsid w:val="00480667"/>
    <w:rsid w:val="00480A69"/>
    <w:rsid w:val="00480B9B"/>
    <w:rsid w:val="00480E8E"/>
    <w:rsid w:val="00481335"/>
    <w:rsid w:val="00481493"/>
    <w:rsid w:val="00481615"/>
    <w:rsid w:val="00481C0D"/>
    <w:rsid w:val="00482052"/>
    <w:rsid w:val="004820F5"/>
    <w:rsid w:val="00482192"/>
    <w:rsid w:val="00482981"/>
    <w:rsid w:val="00482A48"/>
    <w:rsid w:val="00482F89"/>
    <w:rsid w:val="0048302B"/>
    <w:rsid w:val="004831C1"/>
    <w:rsid w:val="004831EF"/>
    <w:rsid w:val="0048344D"/>
    <w:rsid w:val="00483710"/>
    <w:rsid w:val="00483E8E"/>
    <w:rsid w:val="00484B85"/>
    <w:rsid w:val="00485557"/>
    <w:rsid w:val="00485876"/>
    <w:rsid w:val="00485E1D"/>
    <w:rsid w:val="00486181"/>
    <w:rsid w:val="0048621A"/>
    <w:rsid w:val="00486521"/>
    <w:rsid w:val="004867C3"/>
    <w:rsid w:val="004867E7"/>
    <w:rsid w:val="00486DA0"/>
    <w:rsid w:val="004875D3"/>
    <w:rsid w:val="00487912"/>
    <w:rsid w:val="004879A8"/>
    <w:rsid w:val="00487A8D"/>
    <w:rsid w:val="00487A91"/>
    <w:rsid w:val="0049021E"/>
    <w:rsid w:val="00490833"/>
    <w:rsid w:val="004909F3"/>
    <w:rsid w:val="00490FCF"/>
    <w:rsid w:val="0049134B"/>
    <w:rsid w:val="00491368"/>
    <w:rsid w:val="00491DD4"/>
    <w:rsid w:val="00492257"/>
    <w:rsid w:val="004924C2"/>
    <w:rsid w:val="00492665"/>
    <w:rsid w:val="0049266E"/>
    <w:rsid w:val="00492744"/>
    <w:rsid w:val="004927BF"/>
    <w:rsid w:val="004927EA"/>
    <w:rsid w:val="00492C8B"/>
    <w:rsid w:val="004930D5"/>
    <w:rsid w:val="00493CB2"/>
    <w:rsid w:val="00493E13"/>
    <w:rsid w:val="00494938"/>
    <w:rsid w:val="00494D68"/>
    <w:rsid w:val="00494D71"/>
    <w:rsid w:val="00494E3C"/>
    <w:rsid w:val="00495019"/>
    <w:rsid w:val="004950EE"/>
    <w:rsid w:val="00495138"/>
    <w:rsid w:val="00495461"/>
    <w:rsid w:val="0049576F"/>
    <w:rsid w:val="0049579C"/>
    <w:rsid w:val="004957E2"/>
    <w:rsid w:val="00495C46"/>
    <w:rsid w:val="00496596"/>
    <w:rsid w:val="004967CA"/>
    <w:rsid w:val="00496A31"/>
    <w:rsid w:val="00496F0B"/>
    <w:rsid w:val="004974A4"/>
    <w:rsid w:val="00497778"/>
    <w:rsid w:val="004977F1"/>
    <w:rsid w:val="00497935"/>
    <w:rsid w:val="00497EFA"/>
    <w:rsid w:val="004A056E"/>
    <w:rsid w:val="004A0788"/>
    <w:rsid w:val="004A13DB"/>
    <w:rsid w:val="004A1467"/>
    <w:rsid w:val="004A1991"/>
    <w:rsid w:val="004A1A52"/>
    <w:rsid w:val="004A1A66"/>
    <w:rsid w:val="004A21BD"/>
    <w:rsid w:val="004A21CC"/>
    <w:rsid w:val="004A2214"/>
    <w:rsid w:val="004A2637"/>
    <w:rsid w:val="004A268F"/>
    <w:rsid w:val="004A2792"/>
    <w:rsid w:val="004A2916"/>
    <w:rsid w:val="004A2BA9"/>
    <w:rsid w:val="004A2E2C"/>
    <w:rsid w:val="004A2F93"/>
    <w:rsid w:val="004A30A7"/>
    <w:rsid w:val="004A34C1"/>
    <w:rsid w:val="004A3DFC"/>
    <w:rsid w:val="004A43F6"/>
    <w:rsid w:val="004A468A"/>
    <w:rsid w:val="004A47BF"/>
    <w:rsid w:val="004A4905"/>
    <w:rsid w:val="004A49A8"/>
    <w:rsid w:val="004A4CF8"/>
    <w:rsid w:val="004A4E5B"/>
    <w:rsid w:val="004A4FD6"/>
    <w:rsid w:val="004A53F0"/>
    <w:rsid w:val="004A5738"/>
    <w:rsid w:val="004A5C29"/>
    <w:rsid w:val="004A5CD5"/>
    <w:rsid w:val="004A607F"/>
    <w:rsid w:val="004A628B"/>
    <w:rsid w:val="004A6562"/>
    <w:rsid w:val="004A6F1C"/>
    <w:rsid w:val="004A7192"/>
    <w:rsid w:val="004A7390"/>
    <w:rsid w:val="004A774C"/>
    <w:rsid w:val="004B0017"/>
    <w:rsid w:val="004B0549"/>
    <w:rsid w:val="004B0637"/>
    <w:rsid w:val="004B08C3"/>
    <w:rsid w:val="004B0C6C"/>
    <w:rsid w:val="004B0D59"/>
    <w:rsid w:val="004B1028"/>
    <w:rsid w:val="004B1647"/>
    <w:rsid w:val="004B1DF5"/>
    <w:rsid w:val="004B1F29"/>
    <w:rsid w:val="004B234F"/>
    <w:rsid w:val="004B2777"/>
    <w:rsid w:val="004B2D51"/>
    <w:rsid w:val="004B2D63"/>
    <w:rsid w:val="004B3021"/>
    <w:rsid w:val="004B316A"/>
    <w:rsid w:val="004B31F7"/>
    <w:rsid w:val="004B3273"/>
    <w:rsid w:val="004B3476"/>
    <w:rsid w:val="004B3813"/>
    <w:rsid w:val="004B3A78"/>
    <w:rsid w:val="004B3F92"/>
    <w:rsid w:val="004B41FF"/>
    <w:rsid w:val="004B4898"/>
    <w:rsid w:val="004B4D6B"/>
    <w:rsid w:val="004B4DBD"/>
    <w:rsid w:val="004B520E"/>
    <w:rsid w:val="004B532E"/>
    <w:rsid w:val="004B5651"/>
    <w:rsid w:val="004B5DE1"/>
    <w:rsid w:val="004B5F38"/>
    <w:rsid w:val="004B6CEA"/>
    <w:rsid w:val="004B6D5F"/>
    <w:rsid w:val="004B73BF"/>
    <w:rsid w:val="004B747E"/>
    <w:rsid w:val="004B7926"/>
    <w:rsid w:val="004B7CD5"/>
    <w:rsid w:val="004C04E9"/>
    <w:rsid w:val="004C0B1B"/>
    <w:rsid w:val="004C149D"/>
    <w:rsid w:val="004C15F8"/>
    <w:rsid w:val="004C22A9"/>
    <w:rsid w:val="004C26F5"/>
    <w:rsid w:val="004C2A16"/>
    <w:rsid w:val="004C2FF8"/>
    <w:rsid w:val="004C3590"/>
    <w:rsid w:val="004C378A"/>
    <w:rsid w:val="004C3AC4"/>
    <w:rsid w:val="004C3C02"/>
    <w:rsid w:val="004C3D6C"/>
    <w:rsid w:val="004C3F2B"/>
    <w:rsid w:val="004C403C"/>
    <w:rsid w:val="004C418B"/>
    <w:rsid w:val="004C44A6"/>
    <w:rsid w:val="004C4695"/>
    <w:rsid w:val="004C49C5"/>
    <w:rsid w:val="004C4CA2"/>
    <w:rsid w:val="004C4F31"/>
    <w:rsid w:val="004C5469"/>
    <w:rsid w:val="004C54C3"/>
    <w:rsid w:val="004C56E9"/>
    <w:rsid w:val="004C5755"/>
    <w:rsid w:val="004C594C"/>
    <w:rsid w:val="004C5CE6"/>
    <w:rsid w:val="004C60A1"/>
    <w:rsid w:val="004C6801"/>
    <w:rsid w:val="004C681A"/>
    <w:rsid w:val="004C6AFA"/>
    <w:rsid w:val="004C6FB3"/>
    <w:rsid w:val="004C7118"/>
    <w:rsid w:val="004C7129"/>
    <w:rsid w:val="004C72B5"/>
    <w:rsid w:val="004C7493"/>
    <w:rsid w:val="004C75E7"/>
    <w:rsid w:val="004C77A9"/>
    <w:rsid w:val="004D0BF8"/>
    <w:rsid w:val="004D119F"/>
    <w:rsid w:val="004D12CD"/>
    <w:rsid w:val="004D143D"/>
    <w:rsid w:val="004D15D2"/>
    <w:rsid w:val="004D1675"/>
    <w:rsid w:val="004D1B5C"/>
    <w:rsid w:val="004D1D86"/>
    <w:rsid w:val="004D2455"/>
    <w:rsid w:val="004D249D"/>
    <w:rsid w:val="004D2570"/>
    <w:rsid w:val="004D2AB7"/>
    <w:rsid w:val="004D2B3B"/>
    <w:rsid w:val="004D2DE5"/>
    <w:rsid w:val="004D3250"/>
    <w:rsid w:val="004D3549"/>
    <w:rsid w:val="004D38A5"/>
    <w:rsid w:val="004D3E7C"/>
    <w:rsid w:val="004D40AD"/>
    <w:rsid w:val="004D41C5"/>
    <w:rsid w:val="004D4304"/>
    <w:rsid w:val="004D453C"/>
    <w:rsid w:val="004D466C"/>
    <w:rsid w:val="004D47E6"/>
    <w:rsid w:val="004D4D58"/>
    <w:rsid w:val="004D4D79"/>
    <w:rsid w:val="004D4FAA"/>
    <w:rsid w:val="004D51CF"/>
    <w:rsid w:val="004D5691"/>
    <w:rsid w:val="004D597A"/>
    <w:rsid w:val="004D5A53"/>
    <w:rsid w:val="004D5A66"/>
    <w:rsid w:val="004D5BF6"/>
    <w:rsid w:val="004D5C0D"/>
    <w:rsid w:val="004D5FAB"/>
    <w:rsid w:val="004D6120"/>
    <w:rsid w:val="004D6446"/>
    <w:rsid w:val="004D6573"/>
    <w:rsid w:val="004D691C"/>
    <w:rsid w:val="004D6D9C"/>
    <w:rsid w:val="004D6F22"/>
    <w:rsid w:val="004D7171"/>
    <w:rsid w:val="004D71E0"/>
    <w:rsid w:val="004D7511"/>
    <w:rsid w:val="004D7C2C"/>
    <w:rsid w:val="004D7D98"/>
    <w:rsid w:val="004D7F09"/>
    <w:rsid w:val="004E01C7"/>
    <w:rsid w:val="004E0616"/>
    <w:rsid w:val="004E06DD"/>
    <w:rsid w:val="004E0865"/>
    <w:rsid w:val="004E1383"/>
    <w:rsid w:val="004E1415"/>
    <w:rsid w:val="004E14F5"/>
    <w:rsid w:val="004E19BA"/>
    <w:rsid w:val="004E1A6A"/>
    <w:rsid w:val="004E1D1D"/>
    <w:rsid w:val="004E1F72"/>
    <w:rsid w:val="004E22EE"/>
    <w:rsid w:val="004E366B"/>
    <w:rsid w:val="004E36A3"/>
    <w:rsid w:val="004E3A7F"/>
    <w:rsid w:val="004E3C88"/>
    <w:rsid w:val="004E3E7F"/>
    <w:rsid w:val="004E40A5"/>
    <w:rsid w:val="004E4299"/>
    <w:rsid w:val="004E4478"/>
    <w:rsid w:val="004E46E4"/>
    <w:rsid w:val="004E48BE"/>
    <w:rsid w:val="004E4FC8"/>
    <w:rsid w:val="004E5326"/>
    <w:rsid w:val="004E5689"/>
    <w:rsid w:val="004E5908"/>
    <w:rsid w:val="004E5DAC"/>
    <w:rsid w:val="004E5EC6"/>
    <w:rsid w:val="004E6035"/>
    <w:rsid w:val="004E6087"/>
    <w:rsid w:val="004E63B5"/>
    <w:rsid w:val="004E669E"/>
    <w:rsid w:val="004E67DE"/>
    <w:rsid w:val="004E6EB4"/>
    <w:rsid w:val="004E6F9D"/>
    <w:rsid w:val="004E7009"/>
    <w:rsid w:val="004E709C"/>
    <w:rsid w:val="004E72D8"/>
    <w:rsid w:val="004E76C4"/>
    <w:rsid w:val="004E786E"/>
    <w:rsid w:val="004E7B9D"/>
    <w:rsid w:val="004E7CC6"/>
    <w:rsid w:val="004E7FD9"/>
    <w:rsid w:val="004F0134"/>
    <w:rsid w:val="004F0827"/>
    <w:rsid w:val="004F0D29"/>
    <w:rsid w:val="004F0F38"/>
    <w:rsid w:val="004F1423"/>
    <w:rsid w:val="004F15DA"/>
    <w:rsid w:val="004F162E"/>
    <w:rsid w:val="004F1F62"/>
    <w:rsid w:val="004F2175"/>
    <w:rsid w:val="004F22CD"/>
    <w:rsid w:val="004F22F9"/>
    <w:rsid w:val="004F2CE1"/>
    <w:rsid w:val="004F3503"/>
    <w:rsid w:val="004F35F2"/>
    <w:rsid w:val="004F3849"/>
    <w:rsid w:val="004F3E99"/>
    <w:rsid w:val="004F4014"/>
    <w:rsid w:val="004F487C"/>
    <w:rsid w:val="004F501F"/>
    <w:rsid w:val="004F5105"/>
    <w:rsid w:val="004F53D8"/>
    <w:rsid w:val="004F5876"/>
    <w:rsid w:val="004F5AAC"/>
    <w:rsid w:val="004F5CE5"/>
    <w:rsid w:val="004F5CEC"/>
    <w:rsid w:val="004F5DFD"/>
    <w:rsid w:val="004F6003"/>
    <w:rsid w:val="004F6F70"/>
    <w:rsid w:val="004F751F"/>
    <w:rsid w:val="004F786E"/>
    <w:rsid w:val="004F7A3C"/>
    <w:rsid w:val="004F7DA1"/>
    <w:rsid w:val="004F7EBB"/>
    <w:rsid w:val="0050002B"/>
    <w:rsid w:val="005003D7"/>
    <w:rsid w:val="00500682"/>
    <w:rsid w:val="00500693"/>
    <w:rsid w:val="00501367"/>
    <w:rsid w:val="0050141B"/>
    <w:rsid w:val="005015F8"/>
    <w:rsid w:val="00501AA8"/>
    <w:rsid w:val="00502180"/>
    <w:rsid w:val="00502AF4"/>
    <w:rsid w:val="00502CD9"/>
    <w:rsid w:val="00503286"/>
    <w:rsid w:val="005039C6"/>
    <w:rsid w:val="0050482C"/>
    <w:rsid w:val="00504EE5"/>
    <w:rsid w:val="005050C3"/>
    <w:rsid w:val="005053BA"/>
    <w:rsid w:val="00505A2B"/>
    <w:rsid w:val="00505C68"/>
    <w:rsid w:val="0050650B"/>
    <w:rsid w:val="005066D1"/>
    <w:rsid w:val="00506EF3"/>
    <w:rsid w:val="005070BC"/>
    <w:rsid w:val="0050732E"/>
    <w:rsid w:val="00507495"/>
    <w:rsid w:val="00510403"/>
    <w:rsid w:val="00510688"/>
    <w:rsid w:val="00510821"/>
    <w:rsid w:val="00510B6E"/>
    <w:rsid w:val="0051140A"/>
    <w:rsid w:val="005119E4"/>
    <w:rsid w:val="00511B13"/>
    <w:rsid w:val="00511DC3"/>
    <w:rsid w:val="00512692"/>
    <w:rsid w:val="005126A7"/>
    <w:rsid w:val="00512869"/>
    <w:rsid w:val="00512991"/>
    <w:rsid w:val="00512A6B"/>
    <w:rsid w:val="00512ABA"/>
    <w:rsid w:val="00512ABD"/>
    <w:rsid w:val="00513728"/>
    <w:rsid w:val="005139A8"/>
    <w:rsid w:val="00513D9C"/>
    <w:rsid w:val="00513DCE"/>
    <w:rsid w:val="00513EF5"/>
    <w:rsid w:val="00513FBB"/>
    <w:rsid w:val="00514073"/>
    <w:rsid w:val="0051414B"/>
    <w:rsid w:val="0051415E"/>
    <w:rsid w:val="0051466D"/>
    <w:rsid w:val="0051487A"/>
    <w:rsid w:val="00514A7E"/>
    <w:rsid w:val="00514CDB"/>
    <w:rsid w:val="00514CFE"/>
    <w:rsid w:val="00514E05"/>
    <w:rsid w:val="00514E0D"/>
    <w:rsid w:val="00514EB9"/>
    <w:rsid w:val="005158AA"/>
    <w:rsid w:val="00515B4D"/>
    <w:rsid w:val="00515C3A"/>
    <w:rsid w:val="00515CA1"/>
    <w:rsid w:val="00515F8F"/>
    <w:rsid w:val="00516544"/>
    <w:rsid w:val="005167DE"/>
    <w:rsid w:val="00516849"/>
    <w:rsid w:val="00516955"/>
    <w:rsid w:val="00516C36"/>
    <w:rsid w:val="00516DFD"/>
    <w:rsid w:val="00516F14"/>
    <w:rsid w:val="00517215"/>
    <w:rsid w:val="00517352"/>
    <w:rsid w:val="00517469"/>
    <w:rsid w:val="00520480"/>
    <w:rsid w:val="00520629"/>
    <w:rsid w:val="00520713"/>
    <w:rsid w:val="005207D1"/>
    <w:rsid w:val="00521003"/>
    <w:rsid w:val="0052148F"/>
    <w:rsid w:val="00521AA0"/>
    <w:rsid w:val="00521ADA"/>
    <w:rsid w:val="00521DA5"/>
    <w:rsid w:val="00521E51"/>
    <w:rsid w:val="0052288A"/>
    <w:rsid w:val="00522E94"/>
    <w:rsid w:val="00523250"/>
    <w:rsid w:val="0052354E"/>
    <w:rsid w:val="0052359F"/>
    <w:rsid w:val="0052362C"/>
    <w:rsid w:val="00523782"/>
    <w:rsid w:val="0052381C"/>
    <w:rsid w:val="005239C9"/>
    <w:rsid w:val="00523C23"/>
    <w:rsid w:val="00523E37"/>
    <w:rsid w:val="00524085"/>
    <w:rsid w:val="005242C2"/>
    <w:rsid w:val="005242C8"/>
    <w:rsid w:val="0052518D"/>
    <w:rsid w:val="00525224"/>
    <w:rsid w:val="00525240"/>
    <w:rsid w:val="00525417"/>
    <w:rsid w:val="00525A32"/>
    <w:rsid w:val="00525F3D"/>
    <w:rsid w:val="005276CC"/>
    <w:rsid w:val="00527992"/>
    <w:rsid w:val="00527A46"/>
    <w:rsid w:val="00527E9B"/>
    <w:rsid w:val="00530154"/>
    <w:rsid w:val="005308BB"/>
    <w:rsid w:val="00530938"/>
    <w:rsid w:val="0053098C"/>
    <w:rsid w:val="00530D75"/>
    <w:rsid w:val="00530DE7"/>
    <w:rsid w:val="00530F31"/>
    <w:rsid w:val="00530F66"/>
    <w:rsid w:val="00531468"/>
    <w:rsid w:val="00531646"/>
    <w:rsid w:val="00531EFB"/>
    <w:rsid w:val="00531F76"/>
    <w:rsid w:val="00532409"/>
    <w:rsid w:val="005324AB"/>
    <w:rsid w:val="005325BE"/>
    <w:rsid w:val="0053284B"/>
    <w:rsid w:val="00532E02"/>
    <w:rsid w:val="0053309B"/>
    <w:rsid w:val="00533B07"/>
    <w:rsid w:val="00533F1F"/>
    <w:rsid w:val="0053407C"/>
    <w:rsid w:val="00534089"/>
    <w:rsid w:val="005343D2"/>
    <w:rsid w:val="00534817"/>
    <w:rsid w:val="00534846"/>
    <w:rsid w:val="00534AAC"/>
    <w:rsid w:val="00534B1F"/>
    <w:rsid w:val="00535A62"/>
    <w:rsid w:val="00535AA0"/>
    <w:rsid w:val="00535B04"/>
    <w:rsid w:val="005361B9"/>
    <w:rsid w:val="005363E8"/>
    <w:rsid w:val="0053641C"/>
    <w:rsid w:val="00536997"/>
    <w:rsid w:val="00536A34"/>
    <w:rsid w:val="00536C10"/>
    <w:rsid w:val="00536F26"/>
    <w:rsid w:val="00537595"/>
    <w:rsid w:val="00537A01"/>
    <w:rsid w:val="00537AEF"/>
    <w:rsid w:val="00537CF4"/>
    <w:rsid w:val="00537D3A"/>
    <w:rsid w:val="005402E8"/>
    <w:rsid w:val="00540592"/>
    <w:rsid w:val="00540A84"/>
    <w:rsid w:val="00540CB8"/>
    <w:rsid w:val="00540D3F"/>
    <w:rsid w:val="00541025"/>
    <w:rsid w:val="00541932"/>
    <w:rsid w:val="00541C23"/>
    <w:rsid w:val="00541D0B"/>
    <w:rsid w:val="00541D86"/>
    <w:rsid w:val="00542153"/>
    <w:rsid w:val="005422C6"/>
    <w:rsid w:val="0054233E"/>
    <w:rsid w:val="00542737"/>
    <w:rsid w:val="00542935"/>
    <w:rsid w:val="00542B64"/>
    <w:rsid w:val="00543566"/>
    <w:rsid w:val="005437AD"/>
    <w:rsid w:val="00544126"/>
    <w:rsid w:val="005441FB"/>
    <w:rsid w:val="005444F9"/>
    <w:rsid w:val="005446A7"/>
    <w:rsid w:val="00544A07"/>
    <w:rsid w:val="00544CCD"/>
    <w:rsid w:val="00545687"/>
    <w:rsid w:val="005456BE"/>
    <w:rsid w:val="00545CF3"/>
    <w:rsid w:val="00545DC2"/>
    <w:rsid w:val="00545E88"/>
    <w:rsid w:val="0054606D"/>
    <w:rsid w:val="005460D6"/>
    <w:rsid w:val="00546249"/>
    <w:rsid w:val="0054653F"/>
    <w:rsid w:val="00546B73"/>
    <w:rsid w:val="00547803"/>
    <w:rsid w:val="00547DA1"/>
    <w:rsid w:val="00550597"/>
    <w:rsid w:val="005505FF"/>
    <w:rsid w:val="00550AC9"/>
    <w:rsid w:val="00550EF5"/>
    <w:rsid w:val="00551662"/>
    <w:rsid w:val="00551B8B"/>
    <w:rsid w:val="00552095"/>
    <w:rsid w:val="005524EA"/>
    <w:rsid w:val="0055268D"/>
    <w:rsid w:val="0055277D"/>
    <w:rsid w:val="00552DCB"/>
    <w:rsid w:val="00552EE9"/>
    <w:rsid w:val="00552FE9"/>
    <w:rsid w:val="005530F0"/>
    <w:rsid w:val="005539E5"/>
    <w:rsid w:val="00553D14"/>
    <w:rsid w:val="0055404C"/>
    <w:rsid w:val="005546A8"/>
    <w:rsid w:val="00554CCD"/>
    <w:rsid w:val="005551E7"/>
    <w:rsid w:val="005552C5"/>
    <w:rsid w:val="005552C6"/>
    <w:rsid w:val="005553C0"/>
    <w:rsid w:val="005558B5"/>
    <w:rsid w:val="00555A59"/>
    <w:rsid w:val="00555B00"/>
    <w:rsid w:val="00555F42"/>
    <w:rsid w:val="00556362"/>
    <w:rsid w:val="005566FE"/>
    <w:rsid w:val="00556779"/>
    <w:rsid w:val="00556A6B"/>
    <w:rsid w:val="00556AB6"/>
    <w:rsid w:val="00556B59"/>
    <w:rsid w:val="00556BBE"/>
    <w:rsid w:val="00556C04"/>
    <w:rsid w:val="00556D11"/>
    <w:rsid w:val="00556E8B"/>
    <w:rsid w:val="00556FC9"/>
    <w:rsid w:val="005571E3"/>
    <w:rsid w:val="0055723A"/>
    <w:rsid w:val="00557309"/>
    <w:rsid w:val="005574C1"/>
    <w:rsid w:val="005575C9"/>
    <w:rsid w:val="005576C8"/>
    <w:rsid w:val="00557A2C"/>
    <w:rsid w:val="00557BA3"/>
    <w:rsid w:val="00560267"/>
    <w:rsid w:val="00560B8D"/>
    <w:rsid w:val="00560D26"/>
    <w:rsid w:val="00560D89"/>
    <w:rsid w:val="00560EAC"/>
    <w:rsid w:val="00561114"/>
    <w:rsid w:val="005616B1"/>
    <w:rsid w:val="00561A90"/>
    <w:rsid w:val="005629F2"/>
    <w:rsid w:val="00563059"/>
    <w:rsid w:val="00563064"/>
    <w:rsid w:val="00563887"/>
    <w:rsid w:val="005641C8"/>
    <w:rsid w:val="0056423D"/>
    <w:rsid w:val="00564679"/>
    <w:rsid w:val="00564B09"/>
    <w:rsid w:val="00564E05"/>
    <w:rsid w:val="00564F7F"/>
    <w:rsid w:val="00565104"/>
    <w:rsid w:val="0056524C"/>
    <w:rsid w:val="005653FC"/>
    <w:rsid w:val="0056582D"/>
    <w:rsid w:val="00565912"/>
    <w:rsid w:val="005663F4"/>
    <w:rsid w:val="005667FE"/>
    <w:rsid w:val="005668C8"/>
    <w:rsid w:val="00566AB3"/>
    <w:rsid w:val="00566C86"/>
    <w:rsid w:val="00566E57"/>
    <w:rsid w:val="0056721B"/>
    <w:rsid w:val="00567667"/>
    <w:rsid w:val="005676BA"/>
    <w:rsid w:val="0056799E"/>
    <w:rsid w:val="00567AF5"/>
    <w:rsid w:val="00567B9A"/>
    <w:rsid w:val="00567DC0"/>
    <w:rsid w:val="005703E2"/>
    <w:rsid w:val="0057084E"/>
    <w:rsid w:val="00572273"/>
    <w:rsid w:val="00572589"/>
    <w:rsid w:val="0057291A"/>
    <w:rsid w:val="00572C14"/>
    <w:rsid w:val="00572EEF"/>
    <w:rsid w:val="00573675"/>
    <w:rsid w:val="005740A0"/>
    <w:rsid w:val="00574848"/>
    <w:rsid w:val="005748DA"/>
    <w:rsid w:val="00575460"/>
    <w:rsid w:val="00575819"/>
    <w:rsid w:val="00575910"/>
    <w:rsid w:val="0057592B"/>
    <w:rsid w:val="00575AA6"/>
    <w:rsid w:val="00575F32"/>
    <w:rsid w:val="00576122"/>
    <w:rsid w:val="005762E4"/>
    <w:rsid w:val="00576A9A"/>
    <w:rsid w:val="00576F73"/>
    <w:rsid w:val="00577A2F"/>
    <w:rsid w:val="00577E30"/>
    <w:rsid w:val="00577E57"/>
    <w:rsid w:val="00577F5A"/>
    <w:rsid w:val="00581073"/>
    <w:rsid w:val="005818A7"/>
    <w:rsid w:val="00581987"/>
    <w:rsid w:val="00581A4F"/>
    <w:rsid w:val="00581BDE"/>
    <w:rsid w:val="00581E28"/>
    <w:rsid w:val="00581E9D"/>
    <w:rsid w:val="00581F08"/>
    <w:rsid w:val="00581F37"/>
    <w:rsid w:val="00582059"/>
    <w:rsid w:val="005820CE"/>
    <w:rsid w:val="00582805"/>
    <w:rsid w:val="005828A9"/>
    <w:rsid w:val="005829C8"/>
    <w:rsid w:val="00582F9B"/>
    <w:rsid w:val="00583111"/>
    <w:rsid w:val="00583F2D"/>
    <w:rsid w:val="00583FD4"/>
    <w:rsid w:val="00584195"/>
    <w:rsid w:val="005842F3"/>
    <w:rsid w:val="005845E9"/>
    <w:rsid w:val="0058468C"/>
    <w:rsid w:val="005849D3"/>
    <w:rsid w:val="00584F2B"/>
    <w:rsid w:val="0058537B"/>
    <w:rsid w:val="0058565D"/>
    <w:rsid w:val="00585956"/>
    <w:rsid w:val="00585BAA"/>
    <w:rsid w:val="00585EF4"/>
    <w:rsid w:val="00586243"/>
    <w:rsid w:val="005864DD"/>
    <w:rsid w:val="00586AAF"/>
    <w:rsid w:val="00586EEC"/>
    <w:rsid w:val="005876CD"/>
    <w:rsid w:val="005876F2"/>
    <w:rsid w:val="005878EF"/>
    <w:rsid w:val="005901CA"/>
    <w:rsid w:val="00590348"/>
    <w:rsid w:val="00590610"/>
    <w:rsid w:val="00590808"/>
    <w:rsid w:val="005908B4"/>
    <w:rsid w:val="00590B48"/>
    <w:rsid w:val="00590FB8"/>
    <w:rsid w:val="005911FB"/>
    <w:rsid w:val="005913AE"/>
    <w:rsid w:val="005916B0"/>
    <w:rsid w:val="00591E35"/>
    <w:rsid w:val="00591EC6"/>
    <w:rsid w:val="00591F41"/>
    <w:rsid w:val="005922CD"/>
    <w:rsid w:val="005922E7"/>
    <w:rsid w:val="00592677"/>
    <w:rsid w:val="00592A97"/>
    <w:rsid w:val="0059302D"/>
    <w:rsid w:val="00593296"/>
    <w:rsid w:val="0059357D"/>
    <w:rsid w:val="005935C8"/>
    <w:rsid w:val="00593638"/>
    <w:rsid w:val="00593961"/>
    <w:rsid w:val="00593A24"/>
    <w:rsid w:val="00593A96"/>
    <w:rsid w:val="00593C2D"/>
    <w:rsid w:val="0059411D"/>
    <w:rsid w:val="00594420"/>
    <w:rsid w:val="005945F5"/>
    <w:rsid w:val="00594A00"/>
    <w:rsid w:val="00594BAF"/>
    <w:rsid w:val="00594C29"/>
    <w:rsid w:val="00595050"/>
    <w:rsid w:val="00595121"/>
    <w:rsid w:val="005951D5"/>
    <w:rsid w:val="005954B2"/>
    <w:rsid w:val="00595509"/>
    <w:rsid w:val="00595721"/>
    <w:rsid w:val="00595773"/>
    <w:rsid w:val="00595F13"/>
    <w:rsid w:val="00595FE6"/>
    <w:rsid w:val="0059618C"/>
    <w:rsid w:val="00596203"/>
    <w:rsid w:val="00596446"/>
    <w:rsid w:val="005967D5"/>
    <w:rsid w:val="0059750A"/>
    <w:rsid w:val="00597533"/>
    <w:rsid w:val="00597622"/>
    <w:rsid w:val="005976A1"/>
    <w:rsid w:val="005A00D3"/>
    <w:rsid w:val="005A014F"/>
    <w:rsid w:val="005A015E"/>
    <w:rsid w:val="005A079C"/>
    <w:rsid w:val="005A09B0"/>
    <w:rsid w:val="005A0A68"/>
    <w:rsid w:val="005A0ADE"/>
    <w:rsid w:val="005A1619"/>
    <w:rsid w:val="005A171D"/>
    <w:rsid w:val="005A1B11"/>
    <w:rsid w:val="005A2060"/>
    <w:rsid w:val="005A2A63"/>
    <w:rsid w:val="005A2E19"/>
    <w:rsid w:val="005A3455"/>
    <w:rsid w:val="005A37B9"/>
    <w:rsid w:val="005A3A72"/>
    <w:rsid w:val="005A3A96"/>
    <w:rsid w:val="005A4613"/>
    <w:rsid w:val="005A4839"/>
    <w:rsid w:val="005A4A51"/>
    <w:rsid w:val="005A4BE7"/>
    <w:rsid w:val="005A5386"/>
    <w:rsid w:val="005A544A"/>
    <w:rsid w:val="005A56F4"/>
    <w:rsid w:val="005A5878"/>
    <w:rsid w:val="005A5FCF"/>
    <w:rsid w:val="005A656D"/>
    <w:rsid w:val="005A669D"/>
    <w:rsid w:val="005A6A61"/>
    <w:rsid w:val="005A6CA8"/>
    <w:rsid w:val="005A6E75"/>
    <w:rsid w:val="005A7068"/>
    <w:rsid w:val="005A73C2"/>
    <w:rsid w:val="005A7498"/>
    <w:rsid w:val="005A7FDB"/>
    <w:rsid w:val="005B020B"/>
    <w:rsid w:val="005B0453"/>
    <w:rsid w:val="005B0D4B"/>
    <w:rsid w:val="005B0E1B"/>
    <w:rsid w:val="005B0FBD"/>
    <w:rsid w:val="005B1BD6"/>
    <w:rsid w:val="005B1CF7"/>
    <w:rsid w:val="005B1D36"/>
    <w:rsid w:val="005B203B"/>
    <w:rsid w:val="005B22CB"/>
    <w:rsid w:val="005B239E"/>
    <w:rsid w:val="005B2522"/>
    <w:rsid w:val="005B29B0"/>
    <w:rsid w:val="005B2EAE"/>
    <w:rsid w:val="005B2EB2"/>
    <w:rsid w:val="005B315D"/>
    <w:rsid w:val="005B3268"/>
    <w:rsid w:val="005B341C"/>
    <w:rsid w:val="005B363D"/>
    <w:rsid w:val="005B386D"/>
    <w:rsid w:val="005B3C54"/>
    <w:rsid w:val="005B4249"/>
    <w:rsid w:val="005B480A"/>
    <w:rsid w:val="005B5BD1"/>
    <w:rsid w:val="005B5E33"/>
    <w:rsid w:val="005B611B"/>
    <w:rsid w:val="005B6164"/>
    <w:rsid w:val="005B6345"/>
    <w:rsid w:val="005B6686"/>
    <w:rsid w:val="005B68F3"/>
    <w:rsid w:val="005B6BAB"/>
    <w:rsid w:val="005B6BB0"/>
    <w:rsid w:val="005B6CDC"/>
    <w:rsid w:val="005B70DE"/>
    <w:rsid w:val="005B728A"/>
    <w:rsid w:val="005B7424"/>
    <w:rsid w:val="005B771E"/>
    <w:rsid w:val="005C00B0"/>
    <w:rsid w:val="005C0B54"/>
    <w:rsid w:val="005C0DF9"/>
    <w:rsid w:val="005C1B91"/>
    <w:rsid w:val="005C1E55"/>
    <w:rsid w:val="005C20BC"/>
    <w:rsid w:val="005C214C"/>
    <w:rsid w:val="005C2391"/>
    <w:rsid w:val="005C23D5"/>
    <w:rsid w:val="005C26BC"/>
    <w:rsid w:val="005C2A60"/>
    <w:rsid w:val="005C2D27"/>
    <w:rsid w:val="005C2EF4"/>
    <w:rsid w:val="005C35BD"/>
    <w:rsid w:val="005C36B4"/>
    <w:rsid w:val="005C3A5E"/>
    <w:rsid w:val="005C3B98"/>
    <w:rsid w:val="005C3BE0"/>
    <w:rsid w:val="005C3C4A"/>
    <w:rsid w:val="005C3EBC"/>
    <w:rsid w:val="005C45BC"/>
    <w:rsid w:val="005C463F"/>
    <w:rsid w:val="005C484A"/>
    <w:rsid w:val="005C4944"/>
    <w:rsid w:val="005C5261"/>
    <w:rsid w:val="005C5374"/>
    <w:rsid w:val="005C551B"/>
    <w:rsid w:val="005C5668"/>
    <w:rsid w:val="005C56E3"/>
    <w:rsid w:val="005C5A48"/>
    <w:rsid w:val="005C5A56"/>
    <w:rsid w:val="005C5AC9"/>
    <w:rsid w:val="005C5FB2"/>
    <w:rsid w:val="005C65E7"/>
    <w:rsid w:val="005C6ADD"/>
    <w:rsid w:val="005C7201"/>
    <w:rsid w:val="005C78B9"/>
    <w:rsid w:val="005C7A77"/>
    <w:rsid w:val="005C7C3D"/>
    <w:rsid w:val="005D00C3"/>
    <w:rsid w:val="005D017B"/>
    <w:rsid w:val="005D03F1"/>
    <w:rsid w:val="005D03FE"/>
    <w:rsid w:val="005D0B2C"/>
    <w:rsid w:val="005D0C90"/>
    <w:rsid w:val="005D12D5"/>
    <w:rsid w:val="005D146E"/>
    <w:rsid w:val="005D1744"/>
    <w:rsid w:val="005D184E"/>
    <w:rsid w:val="005D1930"/>
    <w:rsid w:val="005D1A96"/>
    <w:rsid w:val="005D1AD6"/>
    <w:rsid w:val="005D1B31"/>
    <w:rsid w:val="005D1C66"/>
    <w:rsid w:val="005D1D2E"/>
    <w:rsid w:val="005D1DFF"/>
    <w:rsid w:val="005D1FB6"/>
    <w:rsid w:val="005D1FBE"/>
    <w:rsid w:val="005D24A4"/>
    <w:rsid w:val="005D24DF"/>
    <w:rsid w:val="005D2DE8"/>
    <w:rsid w:val="005D3C92"/>
    <w:rsid w:val="005D429E"/>
    <w:rsid w:val="005D4327"/>
    <w:rsid w:val="005D481B"/>
    <w:rsid w:val="005D553C"/>
    <w:rsid w:val="005D557F"/>
    <w:rsid w:val="005D5835"/>
    <w:rsid w:val="005D5894"/>
    <w:rsid w:val="005D59F4"/>
    <w:rsid w:val="005D5DC9"/>
    <w:rsid w:val="005D637B"/>
    <w:rsid w:val="005D73CE"/>
    <w:rsid w:val="005D73F0"/>
    <w:rsid w:val="005D7530"/>
    <w:rsid w:val="005D770D"/>
    <w:rsid w:val="005D786F"/>
    <w:rsid w:val="005D7CC5"/>
    <w:rsid w:val="005D7E91"/>
    <w:rsid w:val="005E0069"/>
    <w:rsid w:val="005E02D6"/>
    <w:rsid w:val="005E0A9B"/>
    <w:rsid w:val="005E0B48"/>
    <w:rsid w:val="005E10AB"/>
    <w:rsid w:val="005E1207"/>
    <w:rsid w:val="005E188F"/>
    <w:rsid w:val="005E1B54"/>
    <w:rsid w:val="005E1D94"/>
    <w:rsid w:val="005E1DFB"/>
    <w:rsid w:val="005E23B3"/>
    <w:rsid w:val="005E2619"/>
    <w:rsid w:val="005E2845"/>
    <w:rsid w:val="005E287A"/>
    <w:rsid w:val="005E2F8B"/>
    <w:rsid w:val="005E3096"/>
    <w:rsid w:val="005E33A3"/>
    <w:rsid w:val="005E37D1"/>
    <w:rsid w:val="005E4181"/>
    <w:rsid w:val="005E4374"/>
    <w:rsid w:val="005E4CB7"/>
    <w:rsid w:val="005E5297"/>
    <w:rsid w:val="005E541D"/>
    <w:rsid w:val="005E5D59"/>
    <w:rsid w:val="005E5E34"/>
    <w:rsid w:val="005E6089"/>
    <w:rsid w:val="005E6109"/>
    <w:rsid w:val="005E6A85"/>
    <w:rsid w:val="005E6BF1"/>
    <w:rsid w:val="005E6D99"/>
    <w:rsid w:val="005E6D9C"/>
    <w:rsid w:val="005E71DC"/>
    <w:rsid w:val="005E7476"/>
    <w:rsid w:val="005E76F3"/>
    <w:rsid w:val="005E7A5B"/>
    <w:rsid w:val="005E7C44"/>
    <w:rsid w:val="005E7C68"/>
    <w:rsid w:val="005E7EF7"/>
    <w:rsid w:val="005F036B"/>
    <w:rsid w:val="005F0503"/>
    <w:rsid w:val="005F0DA5"/>
    <w:rsid w:val="005F1121"/>
    <w:rsid w:val="005F1389"/>
    <w:rsid w:val="005F14A3"/>
    <w:rsid w:val="005F1520"/>
    <w:rsid w:val="005F249F"/>
    <w:rsid w:val="005F2975"/>
    <w:rsid w:val="005F350F"/>
    <w:rsid w:val="005F354B"/>
    <w:rsid w:val="005F4083"/>
    <w:rsid w:val="005F4295"/>
    <w:rsid w:val="005F44CA"/>
    <w:rsid w:val="005F4537"/>
    <w:rsid w:val="005F4571"/>
    <w:rsid w:val="005F488F"/>
    <w:rsid w:val="005F4BFB"/>
    <w:rsid w:val="005F4C6A"/>
    <w:rsid w:val="005F4FD2"/>
    <w:rsid w:val="005F5201"/>
    <w:rsid w:val="005F579A"/>
    <w:rsid w:val="005F5C34"/>
    <w:rsid w:val="005F5D0C"/>
    <w:rsid w:val="005F5D68"/>
    <w:rsid w:val="005F5E2A"/>
    <w:rsid w:val="005F5E96"/>
    <w:rsid w:val="005F6077"/>
    <w:rsid w:val="005F647E"/>
    <w:rsid w:val="005F649E"/>
    <w:rsid w:val="005F6644"/>
    <w:rsid w:val="005F6A09"/>
    <w:rsid w:val="005F6CE4"/>
    <w:rsid w:val="005F6DA8"/>
    <w:rsid w:val="005F79AD"/>
    <w:rsid w:val="005F79D2"/>
    <w:rsid w:val="005F79F5"/>
    <w:rsid w:val="005F7B81"/>
    <w:rsid w:val="005F7C68"/>
    <w:rsid w:val="00600285"/>
    <w:rsid w:val="00600484"/>
    <w:rsid w:val="00600560"/>
    <w:rsid w:val="00600ADE"/>
    <w:rsid w:val="00600BBC"/>
    <w:rsid w:val="00600E9B"/>
    <w:rsid w:val="00601495"/>
    <w:rsid w:val="00601936"/>
    <w:rsid w:val="00601BBA"/>
    <w:rsid w:val="00601C23"/>
    <w:rsid w:val="00601C82"/>
    <w:rsid w:val="00601D72"/>
    <w:rsid w:val="00601FB5"/>
    <w:rsid w:val="00602130"/>
    <w:rsid w:val="006029C4"/>
    <w:rsid w:val="006029D6"/>
    <w:rsid w:val="006032B8"/>
    <w:rsid w:val="00603509"/>
    <w:rsid w:val="00603D7B"/>
    <w:rsid w:val="0060480F"/>
    <w:rsid w:val="00604B3E"/>
    <w:rsid w:val="00605138"/>
    <w:rsid w:val="00605227"/>
    <w:rsid w:val="00605494"/>
    <w:rsid w:val="006054F2"/>
    <w:rsid w:val="006055C1"/>
    <w:rsid w:val="00605E4A"/>
    <w:rsid w:val="00605E96"/>
    <w:rsid w:val="00605FDC"/>
    <w:rsid w:val="00606172"/>
    <w:rsid w:val="00606251"/>
    <w:rsid w:val="0060652E"/>
    <w:rsid w:val="0060670F"/>
    <w:rsid w:val="006068C2"/>
    <w:rsid w:val="00606B32"/>
    <w:rsid w:val="00606CAD"/>
    <w:rsid w:val="00606E66"/>
    <w:rsid w:val="00606FCB"/>
    <w:rsid w:val="0060707A"/>
    <w:rsid w:val="00607250"/>
    <w:rsid w:val="00607760"/>
    <w:rsid w:val="006078D5"/>
    <w:rsid w:val="00607AAB"/>
    <w:rsid w:val="00607D9A"/>
    <w:rsid w:val="00607DB1"/>
    <w:rsid w:val="0061010D"/>
    <w:rsid w:val="00610117"/>
    <w:rsid w:val="006102D7"/>
    <w:rsid w:val="006103BC"/>
    <w:rsid w:val="006109F8"/>
    <w:rsid w:val="00610C32"/>
    <w:rsid w:val="00610C55"/>
    <w:rsid w:val="00610CE1"/>
    <w:rsid w:val="00610DEB"/>
    <w:rsid w:val="00610E75"/>
    <w:rsid w:val="00611240"/>
    <w:rsid w:val="00611603"/>
    <w:rsid w:val="006116F2"/>
    <w:rsid w:val="006118CE"/>
    <w:rsid w:val="0061199F"/>
    <w:rsid w:val="006126EE"/>
    <w:rsid w:val="00613B13"/>
    <w:rsid w:val="00613D45"/>
    <w:rsid w:val="00614399"/>
    <w:rsid w:val="00614704"/>
    <w:rsid w:val="00614750"/>
    <w:rsid w:val="00614A6F"/>
    <w:rsid w:val="00614AE0"/>
    <w:rsid w:val="00614CF7"/>
    <w:rsid w:val="00614E41"/>
    <w:rsid w:val="00614F01"/>
    <w:rsid w:val="006156E4"/>
    <w:rsid w:val="00615E34"/>
    <w:rsid w:val="00616C92"/>
    <w:rsid w:val="00616E5A"/>
    <w:rsid w:val="0061733F"/>
    <w:rsid w:val="00617433"/>
    <w:rsid w:val="006177C7"/>
    <w:rsid w:val="00617A4C"/>
    <w:rsid w:val="00617DD9"/>
    <w:rsid w:val="0062013D"/>
    <w:rsid w:val="00620630"/>
    <w:rsid w:val="006207BA"/>
    <w:rsid w:val="0062106D"/>
    <w:rsid w:val="006216BC"/>
    <w:rsid w:val="00621B30"/>
    <w:rsid w:val="00622033"/>
    <w:rsid w:val="006220AA"/>
    <w:rsid w:val="0062218B"/>
    <w:rsid w:val="00622324"/>
    <w:rsid w:val="00622504"/>
    <w:rsid w:val="006231D4"/>
    <w:rsid w:val="00623D83"/>
    <w:rsid w:val="00624535"/>
    <w:rsid w:val="006246FB"/>
    <w:rsid w:val="00624C9A"/>
    <w:rsid w:val="00624E6D"/>
    <w:rsid w:val="0062529D"/>
    <w:rsid w:val="00625A27"/>
    <w:rsid w:val="00625BA7"/>
    <w:rsid w:val="00625F53"/>
    <w:rsid w:val="006260B7"/>
    <w:rsid w:val="006265E6"/>
    <w:rsid w:val="00626BCF"/>
    <w:rsid w:val="00626D94"/>
    <w:rsid w:val="0062762F"/>
    <w:rsid w:val="00627AA8"/>
    <w:rsid w:val="00627B6C"/>
    <w:rsid w:val="00627B72"/>
    <w:rsid w:val="00627FE3"/>
    <w:rsid w:val="006303E2"/>
    <w:rsid w:val="00630466"/>
    <w:rsid w:val="00630557"/>
    <w:rsid w:val="006305A8"/>
    <w:rsid w:val="00630F66"/>
    <w:rsid w:val="00630FDC"/>
    <w:rsid w:val="00631544"/>
    <w:rsid w:val="00631ABC"/>
    <w:rsid w:val="00631ECF"/>
    <w:rsid w:val="0063218A"/>
    <w:rsid w:val="006324D5"/>
    <w:rsid w:val="006326A0"/>
    <w:rsid w:val="006328B7"/>
    <w:rsid w:val="006329DE"/>
    <w:rsid w:val="00632DAD"/>
    <w:rsid w:val="00632FEF"/>
    <w:rsid w:val="006333D2"/>
    <w:rsid w:val="00633635"/>
    <w:rsid w:val="00633740"/>
    <w:rsid w:val="00633AFD"/>
    <w:rsid w:val="00633E50"/>
    <w:rsid w:val="00633F09"/>
    <w:rsid w:val="0063407C"/>
    <w:rsid w:val="006349B2"/>
    <w:rsid w:val="006349CE"/>
    <w:rsid w:val="00634BE4"/>
    <w:rsid w:val="00634ECE"/>
    <w:rsid w:val="00635085"/>
    <w:rsid w:val="0063532F"/>
    <w:rsid w:val="0063542D"/>
    <w:rsid w:val="0063593F"/>
    <w:rsid w:val="00635FC5"/>
    <w:rsid w:val="0063621B"/>
    <w:rsid w:val="00636586"/>
    <w:rsid w:val="00637C33"/>
    <w:rsid w:val="00637F5F"/>
    <w:rsid w:val="00640583"/>
    <w:rsid w:val="00640869"/>
    <w:rsid w:val="006408F7"/>
    <w:rsid w:val="0064093B"/>
    <w:rsid w:val="00640B15"/>
    <w:rsid w:val="00640E0C"/>
    <w:rsid w:val="00640FE2"/>
    <w:rsid w:val="00641ECC"/>
    <w:rsid w:val="006423A7"/>
    <w:rsid w:val="00642530"/>
    <w:rsid w:val="00642667"/>
    <w:rsid w:val="00643629"/>
    <w:rsid w:val="00643706"/>
    <w:rsid w:val="006437A2"/>
    <w:rsid w:val="006439AC"/>
    <w:rsid w:val="0064427A"/>
    <w:rsid w:val="00644286"/>
    <w:rsid w:val="00644365"/>
    <w:rsid w:val="00644748"/>
    <w:rsid w:val="00644927"/>
    <w:rsid w:val="00644BCC"/>
    <w:rsid w:val="00644E20"/>
    <w:rsid w:val="00644EF9"/>
    <w:rsid w:val="006451BC"/>
    <w:rsid w:val="00645554"/>
    <w:rsid w:val="006457FB"/>
    <w:rsid w:val="006458B4"/>
    <w:rsid w:val="00645AB5"/>
    <w:rsid w:val="00646337"/>
    <w:rsid w:val="0064667B"/>
    <w:rsid w:val="006467FB"/>
    <w:rsid w:val="0064691A"/>
    <w:rsid w:val="00646957"/>
    <w:rsid w:val="00646A02"/>
    <w:rsid w:val="00646A10"/>
    <w:rsid w:val="00646A31"/>
    <w:rsid w:val="00646F67"/>
    <w:rsid w:val="00646FCD"/>
    <w:rsid w:val="006471E1"/>
    <w:rsid w:val="006473D4"/>
    <w:rsid w:val="006477A1"/>
    <w:rsid w:val="00647BE8"/>
    <w:rsid w:val="00647EF4"/>
    <w:rsid w:val="0065008D"/>
    <w:rsid w:val="0065088A"/>
    <w:rsid w:val="00650ADF"/>
    <w:rsid w:val="00650DAB"/>
    <w:rsid w:val="00650F8B"/>
    <w:rsid w:val="006514FB"/>
    <w:rsid w:val="00651521"/>
    <w:rsid w:val="00651DAE"/>
    <w:rsid w:val="006522C9"/>
    <w:rsid w:val="0065235B"/>
    <w:rsid w:val="006524E6"/>
    <w:rsid w:val="0065268B"/>
    <w:rsid w:val="00652774"/>
    <w:rsid w:val="006529F7"/>
    <w:rsid w:val="006529FA"/>
    <w:rsid w:val="00652C52"/>
    <w:rsid w:val="00652CF7"/>
    <w:rsid w:val="00652E57"/>
    <w:rsid w:val="00653311"/>
    <w:rsid w:val="00653735"/>
    <w:rsid w:val="006538AA"/>
    <w:rsid w:val="006542C8"/>
    <w:rsid w:val="006543B1"/>
    <w:rsid w:val="00654641"/>
    <w:rsid w:val="00654751"/>
    <w:rsid w:val="00654764"/>
    <w:rsid w:val="006547C1"/>
    <w:rsid w:val="00654C2D"/>
    <w:rsid w:val="00654D3F"/>
    <w:rsid w:val="006553FE"/>
    <w:rsid w:val="0065541D"/>
    <w:rsid w:val="00655EF9"/>
    <w:rsid w:val="0065610E"/>
    <w:rsid w:val="0065669C"/>
    <w:rsid w:val="00656A18"/>
    <w:rsid w:val="00656E58"/>
    <w:rsid w:val="00656F88"/>
    <w:rsid w:val="00657498"/>
    <w:rsid w:val="006574F8"/>
    <w:rsid w:val="006577A4"/>
    <w:rsid w:val="00657990"/>
    <w:rsid w:val="00657AA0"/>
    <w:rsid w:val="00660678"/>
    <w:rsid w:val="00660855"/>
    <w:rsid w:val="00660A61"/>
    <w:rsid w:val="00660F62"/>
    <w:rsid w:val="00660F75"/>
    <w:rsid w:val="00661033"/>
    <w:rsid w:val="006612D7"/>
    <w:rsid w:val="00661575"/>
    <w:rsid w:val="00661AF0"/>
    <w:rsid w:val="00661C3B"/>
    <w:rsid w:val="00662084"/>
    <w:rsid w:val="006623F4"/>
    <w:rsid w:val="0066294B"/>
    <w:rsid w:val="00662A17"/>
    <w:rsid w:val="00662A3B"/>
    <w:rsid w:val="00662D7C"/>
    <w:rsid w:val="00662E25"/>
    <w:rsid w:val="00662EDF"/>
    <w:rsid w:val="00662F09"/>
    <w:rsid w:val="00663270"/>
    <w:rsid w:val="006634B7"/>
    <w:rsid w:val="006638D0"/>
    <w:rsid w:val="0066391B"/>
    <w:rsid w:val="006639A8"/>
    <w:rsid w:val="006644B7"/>
    <w:rsid w:val="0066472A"/>
    <w:rsid w:val="0066473B"/>
    <w:rsid w:val="006649D7"/>
    <w:rsid w:val="006653CD"/>
    <w:rsid w:val="00665B5D"/>
    <w:rsid w:val="00665F14"/>
    <w:rsid w:val="006661EA"/>
    <w:rsid w:val="006664BA"/>
    <w:rsid w:val="0066683C"/>
    <w:rsid w:val="00666A67"/>
    <w:rsid w:val="00666A68"/>
    <w:rsid w:val="00666AAF"/>
    <w:rsid w:val="00666B8C"/>
    <w:rsid w:val="00666C6D"/>
    <w:rsid w:val="00666C91"/>
    <w:rsid w:val="00667663"/>
    <w:rsid w:val="0066799D"/>
    <w:rsid w:val="006702AF"/>
    <w:rsid w:val="0067063A"/>
    <w:rsid w:val="00670A4F"/>
    <w:rsid w:val="00670C01"/>
    <w:rsid w:val="00670DA8"/>
    <w:rsid w:val="006712C4"/>
    <w:rsid w:val="006714D2"/>
    <w:rsid w:val="0067155E"/>
    <w:rsid w:val="00671B34"/>
    <w:rsid w:val="00671B9C"/>
    <w:rsid w:val="00672076"/>
    <w:rsid w:val="006724B8"/>
    <w:rsid w:val="006728D8"/>
    <w:rsid w:val="006730F0"/>
    <w:rsid w:val="00673164"/>
    <w:rsid w:val="0067347E"/>
    <w:rsid w:val="00673568"/>
    <w:rsid w:val="00673AE5"/>
    <w:rsid w:val="00673F70"/>
    <w:rsid w:val="0067465E"/>
    <w:rsid w:val="00674BE7"/>
    <w:rsid w:val="00674EA7"/>
    <w:rsid w:val="006750F5"/>
    <w:rsid w:val="00675170"/>
    <w:rsid w:val="00675235"/>
    <w:rsid w:val="00675368"/>
    <w:rsid w:val="00675A8F"/>
    <w:rsid w:val="00675CAB"/>
    <w:rsid w:val="00675FA5"/>
    <w:rsid w:val="006761A7"/>
    <w:rsid w:val="00676553"/>
    <w:rsid w:val="006769B7"/>
    <w:rsid w:val="00676C66"/>
    <w:rsid w:val="00676C87"/>
    <w:rsid w:val="00677098"/>
    <w:rsid w:val="00677358"/>
    <w:rsid w:val="0067740A"/>
    <w:rsid w:val="00677555"/>
    <w:rsid w:val="0067788B"/>
    <w:rsid w:val="0067799D"/>
    <w:rsid w:val="00677AEA"/>
    <w:rsid w:val="00677DC0"/>
    <w:rsid w:val="00677E03"/>
    <w:rsid w:val="00680158"/>
    <w:rsid w:val="00680371"/>
    <w:rsid w:val="00680433"/>
    <w:rsid w:val="0068054B"/>
    <w:rsid w:val="00680592"/>
    <w:rsid w:val="00680656"/>
    <w:rsid w:val="006808BE"/>
    <w:rsid w:val="006809BA"/>
    <w:rsid w:val="006809DD"/>
    <w:rsid w:val="00680D90"/>
    <w:rsid w:val="00680EAF"/>
    <w:rsid w:val="006811BD"/>
    <w:rsid w:val="006813C1"/>
    <w:rsid w:val="00681ECA"/>
    <w:rsid w:val="00681FE1"/>
    <w:rsid w:val="0068207D"/>
    <w:rsid w:val="00682652"/>
    <w:rsid w:val="00682821"/>
    <w:rsid w:val="00682C09"/>
    <w:rsid w:val="00682E0E"/>
    <w:rsid w:val="00682E47"/>
    <w:rsid w:val="00683039"/>
    <w:rsid w:val="0068327D"/>
    <w:rsid w:val="00683408"/>
    <w:rsid w:val="0068376E"/>
    <w:rsid w:val="00683C03"/>
    <w:rsid w:val="00683C15"/>
    <w:rsid w:val="00683EC1"/>
    <w:rsid w:val="00684187"/>
    <w:rsid w:val="0068430B"/>
    <w:rsid w:val="00684969"/>
    <w:rsid w:val="00684C2F"/>
    <w:rsid w:val="00684CBB"/>
    <w:rsid w:val="00684E2D"/>
    <w:rsid w:val="00684F61"/>
    <w:rsid w:val="00685088"/>
    <w:rsid w:val="0068547B"/>
    <w:rsid w:val="00685836"/>
    <w:rsid w:val="0068586C"/>
    <w:rsid w:val="006859A6"/>
    <w:rsid w:val="00686022"/>
    <w:rsid w:val="006860D9"/>
    <w:rsid w:val="006862D5"/>
    <w:rsid w:val="0068651C"/>
    <w:rsid w:val="00686886"/>
    <w:rsid w:val="006868DD"/>
    <w:rsid w:val="00686978"/>
    <w:rsid w:val="00686D34"/>
    <w:rsid w:val="00686E32"/>
    <w:rsid w:val="006870C6"/>
    <w:rsid w:val="006871F7"/>
    <w:rsid w:val="006876BE"/>
    <w:rsid w:val="00687749"/>
    <w:rsid w:val="006877E3"/>
    <w:rsid w:val="006877ED"/>
    <w:rsid w:val="00687BDC"/>
    <w:rsid w:val="00690418"/>
    <w:rsid w:val="006907D0"/>
    <w:rsid w:val="00690818"/>
    <w:rsid w:val="00690C6E"/>
    <w:rsid w:val="00690F08"/>
    <w:rsid w:val="006910A6"/>
    <w:rsid w:val="00691365"/>
    <w:rsid w:val="00691C77"/>
    <w:rsid w:val="00691F78"/>
    <w:rsid w:val="00692091"/>
    <w:rsid w:val="00692A90"/>
    <w:rsid w:val="00693026"/>
    <w:rsid w:val="00693450"/>
    <w:rsid w:val="00693994"/>
    <w:rsid w:val="00694249"/>
    <w:rsid w:val="00694467"/>
    <w:rsid w:val="00694473"/>
    <w:rsid w:val="0069455A"/>
    <w:rsid w:val="00694685"/>
    <w:rsid w:val="006948D2"/>
    <w:rsid w:val="00694BAD"/>
    <w:rsid w:val="00695026"/>
    <w:rsid w:val="0069504C"/>
    <w:rsid w:val="00695223"/>
    <w:rsid w:val="00695632"/>
    <w:rsid w:val="00695782"/>
    <w:rsid w:val="0069578A"/>
    <w:rsid w:val="00695883"/>
    <w:rsid w:val="00695F31"/>
    <w:rsid w:val="00696137"/>
    <w:rsid w:val="00696201"/>
    <w:rsid w:val="006963EB"/>
    <w:rsid w:val="00696CC1"/>
    <w:rsid w:val="00696CCD"/>
    <w:rsid w:val="00696E7B"/>
    <w:rsid w:val="00696ED0"/>
    <w:rsid w:val="0069769E"/>
    <w:rsid w:val="00697713"/>
    <w:rsid w:val="0069785B"/>
    <w:rsid w:val="00697C08"/>
    <w:rsid w:val="00697C7D"/>
    <w:rsid w:val="006A0020"/>
    <w:rsid w:val="006A0181"/>
    <w:rsid w:val="006A0200"/>
    <w:rsid w:val="006A03DC"/>
    <w:rsid w:val="006A0A36"/>
    <w:rsid w:val="006A0BD0"/>
    <w:rsid w:val="006A0C0B"/>
    <w:rsid w:val="006A0D10"/>
    <w:rsid w:val="006A0E3E"/>
    <w:rsid w:val="006A0F01"/>
    <w:rsid w:val="006A1343"/>
    <w:rsid w:val="006A199E"/>
    <w:rsid w:val="006A1AF2"/>
    <w:rsid w:val="006A1B08"/>
    <w:rsid w:val="006A1EEB"/>
    <w:rsid w:val="006A2007"/>
    <w:rsid w:val="006A2035"/>
    <w:rsid w:val="006A21B5"/>
    <w:rsid w:val="006A22A2"/>
    <w:rsid w:val="006A27CA"/>
    <w:rsid w:val="006A2894"/>
    <w:rsid w:val="006A2B62"/>
    <w:rsid w:val="006A3679"/>
    <w:rsid w:val="006A37A7"/>
    <w:rsid w:val="006A3996"/>
    <w:rsid w:val="006A4345"/>
    <w:rsid w:val="006A43CC"/>
    <w:rsid w:val="006A441C"/>
    <w:rsid w:val="006A45C0"/>
    <w:rsid w:val="006A4835"/>
    <w:rsid w:val="006A49C0"/>
    <w:rsid w:val="006A4A89"/>
    <w:rsid w:val="006A4D54"/>
    <w:rsid w:val="006A4D9F"/>
    <w:rsid w:val="006A50D2"/>
    <w:rsid w:val="006A594F"/>
    <w:rsid w:val="006A5CB6"/>
    <w:rsid w:val="006A5DB0"/>
    <w:rsid w:val="006A6180"/>
    <w:rsid w:val="006A68EF"/>
    <w:rsid w:val="006A69B6"/>
    <w:rsid w:val="006A6E77"/>
    <w:rsid w:val="006A728A"/>
    <w:rsid w:val="006A7A35"/>
    <w:rsid w:val="006A7C33"/>
    <w:rsid w:val="006A7CCA"/>
    <w:rsid w:val="006B061A"/>
    <w:rsid w:val="006B08FD"/>
    <w:rsid w:val="006B0921"/>
    <w:rsid w:val="006B0A7A"/>
    <w:rsid w:val="006B1412"/>
    <w:rsid w:val="006B16E5"/>
    <w:rsid w:val="006B17C0"/>
    <w:rsid w:val="006B182A"/>
    <w:rsid w:val="006B1949"/>
    <w:rsid w:val="006B1AA0"/>
    <w:rsid w:val="006B1AFE"/>
    <w:rsid w:val="006B1C4F"/>
    <w:rsid w:val="006B1FDB"/>
    <w:rsid w:val="006B2372"/>
    <w:rsid w:val="006B27BD"/>
    <w:rsid w:val="006B3625"/>
    <w:rsid w:val="006B3741"/>
    <w:rsid w:val="006B39CD"/>
    <w:rsid w:val="006B3C12"/>
    <w:rsid w:val="006B3C95"/>
    <w:rsid w:val="006B3EA6"/>
    <w:rsid w:val="006B4A15"/>
    <w:rsid w:val="006B4A6B"/>
    <w:rsid w:val="006B4EE7"/>
    <w:rsid w:val="006B520F"/>
    <w:rsid w:val="006B5541"/>
    <w:rsid w:val="006B583F"/>
    <w:rsid w:val="006B5929"/>
    <w:rsid w:val="006B5B44"/>
    <w:rsid w:val="006B5CD3"/>
    <w:rsid w:val="006B6050"/>
    <w:rsid w:val="006B65CE"/>
    <w:rsid w:val="006B6775"/>
    <w:rsid w:val="006B69E7"/>
    <w:rsid w:val="006B6C17"/>
    <w:rsid w:val="006B6E19"/>
    <w:rsid w:val="006B6F0B"/>
    <w:rsid w:val="006B7132"/>
    <w:rsid w:val="006B7834"/>
    <w:rsid w:val="006B78E7"/>
    <w:rsid w:val="006B7A3E"/>
    <w:rsid w:val="006B7BF9"/>
    <w:rsid w:val="006B7E32"/>
    <w:rsid w:val="006B7ECD"/>
    <w:rsid w:val="006B7F4C"/>
    <w:rsid w:val="006C022F"/>
    <w:rsid w:val="006C05F9"/>
    <w:rsid w:val="006C0986"/>
    <w:rsid w:val="006C0E85"/>
    <w:rsid w:val="006C13B5"/>
    <w:rsid w:val="006C1444"/>
    <w:rsid w:val="006C1446"/>
    <w:rsid w:val="006C1891"/>
    <w:rsid w:val="006C20BC"/>
    <w:rsid w:val="006C23CF"/>
    <w:rsid w:val="006C25D5"/>
    <w:rsid w:val="006C2725"/>
    <w:rsid w:val="006C2803"/>
    <w:rsid w:val="006C2A38"/>
    <w:rsid w:val="006C3047"/>
    <w:rsid w:val="006C3354"/>
    <w:rsid w:val="006C33D5"/>
    <w:rsid w:val="006C33E0"/>
    <w:rsid w:val="006C4384"/>
    <w:rsid w:val="006C4457"/>
    <w:rsid w:val="006C46B8"/>
    <w:rsid w:val="006C4771"/>
    <w:rsid w:val="006C49FB"/>
    <w:rsid w:val="006C4AD8"/>
    <w:rsid w:val="006C503B"/>
    <w:rsid w:val="006C5046"/>
    <w:rsid w:val="006C5645"/>
    <w:rsid w:val="006C5725"/>
    <w:rsid w:val="006C57A5"/>
    <w:rsid w:val="006C5A2A"/>
    <w:rsid w:val="006C5F65"/>
    <w:rsid w:val="006C5FAD"/>
    <w:rsid w:val="006C627D"/>
    <w:rsid w:val="006C636D"/>
    <w:rsid w:val="006C6771"/>
    <w:rsid w:val="006C68E5"/>
    <w:rsid w:val="006C6B32"/>
    <w:rsid w:val="006C7159"/>
    <w:rsid w:val="006C737B"/>
    <w:rsid w:val="006C757B"/>
    <w:rsid w:val="006C7788"/>
    <w:rsid w:val="006C7803"/>
    <w:rsid w:val="006C7B15"/>
    <w:rsid w:val="006C7DAB"/>
    <w:rsid w:val="006C7FCC"/>
    <w:rsid w:val="006D02CE"/>
    <w:rsid w:val="006D0847"/>
    <w:rsid w:val="006D08A4"/>
    <w:rsid w:val="006D091D"/>
    <w:rsid w:val="006D0985"/>
    <w:rsid w:val="006D0CB5"/>
    <w:rsid w:val="006D0E95"/>
    <w:rsid w:val="006D0FB5"/>
    <w:rsid w:val="006D12AF"/>
    <w:rsid w:val="006D17A8"/>
    <w:rsid w:val="006D1A87"/>
    <w:rsid w:val="006D241D"/>
    <w:rsid w:val="006D2434"/>
    <w:rsid w:val="006D24DE"/>
    <w:rsid w:val="006D2C62"/>
    <w:rsid w:val="006D34F7"/>
    <w:rsid w:val="006D3A18"/>
    <w:rsid w:val="006D3D0C"/>
    <w:rsid w:val="006D3D73"/>
    <w:rsid w:val="006D3DE1"/>
    <w:rsid w:val="006D42A5"/>
    <w:rsid w:val="006D42ED"/>
    <w:rsid w:val="006D4535"/>
    <w:rsid w:val="006D4607"/>
    <w:rsid w:val="006D4841"/>
    <w:rsid w:val="006D4998"/>
    <w:rsid w:val="006D4C79"/>
    <w:rsid w:val="006D4DFF"/>
    <w:rsid w:val="006D509D"/>
    <w:rsid w:val="006D5147"/>
    <w:rsid w:val="006D51A5"/>
    <w:rsid w:val="006D541B"/>
    <w:rsid w:val="006D5732"/>
    <w:rsid w:val="006D59DC"/>
    <w:rsid w:val="006D5C95"/>
    <w:rsid w:val="006D6063"/>
    <w:rsid w:val="006D652A"/>
    <w:rsid w:val="006D65FE"/>
    <w:rsid w:val="006D689E"/>
    <w:rsid w:val="006D68CD"/>
    <w:rsid w:val="006D68CE"/>
    <w:rsid w:val="006D68FD"/>
    <w:rsid w:val="006D6C18"/>
    <w:rsid w:val="006D6C25"/>
    <w:rsid w:val="006D70EF"/>
    <w:rsid w:val="006D7325"/>
    <w:rsid w:val="006D75AD"/>
    <w:rsid w:val="006D75FF"/>
    <w:rsid w:val="006D7793"/>
    <w:rsid w:val="006D77FC"/>
    <w:rsid w:val="006D7C76"/>
    <w:rsid w:val="006E01B0"/>
    <w:rsid w:val="006E04D6"/>
    <w:rsid w:val="006E05DF"/>
    <w:rsid w:val="006E07E2"/>
    <w:rsid w:val="006E07FB"/>
    <w:rsid w:val="006E0803"/>
    <w:rsid w:val="006E09F5"/>
    <w:rsid w:val="006E0B45"/>
    <w:rsid w:val="006E0D61"/>
    <w:rsid w:val="006E1097"/>
    <w:rsid w:val="006E10A9"/>
    <w:rsid w:val="006E11C7"/>
    <w:rsid w:val="006E1429"/>
    <w:rsid w:val="006E1851"/>
    <w:rsid w:val="006E1A4C"/>
    <w:rsid w:val="006E1BC7"/>
    <w:rsid w:val="006E20BF"/>
    <w:rsid w:val="006E2BC1"/>
    <w:rsid w:val="006E2CEB"/>
    <w:rsid w:val="006E2CFA"/>
    <w:rsid w:val="006E3053"/>
    <w:rsid w:val="006E337F"/>
    <w:rsid w:val="006E33ED"/>
    <w:rsid w:val="006E3A1E"/>
    <w:rsid w:val="006E3AF3"/>
    <w:rsid w:val="006E422A"/>
    <w:rsid w:val="006E4AE5"/>
    <w:rsid w:val="006E5598"/>
    <w:rsid w:val="006E5707"/>
    <w:rsid w:val="006E5A70"/>
    <w:rsid w:val="006E5EE5"/>
    <w:rsid w:val="006E62CD"/>
    <w:rsid w:val="006E62F9"/>
    <w:rsid w:val="006E64B0"/>
    <w:rsid w:val="006E6571"/>
    <w:rsid w:val="006E6B63"/>
    <w:rsid w:val="006E6C96"/>
    <w:rsid w:val="006E765C"/>
    <w:rsid w:val="006E78CF"/>
    <w:rsid w:val="006E7C9F"/>
    <w:rsid w:val="006E7D30"/>
    <w:rsid w:val="006E7F98"/>
    <w:rsid w:val="006F012B"/>
    <w:rsid w:val="006F040C"/>
    <w:rsid w:val="006F0422"/>
    <w:rsid w:val="006F0853"/>
    <w:rsid w:val="006F0C6B"/>
    <w:rsid w:val="006F1A44"/>
    <w:rsid w:val="006F1AE6"/>
    <w:rsid w:val="006F249E"/>
    <w:rsid w:val="006F2794"/>
    <w:rsid w:val="006F27E5"/>
    <w:rsid w:val="006F2970"/>
    <w:rsid w:val="006F2994"/>
    <w:rsid w:val="006F2C06"/>
    <w:rsid w:val="006F3024"/>
    <w:rsid w:val="006F31FC"/>
    <w:rsid w:val="006F35D2"/>
    <w:rsid w:val="006F3A3B"/>
    <w:rsid w:val="006F3BB2"/>
    <w:rsid w:val="006F3CC4"/>
    <w:rsid w:val="006F3CE5"/>
    <w:rsid w:val="006F3D75"/>
    <w:rsid w:val="006F3EA6"/>
    <w:rsid w:val="006F3F75"/>
    <w:rsid w:val="006F42D5"/>
    <w:rsid w:val="006F4314"/>
    <w:rsid w:val="006F4AC6"/>
    <w:rsid w:val="006F52BB"/>
    <w:rsid w:val="006F52C1"/>
    <w:rsid w:val="006F5723"/>
    <w:rsid w:val="006F58F5"/>
    <w:rsid w:val="006F5936"/>
    <w:rsid w:val="006F5C7F"/>
    <w:rsid w:val="006F5E24"/>
    <w:rsid w:val="006F5FE3"/>
    <w:rsid w:val="006F6236"/>
    <w:rsid w:val="006F64C6"/>
    <w:rsid w:val="006F67D6"/>
    <w:rsid w:val="006F736B"/>
    <w:rsid w:val="006F78F2"/>
    <w:rsid w:val="006F79EF"/>
    <w:rsid w:val="006F7C2F"/>
    <w:rsid w:val="006F7D59"/>
    <w:rsid w:val="007001EE"/>
    <w:rsid w:val="00700211"/>
    <w:rsid w:val="00700302"/>
    <w:rsid w:val="007004C2"/>
    <w:rsid w:val="0070054C"/>
    <w:rsid w:val="00700687"/>
    <w:rsid w:val="007006AA"/>
    <w:rsid w:val="00700794"/>
    <w:rsid w:val="007010FF"/>
    <w:rsid w:val="007011F6"/>
    <w:rsid w:val="007015DE"/>
    <w:rsid w:val="00701BCF"/>
    <w:rsid w:val="00701D99"/>
    <w:rsid w:val="00701F8C"/>
    <w:rsid w:val="00702051"/>
    <w:rsid w:val="007027B8"/>
    <w:rsid w:val="0070296E"/>
    <w:rsid w:val="00702EA3"/>
    <w:rsid w:val="00702FE0"/>
    <w:rsid w:val="0070330E"/>
    <w:rsid w:val="0070374E"/>
    <w:rsid w:val="00703771"/>
    <w:rsid w:val="007037E1"/>
    <w:rsid w:val="0070396E"/>
    <w:rsid w:val="007039CB"/>
    <w:rsid w:val="007040A9"/>
    <w:rsid w:val="007042DF"/>
    <w:rsid w:val="00704352"/>
    <w:rsid w:val="0070439E"/>
    <w:rsid w:val="00704418"/>
    <w:rsid w:val="007046E3"/>
    <w:rsid w:val="00704894"/>
    <w:rsid w:val="00704927"/>
    <w:rsid w:val="00704B42"/>
    <w:rsid w:val="00704C8E"/>
    <w:rsid w:val="007058B9"/>
    <w:rsid w:val="00705BC1"/>
    <w:rsid w:val="00705C0B"/>
    <w:rsid w:val="00705E1C"/>
    <w:rsid w:val="00705F63"/>
    <w:rsid w:val="0070634D"/>
    <w:rsid w:val="007063D9"/>
    <w:rsid w:val="00706D51"/>
    <w:rsid w:val="00707130"/>
    <w:rsid w:val="00707373"/>
    <w:rsid w:val="00707468"/>
    <w:rsid w:val="0070767E"/>
    <w:rsid w:val="007077FA"/>
    <w:rsid w:val="00710209"/>
    <w:rsid w:val="00710435"/>
    <w:rsid w:val="007105A4"/>
    <w:rsid w:val="00710CDA"/>
    <w:rsid w:val="007110FA"/>
    <w:rsid w:val="00711100"/>
    <w:rsid w:val="007119AA"/>
    <w:rsid w:val="00711C12"/>
    <w:rsid w:val="00711CBD"/>
    <w:rsid w:val="00711E2B"/>
    <w:rsid w:val="00711F94"/>
    <w:rsid w:val="00712050"/>
    <w:rsid w:val="007123FA"/>
    <w:rsid w:val="00712430"/>
    <w:rsid w:val="00712607"/>
    <w:rsid w:val="0071266E"/>
    <w:rsid w:val="0071282F"/>
    <w:rsid w:val="00712D8C"/>
    <w:rsid w:val="00712EEE"/>
    <w:rsid w:val="00713222"/>
    <w:rsid w:val="00713759"/>
    <w:rsid w:val="00713F54"/>
    <w:rsid w:val="0071497A"/>
    <w:rsid w:val="00714985"/>
    <w:rsid w:val="007154CA"/>
    <w:rsid w:val="0071562F"/>
    <w:rsid w:val="0071597E"/>
    <w:rsid w:val="00715B7B"/>
    <w:rsid w:val="0071612B"/>
    <w:rsid w:val="00716432"/>
    <w:rsid w:val="00716D1C"/>
    <w:rsid w:val="00716DDD"/>
    <w:rsid w:val="00717040"/>
    <w:rsid w:val="007176FE"/>
    <w:rsid w:val="00717A16"/>
    <w:rsid w:val="00717B40"/>
    <w:rsid w:val="00717B79"/>
    <w:rsid w:val="00717F93"/>
    <w:rsid w:val="00720433"/>
    <w:rsid w:val="0072056E"/>
    <w:rsid w:val="00720C07"/>
    <w:rsid w:val="00720F5D"/>
    <w:rsid w:val="00720FEE"/>
    <w:rsid w:val="00721166"/>
    <w:rsid w:val="00721A5B"/>
    <w:rsid w:val="00721B2C"/>
    <w:rsid w:val="00721D23"/>
    <w:rsid w:val="0072250E"/>
    <w:rsid w:val="00722C96"/>
    <w:rsid w:val="00722DA4"/>
    <w:rsid w:val="00723497"/>
    <w:rsid w:val="00723AFD"/>
    <w:rsid w:val="00723D1E"/>
    <w:rsid w:val="00723FD4"/>
    <w:rsid w:val="00723FE0"/>
    <w:rsid w:val="007244EF"/>
    <w:rsid w:val="007245F7"/>
    <w:rsid w:val="007248BE"/>
    <w:rsid w:val="007252FB"/>
    <w:rsid w:val="007257E5"/>
    <w:rsid w:val="007259B8"/>
    <w:rsid w:val="00725ED4"/>
    <w:rsid w:val="00726BC4"/>
    <w:rsid w:val="007270CF"/>
    <w:rsid w:val="007274DE"/>
    <w:rsid w:val="007275F5"/>
    <w:rsid w:val="0072783B"/>
    <w:rsid w:val="00727D24"/>
    <w:rsid w:val="00727D87"/>
    <w:rsid w:val="0073000F"/>
    <w:rsid w:val="007301FF"/>
    <w:rsid w:val="0073050B"/>
    <w:rsid w:val="00730871"/>
    <w:rsid w:val="007314B3"/>
    <w:rsid w:val="007318BD"/>
    <w:rsid w:val="00731942"/>
    <w:rsid w:val="00731B60"/>
    <w:rsid w:val="007325AB"/>
    <w:rsid w:val="00732816"/>
    <w:rsid w:val="00732AAD"/>
    <w:rsid w:val="00732D1E"/>
    <w:rsid w:val="00732E54"/>
    <w:rsid w:val="00732ED8"/>
    <w:rsid w:val="007332B6"/>
    <w:rsid w:val="0073354A"/>
    <w:rsid w:val="00733902"/>
    <w:rsid w:val="0073397D"/>
    <w:rsid w:val="00733D0F"/>
    <w:rsid w:val="00733F5C"/>
    <w:rsid w:val="007341AC"/>
    <w:rsid w:val="00734678"/>
    <w:rsid w:val="00734A46"/>
    <w:rsid w:val="00734A95"/>
    <w:rsid w:val="00734B7C"/>
    <w:rsid w:val="007350EC"/>
    <w:rsid w:val="007352A2"/>
    <w:rsid w:val="007353FE"/>
    <w:rsid w:val="00735539"/>
    <w:rsid w:val="00735828"/>
    <w:rsid w:val="00735B5F"/>
    <w:rsid w:val="007360C6"/>
    <w:rsid w:val="007361C2"/>
    <w:rsid w:val="00736944"/>
    <w:rsid w:val="00736C29"/>
    <w:rsid w:val="00736CAB"/>
    <w:rsid w:val="007375A8"/>
    <w:rsid w:val="00737741"/>
    <w:rsid w:val="00737963"/>
    <w:rsid w:val="007379C6"/>
    <w:rsid w:val="007379D7"/>
    <w:rsid w:val="007406C3"/>
    <w:rsid w:val="00740967"/>
    <w:rsid w:val="007415CC"/>
    <w:rsid w:val="0074172F"/>
    <w:rsid w:val="00741B70"/>
    <w:rsid w:val="00741CE7"/>
    <w:rsid w:val="007420A3"/>
    <w:rsid w:val="0074219D"/>
    <w:rsid w:val="0074305F"/>
    <w:rsid w:val="007439C7"/>
    <w:rsid w:val="00743BB2"/>
    <w:rsid w:val="00743FB0"/>
    <w:rsid w:val="00744153"/>
    <w:rsid w:val="0074442F"/>
    <w:rsid w:val="00744735"/>
    <w:rsid w:val="00744A2B"/>
    <w:rsid w:val="00744BC6"/>
    <w:rsid w:val="00744EA4"/>
    <w:rsid w:val="007451C0"/>
    <w:rsid w:val="00746356"/>
    <w:rsid w:val="007464D3"/>
    <w:rsid w:val="00746827"/>
    <w:rsid w:val="00746F72"/>
    <w:rsid w:val="00747106"/>
    <w:rsid w:val="007473AC"/>
    <w:rsid w:val="00747424"/>
    <w:rsid w:val="00747AD6"/>
    <w:rsid w:val="00747B26"/>
    <w:rsid w:val="00750010"/>
    <w:rsid w:val="007500D1"/>
    <w:rsid w:val="0075028B"/>
    <w:rsid w:val="007503AF"/>
    <w:rsid w:val="00750582"/>
    <w:rsid w:val="00750A82"/>
    <w:rsid w:val="00750C4A"/>
    <w:rsid w:val="00750D24"/>
    <w:rsid w:val="0075123D"/>
    <w:rsid w:val="007512F2"/>
    <w:rsid w:val="00751383"/>
    <w:rsid w:val="007513D4"/>
    <w:rsid w:val="00751420"/>
    <w:rsid w:val="00751488"/>
    <w:rsid w:val="0075160B"/>
    <w:rsid w:val="007518A3"/>
    <w:rsid w:val="007519C0"/>
    <w:rsid w:val="00751D93"/>
    <w:rsid w:val="00752738"/>
    <w:rsid w:val="0075295D"/>
    <w:rsid w:val="00752A48"/>
    <w:rsid w:val="00752B28"/>
    <w:rsid w:val="00753168"/>
    <w:rsid w:val="007536FC"/>
    <w:rsid w:val="0075381B"/>
    <w:rsid w:val="0075382E"/>
    <w:rsid w:val="00753BD8"/>
    <w:rsid w:val="0075455B"/>
    <w:rsid w:val="007547D9"/>
    <w:rsid w:val="00754837"/>
    <w:rsid w:val="00754C74"/>
    <w:rsid w:val="00754EE6"/>
    <w:rsid w:val="00754EF3"/>
    <w:rsid w:val="00755360"/>
    <w:rsid w:val="0075564D"/>
    <w:rsid w:val="00755790"/>
    <w:rsid w:val="00755831"/>
    <w:rsid w:val="00755B0E"/>
    <w:rsid w:val="00755BFD"/>
    <w:rsid w:val="00755C53"/>
    <w:rsid w:val="00755D9E"/>
    <w:rsid w:val="00755DDE"/>
    <w:rsid w:val="0075607B"/>
    <w:rsid w:val="007560A0"/>
    <w:rsid w:val="0075647E"/>
    <w:rsid w:val="007566F1"/>
    <w:rsid w:val="0075673F"/>
    <w:rsid w:val="00756A7D"/>
    <w:rsid w:val="00756AC8"/>
    <w:rsid w:val="00756E13"/>
    <w:rsid w:val="00756FC9"/>
    <w:rsid w:val="007573E6"/>
    <w:rsid w:val="007574CB"/>
    <w:rsid w:val="00757650"/>
    <w:rsid w:val="0075780A"/>
    <w:rsid w:val="0075794F"/>
    <w:rsid w:val="00757CB4"/>
    <w:rsid w:val="00757D4C"/>
    <w:rsid w:val="00757F69"/>
    <w:rsid w:val="007601C0"/>
    <w:rsid w:val="00760508"/>
    <w:rsid w:val="00760598"/>
    <w:rsid w:val="00760E77"/>
    <w:rsid w:val="00761252"/>
    <w:rsid w:val="0076133C"/>
    <w:rsid w:val="00761537"/>
    <w:rsid w:val="00761BC9"/>
    <w:rsid w:val="00761E38"/>
    <w:rsid w:val="00762266"/>
    <w:rsid w:val="00762326"/>
    <w:rsid w:val="007623E6"/>
    <w:rsid w:val="007624C8"/>
    <w:rsid w:val="00762522"/>
    <w:rsid w:val="00762871"/>
    <w:rsid w:val="0076299F"/>
    <w:rsid w:val="00762AAB"/>
    <w:rsid w:val="00762D92"/>
    <w:rsid w:val="007631EE"/>
    <w:rsid w:val="007634AC"/>
    <w:rsid w:val="00763801"/>
    <w:rsid w:val="00764552"/>
    <w:rsid w:val="00764A5E"/>
    <w:rsid w:val="0076502C"/>
    <w:rsid w:val="007650EF"/>
    <w:rsid w:val="007651EB"/>
    <w:rsid w:val="007653C9"/>
    <w:rsid w:val="007654B2"/>
    <w:rsid w:val="007656DB"/>
    <w:rsid w:val="00765E08"/>
    <w:rsid w:val="00765E0A"/>
    <w:rsid w:val="0076658C"/>
    <w:rsid w:val="00766975"/>
    <w:rsid w:val="00766C09"/>
    <w:rsid w:val="00766DD0"/>
    <w:rsid w:val="00767425"/>
    <w:rsid w:val="0076772E"/>
    <w:rsid w:val="0076789E"/>
    <w:rsid w:val="00767E8C"/>
    <w:rsid w:val="00767EB1"/>
    <w:rsid w:val="00770141"/>
    <w:rsid w:val="00770926"/>
    <w:rsid w:val="007709C9"/>
    <w:rsid w:val="00770A11"/>
    <w:rsid w:val="007710A5"/>
    <w:rsid w:val="007715F2"/>
    <w:rsid w:val="00771A05"/>
    <w:rsid w:val="00771B46"/>
    <w:rsid w:val="00771C27"/>
    <w:rsid w:val="00771D9C"/>
    <w:rsid w:val="00772070"/>
    <w:rsid w:val="0077255C"/>
    <w:rsid w:val="00772830"/>
    <w:rsid w:val="00772A6B"/>
    <w:rsid w:val="00772BA2"/>
    <w:rsid w:val="00772C2E"/>
    <w:rsid w:val="0077306E"/>
    <w:rsid w:val="00773573"/>
    <w:rsid w:val="007735CF"/>
    <w:rsid w:val="00773E0F"/>
    <w:rsid w:val="00773EDF"/>
    <w:rsid w:val="00774745"/>
    <w:rsid w:val="00774766"/>
    <w:rsid w:val="00774C40"/>
    <w:rsid w:val="00774D12"/>
    <w:rsid w:val="00774DCE"/>
    <w:rsid w:val="00775283"/>
    <w:rsid w:val="00775482"/>
    <w:rsid w:val="00775492"/>
    <w:rsid w:val="00775534"/>
    <w:rsid w:val="00775AC5"/>
    <w:rsid w:val="00775DF5"/>
    <w:rsid w:val="007761B9"/>
    <w:rsid w:val="00776886"/>
    <w:rsid w:val="00776CC6"/>
    <w:rsid w:val="007776B3"/>
    <w:rsid w:val="00777934"/>
    <w:rsid w:val="00777CE5"/>
    <w:rsid w:val="00777CEE"/>
    <w:rsid w:val="00780040"/>
    <w:rsid w:val="00780F40"/>
    <w:rsid w:val="00781F68"/>
    <w:rsid w:val="00782025"/>
    <w:rsid w:val="007824A0"/>
    <w:rsid w:val="00782653"/>
    <w:rsid w:val="00782A55"/>
    <w:rsid w:val="00782C91"/>
    <w:rsid w:val="00782CC5"/>
    <w:rsid w:val="0078318F"/>
    <w:rsid w:val="00783482"/>
    <w:rsid w:val="0078363E"/>
    <w:rsid w:val="00783763"/>
    <w:rsid w:val="0078392D"/>
    <w:rsid w:val="00783E2D"/>
    <w:rsid w:val="00784370"/>
    <w:rsid w:val="007844F8"/>
    <w:rsid w:val="007847F6"/>
    <w:rsid w:val="00784B82"/>
    <w:rsid w:val="00784BF4"/>
    <w:rsid w:val="007851B3"/>
    <w:rsid w:val="007853F7"/>
    <w:rsid w:val="007855B2"/>
    <w:rsid w:val="0078574F"/>
    <w:rsid w:val="00785BFE"/>
    <w:rsid w:val="00785E62"/>
    <w:rsid w:val="00786124"/>
    <w:rsid w:val="007865B1"/>
    <w:rsid w:val="00786929"/>
    <w:rsid w:val="00786BAA"/>
    <w:rsid w:val="00786F17"/>
    <w:rsid w:val="00786FB3"/>
    <w:rsid w:val="00786FC7"/>
    <w:rsid w:val="00787056"/>
    <w:rsid w:val="00787709"/>
    <w:rsid w:val="00787A4E"/>
    <w:rsid w:val="00787D18"/>
    <w:rsid w:val="00787DA6"/>
    <w:rsid w:val="00791257"/>
    <w:rsid w:val="007914DE"/>
    <w:rsid w:val="0079170C"/>
    <w:rsid w:val="00791EAF"/>
    <w:rsid w:val="00791FD5"/>
    <w:rsid w:val="0079242D"/>
    <w:rsid w:val="00792474"/>
    <w:rsid w:val="00792BC0"/>
    <w:rsid w:val="00793182"/>
    <w:rsid w:val="00793791"/>
    <w:rsid w:val="00793A80"/>
    <w:rsid w:val="00793C30"/>
    <w:rsid w:val="00793EE4"/>
    <w:rsid w:val="0079474A"/>
    <w:rsid w:val="00794990"/>
    <w:rsid w:val="00794BF4"/>
    <w:rsid w:val="00794D84"/>
    <w:rsid w:val="00794DFD"/>
    <w:rsid w:val="0079549E"/>
    <w:rsid w:val="00795641"/>
    <w:rsid w:val="0079587B"/>
    <w:rsid w:val="00795CB8"/>
    <w:rsid w:val="00796691"/>
    <w:rsid w:val="007967F5"/>
    <w:rsid w:val="007969F6"/>
    <w:rsid w:val="00796B92"/>
    <w:rsid w:val="00796D0D"/>
    <w:rsid w:val="00797496"/>
    <w:rsid w:val="007974F9"/>
    <w:rsid w:val="00797E1E"/>
    <w:rsid w:val="007A0023"/>
    <w:rsid w:val="007A066E"/>
    <w:rsid w:val="007A0AAA"/>
    <w:rsid w:val="007A12B6"/>
    <w:rsid w:val="007A1733"/>
    <w:rsid w:val="007A1CBD"/>
    <w:rsid w:val="007A22AE"/>
    <w:rsid w:val="007A266C"/>
    <w:rsid w:val="007A2CEB"/>
    <w:rsid w:val="007A2D9C"/>
    <w:rsid w:val="007A2F69"/>
    <w:rsid w:val="007A2FDC"/>
    <w:rsid w:val="007A32CD"/>
    <w:rsid w:val="007A3814"/>
    <w:rsid w:val="007A381E"/>
    <w:rsid w:val="007A4362"/>
    <w:rsid w:val="007A497A"/>
    <w:rsid w:val="007A49FD"/>
    <w:rsid w:val="007A4F22"/>
    <w:rsid w:val="007A50F2"/>
    <w:rsid w:val="007A519C"/>
    <w:rsid w:val="007A55FE"/>
    <w:rsid w:val="007A58C2"/>
    <w:rsid w:val="007A5D54"/>
    <w:rsid w:val="007A5DF6"/>
    <w:rsid w:val="007A60B9"/>
    <w:rsid w:val="007A62B3"/>
    <w:rsid w:val="007A6585"/>
    <w:rsid w:val="007A6778"/>
    <w:rsid w:val="007A69B3"/>
    <w:rsid w:val="007A6C69"/>
    <w:rsid w:val="007A7010"/>
    <w:rsid w:val="007A7621"/>
    <w:rsid w:val="007A7847"/>
    <w:rsid w:val="007B06AC"/>
    <w:rsid w:val="007B079C"/>
    <w:rsid w:val="007B096D"/>
    <w:rsid w:val="007B0C82"/>
    <w:rsid w:val="007B0EC6"/>
    <w:rsid w:val="007B1448"/>
    <w:rsid w:val="007B1577"/>
    <w:rsid w:val="007B1613"/>
    <w:rsid w:val="007B2293"/>
    <w:rsid w:val="007B269A"/>
    <w:rsid w:val="007B26A8"/>
    <w:rsid w:val="007B2C51"/>
    <w:rsid w:val="007B313F"/>
    <w:rsid w:val="007B334A"/>
    <w:rsid w:val="007B3925"/>
    <w:rsid w:val="007B3EE0"/>
    <w:rsid w:val="007B4180"/>
    <w:rsid w:val="007B4264"/>
    <w:rsid w:val="007B46B9"/>
    <w:rsid w:val="007B492D"/>
    <w:rsid w:val="007B4AB9"/>
    <w:rsid w:val="007B536B"/>
    <w:rsid w:val="007B55B2"/>
    <w:rsid w:val="007B5677"/>
    <w:rsid w:val="007B5810"/>
    <w:rsid w:val="007B5AAA"/>
    <w:rsid w:val="007B5CB0"/>
    <w:rsid w:val="007B5CCE"/>
    <w:rsid w:val="007B683E"/>
    <w:rsid w:val="007B6D4A"/>
    <w:rsid w:val="007B71D9"/>
    <w:rsid w:val="007B7387"/>
    <w:rsid w:val="007B748D"/>
    <w:rsid w:val="007B7758"/>
    <w:rsid w:val="007B78EE"/>
    <w:rsid w:val="007B78EF"/>
    <w:rsid w:val="007B7AFA"/>
    <w:rsid w:val="007B7D96"/>
    <w:rsid w:val="007B7E76"/>
    <w:rsid w:val="007B7FCA"/>
    <w:rsid w:val="007C021A"/>
    <w:rsid w:val="007C0674"/>
    <w:rsid w:val="007C0D0B"/>
    <w:rsid w:val="007C0FA2"/>
    <w:rsid w:val="007C1221"/>
    <w:rsid w:val="007C1269"/>
    <w:rsid w:val="007C1427"/>
    <w:rsid w:val="007C1E78"/>
    <w:rsid w:val="007C2405"/>
    <w:rsid w:val="007C2522"/>
    <w:rsid w:val="007C2530"/>
    <w:rsid w:val="007C2596"/>
    <w:rsid w:val="007C26DF"/>
    <w:rsid w:val="007C2759"/>
    <w:rsid w:val="007C27C2"/>
    <w:rsid w:val="007C2DDB"/>
    <w:rsid w:val="007C2E82"/>
    <w:rsid w:val="007C2F0C"/>
    <w:rsid w:val="007C3EC4"/>
    <w:rsid w:val="007C46A4"/>
    <w:rsid w:val="007C46CC"/>
    <w:rsid w:val="007C491C"/>
    <w:rsid w:val="007C4ACA"/>
    <w:rsid w:val="007C4CC0"/>
    <w:rsid w:val="007C4E41"/>
    <w:rsid w:val="007C4F4C"/>
    <w:rsid w:val="007C52D0"/>
    <w:rsid w:val="007C5407"/>
    <w:rsid w:val="007C552D"/>
    <w:rsid w:val="007C5798"/>
    <w:rsid w:val="007C5A17"/>
    <w:rsid w:val="007C5A2F"/>
    <w:rsid w:val="007C5CF6"/>
    <w:rsid w:val="007C6038"/>
    <w:rsid w:val="007C6353"/>
    <w:rsid w:val="007C6550"/>
    <w:rsid w:val="007C68B1"/>
    <w:rsid w:val="007C6ABF"/>
    <w:rsid w:val="007C6D84"/>
    <w:rsid w:val="007C7649"/>
    <w:rsid w:val="007C76E5"/>
    <w:rsid w:val="007C7821"/>
    <w:rsid w:val="007C7E9E"/>
    <w:rsid w:val="007C7F96"/>
    <w:rsid w:val="007D0398"/>
    <w:rsid w:val="007D0589"/>
    <w:rsid w:val="007D06AE"/>
    <w:rsid w:val="007D0B9F"/>
    <w:rsid w:val="007D0D89"/>
    <w:rsid w:val="007D0EF1"/>
    <w:rsid w:val="007D10F8"/>
    <w:rsid w:val="007D111D"/>
    <w:rsid w:val="007D14B6"/>
    <w:rsid w:val="007D1C17"/>
    <w:rsid w:val="007D20F9"/>
    <w:rsid w:val="007D21D8"/>
    <w:rsid w:val="007D225B"/>
    <w:rsid w:val="007D2A99"/>
    <w:rsid w:val="007D2BB1"/>
    <w:rsid w:val="007D2D06"/>
    <w:rsid w:val="007D3087"/>
    <w:rsid w:val="007D31E4"/>
    <w:rsid w:val="007D32E0"/>
    <w:rsid w:val="007D3336"/>
    <w:rsid w:val="007D3584"/>
    <w:rsid w:val="007D4585"/>
    <w:rsid w:val="007D49B5"/>
    <w:rsid w:val="007D4B8A"/>
    <w:rsid w:val="007D4CD7"/>
    <w:rsid w:val="007D4FEC"/>
    <w:rsid w:val="007D5126"/>
    <w:rsid w:val="007D5249"/>
    <w:rsid w:val="007D55A2"/>
    <w:rsid w:val="007D5674"/>
    <w:rsid w:val="007D573B"/>
    <w:rsid w:val="007D57F7"/>
    <w:rsid w:val="007D5971"/>
    <w:rsid w:val="007D5ABD"/>
    <w:rsid w:val="007D5DA3"/>
    <w:rsid w:val="007D636C"/>
    <w:rsid w:val="007D696B"/>
    <w:rsid w:val="007D6BC6"/>
    <w:rsid w:val="007D6CCE"/>
    <w:rsid w:val="007D77EC"/>
    <w:rsid w:val="007D7831"/>
    <w:rsid w:val="007D7B59"/>
    <w:rsid w:val="007D7C21"/>
    <w:rsid w:val="007D7D3D"/>
    <w:rsid w:val="007E0258"/>
    <w:rsid w:val="007E0305"/>
    <w:rsid w:val="007E05D6"/>
    <w:rsid w:val="007E0A79"/>
    <w:rsid w:val="007E0C64"/>
    <w:rsid w:val="007E0E64"/>
    <w:rsid w:val="007E0ED9"/>
    <w:rsid w:val="007E0FEA"/>
    <w:rsid w:val="007E1004"/>
    <w:rsid w:val="007E11DD"/>
    <w:rsid w:val="007E1D5C"/>
    <w:rsid w:val="007E2135"/>
    <w:rsid w:val="007E2182"/>
    <w:rsid w:val="007E2729"/>
    <w:rsid w:val="007E27FF"/>
    <w:rsid w:val="007E2A67"/>
    <w:rsid w:val="007E3318"/>
    <w:rsid w:val="007E341C"/>
    <w:rsid w:val="007E359E"/>
    <w:rsid w:val="007E3EAE"/>
    <w:rsid w:val="007E41E2"/>
    <w:rsid w:val="007E434C"/>
    <w:rsid w:val="007E44F3"/>
    <w:rsid w:val="007E49DD"/>
    <w:rsid w:val="007E4CBA"/>
    <w:rsid w:val="007E4EFE"/>
    <w:rsid w:val="007E530F"/>
    <w:rsid w:val="007E6346"/>
    <w:rsid w:val="007E6614"/>
    <w:rsid w:val="007E66AB"/>
    <w:rsid w:val="007E6784"/>
    <w:rsid w:val="007E6AAC"/>
    <w:rsid w:val="007E6E7E"/>
    <w:rsid w:val="007E6FA0"/>
    <w:rsid w:val="007E6FB7"/>
    <w:rsid w:val="007E72EB"/>
    <w:rsid w:val="007E7AA7"/>
    <w:rsid w:val="007F04C5"/>
    <w:rsid w:val="007F0E21"/>
    <w:rsid w:val="007F0E38"/>
    <w:rsid w:val="007F1279"/>
    <w:rsid w:val="007F131D"/>
    <w:rsid w:val="007F1406"/>
    <w:rsid w:val="007F15FA"/>
    <w:rsid w:val="007F1733"/>
    <w:rsid w:val="007F1837"/>
    <w:rsid w:val="007F184A"/>
    <w:rsid w:val="007F2623"/>
    <w:rsid w:val="007F2C6E"/>
    <w:rsid w:val="007F2F53"/>
    <w:rsid w:val="007F3110"/>
    <w:rsid w:val="007F3304"/>
    <w:rsid w:val="007F350D"/>
    <w:rsid w:val="007F35B3"/>
    <w:rsid w:val="007F3679"/>
    <w:rsid w:val="007F36E8"/>
    <w:rsid w:val="007F3719"/>
    <w:rsid w:val="007F3877"/>
    <w:rsid w:val="007F3B82"/>
    <w:rsid w:val="007F3E37"/>
    <w:rsid w:val="007F40DB"/>
    <w:rsid w:val="007F41A5"/>
    <w:rsid w:val="007F42AB"/>
    <w:rsid w:val="007F4467"/>
    <w:rsid w:val="007F4578"/>
    <w:rsid w:val="007F46E2"/>
    <w:rsid w:val="007F4780"/>
    <w:rsid w:val="007F4793"/>
    <w:rsid w:val="007F4A91"/>
    <w:rsid w:val="007F4C8A"/>
    <w:rsid w:val="007F57A5"/>
    <w:rsid w:val="007F58E0"/>
    <w:rsid w:val="007F59C4"/>
    <w:rsid w:val="007F59F5"/>
    <w:rsid w:val="007F5EC0"/>
    <w:rsid w:val="007F60CF"/>
    <w:rsid w:val="007F6E05"/>
    <w:rsid w:val="007F6E9E"/>
    <w:rsid w:val="007F7109"/>
    <w:rsid w:val="007F79E5"/>
    <w:rsid w:val="007F7C76"/>
    <w:rsid w:val="007F7D28"/>
    <w:rsid w:val="008002B9"/>
    <w:rsid w:val="00800735"/>
    <w:rsid w:val="00800D25"/>
    <w:rsid w:val="00800EC4"/>
    <w:rsid w:val="00801A3B"/>
    <w:rsid w:val="00801C25"/>
    <w:rsid w:val="00801E78"/>
    <w:rsid w:val="0080232F"/>
    <w:rsid w:val="0080233B"/>
    <w:rsid w:val="00802429"/>
    <w:rsid w:val="008028E6"/>
    <w:rsid w:val="00802D2B"/>
    <w:rsid w:val="00802EEC"/>
    <w:rsid w:val="00802F4F"/>
    <w:rsid w:val="008031A7"/>
    <w:rsid w:val="0080321E"/>
    <w:rsid w:val="0080388F"/>
    <w:rsid w:val="00803A3E"/>
    <w:rsid w:val="00803AE9"/>
    <w:rsid w:val="00803D8B"/>
    <w:rsid w:val="00803DC8"/>
    <w:rsid w:val="00803EB4"/>
    <w:rsid w:val="00804D9A"/>
    <w:rsid w:val="00804E12"/>
    <w:rsid w:val="0080515F"/>
    <w:rsid w:val="00805786"/>
    <w:rsid w:val="00806038"/>
    <w:rsid w:val="008061FA"/>
    <w:rsid w:val="0080633A"/>
    <w:rsid w:val="008066F8"/>
    <w:rsid w:val="00806958"/>
    <w:rsid w:val="00806A62"/>
    <w:rsid w:val="00806C04"/>
    <w:rsid w:val="00806E06"/>
    <w:rsid w:val="00806FFA"/>
    <w:rsid w:val="00807039"/>
    <w:rsid w:val="00807719"/>
    <w:rsid w:val="00807BE8"/>
    <w:rsid w:val="008102AE"/>
    <w:rsid w:val="008102E1"/>
    <w:rsid w:val="0081083D"/>
    <w:rsid w:val="00810ED7"/>
    <w:rsid w:val="00811216"/>
    <w:rsid w:val="00812AE6"/>
    <w:rsid w:val="00812B60"/>
    <w:rsid w:val="00812D41"/>
    <w:rsid w:val="00812F44"/>
    <w:rsid w:val="0081334A"/>
    <w:rsid w:val="0081353D"/>
    <w:rsid w:val="00813767"/>
    <w:rsid w:val="00814232"/>
    <w:rsid w:val="0081447E"/>
    <w:rsid w:val="008149E2"/>
    <w:rsid w:val="00814B9C"/>
    <w:rsid w:val="00814FEE"/>
    <w:rsid w:val="00815302"/>
    <w:rsid w:val="00815374"/>
    <w:rsid w:val="00815E17"/>
    <w:rsid w:val="00815E82"/>
    <w:rsid w:val="00815EF7"/>
    <w:rsid w:val="00816995"/>
    <w:rsid w:val="00816EB3"/>
    <w:rsid w:val="0081702A"/>
    <w:rsid w:val="00817202"/>
    <w:rsid w:val="00817264"/>
    <w:rsid w:val="008203CA"/>
    <w:rsid w:val="008207D5"/>
    <w:rsid w:val="0082092E"/>
    <w:rsid w:val="00820B20"/>
    <w:rsid w:val="00821022"/>
    <w:rsid w:val="008211E1"/>
    <w:rsid w:val="008211F9"/>
    <w:rsid w:val="008212D7"/>
    <w:rsid w:val="00821D97"/>
    <w:rsid w:val="0082231A"/>
    <w:rsid w:val="008230A2"/>
    <w:rsid w:val="008230D3"/>
    <w:rsid w:val="00823543"/>
    <w:rsid w:val="00823562"/>
    <w:rsid w:val="008236D9"/>
    <w:rsid w:val="008237EF"/>
    <w:rsid w:val="0082389B"/>
    <w:rsid w:val="0082390B"/>
    <w:rsid w:val="008239CA"/>
    <w:rsid w:val="00823F8F"/>
    <w:rsid w:val="00824353"/>
    <w:rsid w:val="00824357"/>
    <w:rsid w:val="0082477C"/>
    <w:rsid w:val="00824974"/>
    <w:rsid w:val="00824A9E"/>
    <w:rsid w:val="008252B1"/>
    <w:rsid w:val="00825383"/>
    <w:rsid w:val="00825C1A"/>
    <w:rsid w:val="00826523"/>
    <w:rsid w:val="008265A6"/>
    <w:rsid w:val="0082666D"/>
    <w:rsid w:val="00826FED"/>
    <w:rsid w:val="008270C7"/>
    <w:rsid w:val="0082737F"/>
    <w:rsid w:val="008274FF"/>
    <w:rsid w:val="00827796"/>
    <w:rsid w:val="008277F2"/>
    <w:rsid w:val="00827EEB"/>
    <w:rsid w:val="008301EB"/>
    <w:rsid w:val="00830284"/>
    <w:rsid w:val="008309C0"/>
    <w:rsid w:val="008309C8"/>
    <w:rsid w:val="008309FB"/>
    <w:rsid w:val="0083149F"/>
    <w:rsid w:val="0083167F"/>
    <w:rsid w:val="008318CA"/>
    <w:rsid w:val="0083196F"/>
    <w:rsid w:val="00831A6D"/>
    <w:rsid w:val="00831B39"/>
    <w:rsid w:val="00831BBF"/>
    <w:rsid w:val="00831DC0"/>
    <w:rsid w:val="00832549"/>
    <w:rsid w:val="00832697"/>
    <w:rsid w:val="008326E8"/>
    <w:rsid w:val="00832709"/>
    <w:rsid w:val="008328F3"/>
    <w:rsid w:val="00832E24"/>
    <w:rsid w:val="0083347B"/>
    <w:rsid w:val="00833B83"/>
    <w:rsid w:val="00833F4B"/>
    <w:rsid w:val="00833FDA"/>
    <w:rsid w:val="00833FDF"/>
    <w:rsid w:val="008342DA"/>
    <w:rsid w:val="00834A10"/>
    <w:rsid w:val="00834D50"/>
    <w:rsid w:val="00834F9E"/>
    <w:rsid w:val="00835048"/>
    <w:rsid w:val="008355D6"/>
    <w:rsid w:val="00835625"/>
    <w:rsid w:val="0083569B"/>
    <w:rsid w:val="00835878"/>
    <w:rsid w:val="00835B4A"/>
    <w:rsid w:val="00835B97"/>
    <w:rsid w:val="00835F78"/>
    <w:rsid w:val="00835FB1"/>
    <w:rsid w:val="008360B2"/>
    <w:rsid w:val="00836488"/>
    <w:rsid w:val="008366CA"/>
    <w:rsid w:val="008366F3"/>
    <w:rsid w:val="00836952"/>
    <w:rsid w:val="00836A15"/>
    <w:rsid w:val="00836C61"/>
    <w:rsid w:val="00836FCA"/>
    <w:rsid w:val="00837307"/>
    <w:rsid w:val="008408D3"/>
    <w:rsid w:val="00840C82"/>
    <w:rsid w:val="00840F15"/>
    <w:rsid w:val="00841471"/>
    <w:rsid w:val="008415FA"/>
    <w:rsid w:val="00841CDE"/>
    <w:rsid w:val="00841D27"/>
    <w:rsid w:val="00842089"/>
    <w:rsid w:val="008420E6"/>
    <w:rsid w:val="00842388"/>
    <w:rsid w:val="0084251C"/>
    <w:rsid w:val="008427A4"/>
    <w:rsid w:val="00842893"/>
    <w:rsid w:val="00842CD9"/>
    <w:rsid w:val="00843D51"/>
    <w:rsid w:val="00843DDB"/>
    <w:rsid w:val="00843F6D"/>
    <w:rsid w:val="008441DA"/>
    <w:rsid w:val="0084469F"/>
    <w:rsid w:val="00844711"/>
    <w:rsid w:val="008448BA"/>
    <w:rsid w:val="00844932"/>
    <w:rsid w:val="00844DF7"/>
    <w:rsid w:val="00845AA1"/>
    <w:rsid w:val="00845AC8"/>
    <w:rsid w:val="00846033"/>
    <w:rsid w:val="008460B0"/>
    <w:rsid w:val="00846244"/>
    <w:rsid w:val="008465A4"/>
    <w:rsid w:val="00846ACE"/>
    <w:rsid w:val="00846C85"/>
    <w:rsid w:val="00846EF7"/>
    <w:rsid w:val="00846FD8"/>
    <w:rsid w:val="008470C7"/>
    <w:rsid w:val="0084776D"/>
    <w:rsid w:val="00847ABD"/>
    <w:rsid w:val="00847D00"/>
    <w:rsid w:val="00847D11"/>
    <w:rsid w:val="00850A5E"/>
    <w:rsid w:val="0085119D"/>
    <w:rsid w:val="00851455"/>
    <w:rsid w:val="0085177B"/>
    <w:rsid w:val="008517FD"/>
    <w:rsid w:val="008518B4"/>
    <w:rsid w:val="00851A99"/>
    <w:rsid w:val="00851B32"/>
    <w:rsid w:val="00851BBC"/>
    <w:rsid w:val="00851C82"/>
    <w:rsid w:val="00851E43"/>
    <w:rsid w:val="00851ED5"/>
    <w:rsid w:val="00851F94"/>
    <w:rsid w:val="00852084"/>
    <w:rsid w:val="008522D9"/>
    <w:rsid w:val="008523CD"/>
    <w:rsid w:val="00852C1A"/>
    <w:rsid w:val="00852CFB"/>
    <w:rsid w:val="0085391F"/>
    <w:rsid w:val="00853CF8"/>
    <w:rsid w:val="00853CFE"/>
    <w:rsid w:val="008544C4"/>
    <w:rsid w:val="00854A98"/>
    <w:rsid w:val="00854B35"/>
    <w:rsid w:val="00854E2C"/>
    <w:rsid w:val="00854F95"/>
    <w:rsid w:val="00854FF9"/>
    <w:rsid w:val="008555F1"/>
    <w:rsid w:val="008556D1"/>
    <w:rsid w:val="00855A50"/>
    <w:rsid w:val="00855DA4"/>
    <w:rsid w:val="00855E6A"/>
    <w:rsid w:val="008560F5"/>
    <w:rsid w:val="008563AC"/>
    <w:rsid w:val="008563C7"/>
    <w:rsid w:val="00856520"/>
    <w:rsid w:val="00856529"/>
    <w:rsid w:val="0085686A"/>
    <w:rsid w:val="0085697B"/>
    <w:rsid w:val="008572B1"/>
    <w:rsid w:val="00857617"/>
    <w:rsid w:val="0085763C"/>
    <w:rsid w:val="0085797A"/>
    <w:rsid w:val="00857B34"/>
    <w:rsid w:val="0086029D"/>
    <w:rsid w:val="008607DF"/>
    <w:rsid w:val="0086094A"/>
    <w:rsid w:val="00860B91"/>
    <w:rsid w:val="00860D27"/>
    <w:rsid w:val="00861057"/>
    <w:rsid w:val="00861319"/>
    <w:rsid w:val="008615E3"/>
    <w:rsid w:val="00861773"/>
    <w:rsid w:val="008617D6"/>
    <w:rsid w:val="00861800"/>
    <w:rsid w:val="0086219C"/>
    <w:rsid w:val="0086240F"/>
    <w:rsid w:val="00862517"/>
    <w:rsid w:val="00862536"/>
    <w:rsid w:val="00862D94"/>
    <w:rsid w:val="008631CB"/>
    <w:rsid w:val="00863568"/>
    <w:rsid w:val="00864470"/>
    <w:rsid w:val="00864583"/>
    <w:rsid w:val="008648DD"/>
    <w:rsid w:val="00864A50"/>
    <w:rsid w:val="00864C25"/>
    <w:rsid w:val="00864E13"/>
    <w:rsid w:val="00865373"/>
    <w:rsid w:val="008655BE"/>
    <w:rsid w:val="00865AC4"/>
    <w:rsid w:val="00865B33"/>
    <w:rsid w:val="008661B3"/>
    <w:rsid w:val="008666C1"/>
    <w:rsid w:val="008667C2"/>
    <w:rsid w:val="00866A80"/>
    <w:rsid w:val="00866B45"/>
    <w:rsid w:val="00866D30"/>
    <w:rsid w:val="00866DE2"/>
    <w:rsid w:val="00866E57"/>
    <w:rsid w:val="00866E7A"/>
    <w:rsid w:val="0086734B"/>
    <w:rsid w:val="0086787E"/>
    <w:rsid w:val="0086791B"/>
    <w:rsid w:val="00870228"/>
    <w:rsid w:val="00870595"/>
    <w:rsid w:val="008706D3"/>
    <w:rsid w:val="008707B3"/>
    <w:rsid w:val="00870A40"/>
    <w:rsid w:val="00870B0A"/>
    <w:rsid w:val="00870C5C"/>
    <w:rsid w:val="00870ED8"/>
    <w:rsid w:val="00870EEB"/>
    <w:rsid w:val="0087115E"/>
    <w:rsid w:val="00871565"/>
    <w:rsid w:val="008715B4"/>
    <w:rsid w:val="0087175B"/>
    <w:rsid w:val="008717AF"/>
    <w:rsid w:val="00872C05"/>
    <w:rsid w:val="00872E1A"/>
    <w:rsid w:val="00872FDE"/>
    <w:rsid w:val="00873010"/>
    <w:rsid w:val="0087347B"/>
    <w:rsid w:val="0087351C"/>
    <w:rsid w:val="0087391D"/>
    <w:rsid w:val="00873A3C"/>
    <w:rsid w:val="00873AF1"/>
    <w:rsid w:val="00873D58"/>
    <w:rsid w:val="00873D88"/>
    <w:rsid w:val="00873EC0"/>
    <w:rsid w:val="0087414A"/>
    <w:rsid w:val="00874204"/>
    <w:rsid w:val="008746E9"/>
    <w:rsid w:val="0087483E"/>
    <w:rsid w:val="00874CF1"/>
    <w:rsid w:val="00874D0C"/>
    <w:rsid w:val="00874F65"/>
    <w:rsid w:val="00874F81"/>
    <w:rsid w:val="00874FA8"/>
    <w:rsid w:val="0087551D"/>
    <w:rsid w:val="00875620"/>
    <w:rsid w:val="00875850"/>
    <w:rsid w:val="008764E4"/>
    <w:rsid w:val="00876516"/>
    <w:rsid w:val="00877247"/>
    <w:rsid w:val="00877971"/>
    <w:rsid w:val="00877BF4"/>
    <w:rsid w:val="00877C90"/>
    <w:rsid w:val="00880536"/>
    <w:rsid w:val="0088099E"/>
    <w:rsid w:val="00880C92"/>
    <w:rsid w:val="0088104C"/>
    <w:rsid w:val="0088136F"/>
    <w:rsid w:val="00881C18"/>
    <w:rsid w:val="00881F48"/>
    <w:rsid w:val="00881F7E"/>
    <w:rsid w:val="0088203C"/>
    <w:rsid w:val="0088237B"/>
    <w:rsid w:val="00882458"/>
    <w:rsid w:val="00882734"/>
    <w:rsid w:val="0088276F"/>
    <w:rsid w:val="00882A74"/>
    <w:rsid w:val="00882F54"/>
    <w:rsid w:val="00883CFE"/>
    <w:rsid w:val="00883E76"/>
    <w:rsid w:val="00883EAA"/>
    <w:rsid w:val="00883FC5"/>
    <w:rsid w:val="0088406D"/>
    <w:rsid w:val="0088421A"/>
    <w:rsid w:val="008842E5"/>
    <w:rsid w:val="008843EC"/>
    <w:rsid w:val="008844B1"/>
    <w:rsid w:val="00884642"/>
    <w:rsid w:val="0088490B"/>
    <w:rsid w:val="00884B44"/>
    <w:rsid w:val="00884C50"/>
    <w:rsid w:val="00884D33"/>
    <w:rsid w:val="00885009"/>
    <w:rsid w:val="008850AC"/>
    <w:rsid w:val="008850FD"/>
    <w:rsid w:val="00885B5D"/>
    <w:rsid w:val="00885CB4"/>
    <w:rsid w:val="00885E86"/>
    <w:rsid w:val="008860FE"/>
    <w:rsid w:val="00886445"/>
    <w:rsid w:val="00886A8F"/>
    <w:rsid w:val="00887073"/>
    <w:rsid w:val="0088709B"/>
    <w:rsid w:val="008872FD"/>
    <w:rsid w:val="0088749D"/>
    <w:rsid w:val="00887599"/>
    <w:rsid w:val="00887836"/>
    <w:rsid w:val="0088791F"/>
    <w:rsid w:val="00887C16"/>
    <w:rsid w:val="00887EB0"/>
    <w:rsid w:val="00887FB6"/>
    <w:rsid w:val="00890649"/>
    <w:rsid w:val="0089069C"/>
    <w:rsid w:val="008907C5"/>
    <w:rsid w:val="00890BCB"/>
    <w:rsid w:val="00890C2F"/>
    <w:rsid w:val="00890C82"/>
    <w:rsid w:val="008910FB"/>
    <w:rsid w:val="00891210"/>
    <w:rsid w:val="00891A9B"/>
    <w:rsid w:val="00891F39"/>
    <w:rsid w:val="00891F55"/>
    <w:rsid w:val="00892455"/>
    <w:rsid w:val="00892501"/>
    <w:rsid w:val="00892995"/>
    <w:rsid w:val="00892A69"/>
    <w:rsid w:val="008936A6"/>
    <w:rsid w:val="00893D02"/>
    <w:rsid w:val="00893D2B"/>
    <w:rsid w:val="00893DC1"/>
    <w:rsid w:val="008948DA"/>
    <w:rsid w:val="0089491D"/>
    <w:rsid w:val="00894C8B"/>
    <w:rsid w:val="00895347"/>
    <w:rsid w:val="00895720"/>
    <w:rsid w:val="00896229"/>
    <w:rsid w:val="00896ACC"/>
    <w:rsid w:val="00896C3C"/>
    <w:rsid w:val="00896D21"/>
    <w:rsid w:val="008976EC"/>
    <w:rsid w:val="00897A3B"/>
    <w:rsid w:val="008A01BF"/>
    <w:rsid w:val="008A0292"/>
    <w:rsid w:val="008A056D"/>
    <w:rsid w:val="008A06D1"/>
    <w:rsid w:val="008A09DE"/>
    <w:rsid w:val="008A0F97"/>
    <w:rsid w:val="008A17ED"/>
    <w:rsid w:val="008A1882"/>
    <w:rsid w:val="008A1FCD"/>
    <w:rsid w:val="008A1FD8"/>
    <w:rsid w:val="008A204F"/>
    <w:rsid w:val="008A2291"/>
    <w:rsid w:val="008A2A5F"/>
    <w:rsid w:val="008A2BE8"/>
    <w:rsid w:val="008A2E78"/>
    <w:rsid w:val="008A3096"/>
    <w:rsid w:val="008A346E"/>
    <w:rsid w:val="008A3517"/>
    <w:rsid w:val="008A3540"/>
    <w:rsid w:val="008A38A1"/>
    <w:rsid w:val="008A3928"/>
    <w:rsid w:val="008A404B"/>
    <w:rsid w:val="008A412D"/>
    <w:rsid w:val="008A4137"/>
    <w:rsid w:val="008A42D0"/>
    <w:rsid w:val="008A4346"/>
    <w:rsid w:val="008A4689"/>
    <w:rsid w:val="008A46ED"/>
    <w:rsid w:val="008A4856"/>
    <w:rsid w:val="008A4D6F"/>
    <w:rsid w:val="008A51B5"/>
    <w:rsid w:val="008A520B"/>
    <w:rsid w:val="008A5248"/>
    <w:rsid w:val="008A5A36"/>
    <w:rsid w:val="008A5B9C"/>
    <w:rsid w:val="008A5FE2"/>
    <w:rsid w:val="008A632B"/>
    <w:rsid w:val="008A6365"/>
    <w:rsid w:val="008A6593"/>
    <w:rsid w:val="008A6B32"/>
    <w:rsid w:val="008A6E7D"/>
    <w:rsid w:val="008A7077"/>
    <w:rsid w:val="008A70C9"/>
    <w:rsid w:val="008A7615"/>
    <w:rsid w:val="008A7CF9"/>
    <w:rsid w:val="008B0076"/>
    <w:rsid w:val="008B008D"/>
    <w:rsid w:val="008B0332"/>
    <w:rsid w:val="008B0641"/>
    <w:rsid w:val="008B08B9"/>
    <w:rsid w:val="008B08C6"/>
    <w:rsid w:val="008B08ED"/>
    <w:rsid w:val="008B0F66"/>
    <w:rsid w:val="008B103B"/>
    <w:rsid w:val="008B1428"/>
    <w:rsid w:val="008B1532"/>
    <w:rsid w:val="008B1720"/>
    <w:rsid w:val="008B288B"/>
    <w:rsid w:val="008B2DB0"/>
    <w:rsid w:val="008B3641"/>
    <w:rsid w:val="008B3657"/>
    <w:rsid w:val="008B3F30"/>
    <w:rsid w:val="008B425E"/>
    <w:rsid w:val="008B43C4"/>
    <w:rsid w:val="008B453E"/>
    <w:rsid w:val="008B48BD"/>
    <w:rsid w:val="008B4BAE"/>
    <w:rsid w:val="008B4C73"/>
    <w:rsid w:val="008B4DBD"/>
    <w:rsid w:val="008B4F46"/>
    <w:rsid w:val="008B5CA3"/>
    <w:rsid w:val="008B65AC"/>
    <w:rsid w:val="008B66AE"/>
    <w:rsid w:val="008B6767"/>
    <w:rsid w:val="008B69FF"/>
    <w:rsid w:val="008B6BD7"/>
    <w:rsid w:val="008B6E90"/>
    <w:rsid w:val="008B6FA5"/>
    <w:rsid w:val="008B71C0"/>
    <w:rsid w:val="008B789A"/>
    <w:rsid w:val="008B7AC1"/>
    <w:rsid w:val="008B7B5C"/>
    <w:rsid w:val="008B7CC8"/>
    <w:rsid w:val="008B7FF8"/>
    <w:rsid w:val="008C06CA"/>
    <w:rsid w:val="008C113E"/>
    <w:rsid w:val="008C1227"/>
    <w:rsid w:val="008C1A0E"/>
    <w:rsid w:val="008C1A55"/>
    <w:rsid w:val="008C1DE7"/>
    <w:rsid w:val="008C2001"/>
    <w:rsid w:val="008C2002"/>
    <w:rsid w:val="008C2015"/>
    <w:rsid w:val="008C201A"/>
    <w:rsid w:val="008C2836"/>
    <w:rsid w:val="008C28B9"/>
    <w:rsid w:val="008C2BC4"/>
    <w:rsid w:val="008C3271"/>
    <w:rsid w:val="008C32F5"/>
    <w:rsid w:val="008C37C3"/>
    <w:rsid w:val="008C3A1A"/>
    <w:rsid w:val="008C3BD3"/>
    <w:rsid w:val="008C3BFC"/>
    <w:rsid w:val="008C476D"/>
    <w:rsid w:val="008C5454"/>
    <w:rsid w:val="008C54B7"/>
    <w:rsid w:val="008C5534"/>
    <w:rsid w:val="008C5988"/>
    <w:rsid w:val="008C5E44"/>
    <w:rsid w:val="008C6028"/>
    <w:rsid w:val="008C61DB"/>
    <w:rsid w:val="008C63F1"/>
    <w:rsid w:val="008C6AD7"/>
    <w:rsid w:val="008C6B8C"/>
    <w:rsid w:val="008C6D59"/>
    <w:rsid w:val="008C6E08"/>
    <w:rsid w:val="008C749E"/>
    <w:rsid w:val="008C74D8"/>
    <w:rsid w:val="008C74EB"/>
    <w:rsid w:val="008C754F"/>
    <w:rsid w:val="008C75D6"/>
    <w:rsid w:val="008C793F"/>
    <w:rsid w:val="008C7C3B"/>
    <w:rsid w:val="008D00CD"/>
    <w:rsid w:val="008D00D8"/>
    <w:rsid w:val="008D0200"/>
    <w:rsid w:val="008D0D7A"/>
    <w:rsid w:val="008D0E55"/>
    <w:rsid w:val="008D1003"/>
    <w:rsid w:val="008D121A"/>
    <w:rsid w:val="008D1247"/>
    <w:rsid w:val="008D1459"/>
    <w:rsid w:val="008D191F"/>
    <w:rsid w:val="008D1EFC"/>
    <w:rsid w:val="008D1F1B"/>
    <w:rsid w:val="008D1F43"/>
    <w:rsid w:val="008D22F9"/>
    <w:rsid w:val="008D2432"/>
    <w:rsid w:val="008D295B"/>
    <w:rsid w:val="008D29CD"/>
    <w:rsid w:val="008D2B7C"/>
    <w:rsid w:val="008D2D9F"/>
    <w:rsid w:val="008D355B"/>
    <w:rsid w:val="008D38C7"/>
    <w:rsid w:val="008D398E"/>
    <w:rsid w:val="008D3BC1"/>
    <w:rsid w:val="008D43A3"/>
    <w:rsid w:val="008D44C6"/>
    <w:rsid w:val="008D453C"/>
    <w:rsid w:val="008D4C99"/>
    <w:rsid w:val="008D4F3C"/>
    <w:rsid w:val="008D5614"/>
    <w:rsid w:val="008D5684"/>
    <w:rsid w:val="008D5841"/>
    <w:rsid w:val="008D5B17"/>
    <w:rsid w:val="008D6172"/>
    <w:rsid w:val="008D61C2"/>
    <w:rsid w:val="008D6540"/>
    <w:rsid w:val="008D66F9"/>
    <w:rsid w:val="008D6B60"/>
    <w:rsid w:val="008D6EE8"/>
    <w:rsid w:val="008D7825"/>
    <w:rsid w:val="008D7C48"/>
    <w:rsid w:val="008D7C88"/>
    <w:rsid w:val="008D7D89"/>
    <w:rsid w:val="008E0411"/>
    <w:rsid w:val="008E04C1"/>
    <w:rsid w:val="008E04E7"/>
    <w:rsid w:val="008E059F"/>
    <w:rsid w:val="008E07C1"/>
    <w:rsid w:val="008E0DC2"/>
    <w:rsid w:val="008E0E46"/>
    <w:rsid w:val="008E10C2"/>
    <w:rsid w:val="008E1409"/>
    <w:rsid w:val="008E1C0C"/>
    <w:rsid w:val="008E1D98"/>
    <w:rsid w:val="008E23BC"/>
    <w:rsid w:val="008E2523"/>
    <w:rsid w:val="008E25D9"/>
    <w:rsid w:val="008E2F01"/>
    <w:rsid w:val="008E32E7"/>
    <w:rsid w:val="008E3472"/>
    <w:rsid w:val="008E36B8"/>
    <w:rsid w:val="008E3B39"/>
    <w:rsid w:val="008E4648"/>
    <w:rsid w:val="008E4D5F"/>
    <w:rsid w:val="008E5156"/>
    <w:rsid w:val="008E532B"/>
    <w:rsid w:val="008E562D"/>
    <w:rsid w:val="008E569F"/>
    <w:rsid w:val="008E5ADC"/>
    <w:rsid w:val="008E5B2E"/>
    <w:rsid w:val="008E5CE6"/>
    <w:rsid w:val="008E5DBD"/>
    <w:rsid w:val="008E5F8C"/>
    <w:rsid w:val="008E6017"/>
    <w:rsid w:val="008E6360"/>
    <w:rsid w:val="008E6660"/>
    <w:rsid w:val="008E6735"/>
    <w:rsid w:val="008E6781"/>
    <w:rsid w:val="008E686B"/>
    <w:rsid w:val="008E6CE8"/>
    <w:rsid w:val="008E6F22"/>
    <w:rsid w:val="008E712D"/>
    <w:rsid w:val="008E7EFF"/>
    <w:rsid w:val="008E7F1C"/>
    <w:rsid w:val="008F02D3"/>
    <w:rsid w:val="008F035E"/>
    <w:rsid w:val="008F06DD"/>
    <w:rsid w:val="008F0928"/>
    <w:rsid w:val="008F0B1C"/>
    <w:rsid w:val="008F0FFB"/>
    <w:rsid w:val="008F1151"/>
    <w:rsid w:val="008F12C0"/>
    <w:rsid w:val="008F1463"/>
    <w:rsid w:val="008F1739"/>
    <w:rsid w:val="008F196B"/>
    <w:rsid w:val="008F1A74"/>
    <w:rsid w:val="008F1E56"/>
    <w:rsid w:val="008F1F4C"/>
    <w:rsid w:val="008F1F95"/>
    <w:rsid w:val="008F2246"/>
    <w:rsid w:val="008F233E"/>
    <w:rsid w:val="008F255E"/>
    <w:rsid w:val="008F2635"/>
    <w:rsid w:val="008F2A45"/>
    <w:rsid w:val="008F2AB2"/>
    <w:rsid w:val="008F3063"/>
    <w:rsid w:val="008F3241"/>
    <w:rsid w:val="008F36BB"/>
    <w:rsid w:val="008F3D22"/>
    <w:rsid w:val="008F42F9"/>
    <w:rsid w:val="008F4E00"/>
    <w:rsid w:val="008F4E6E"/>
    <w:rsid w:val="008F4FC4"/>
    <w:rsid w:val="008F54A4"/>
    <w:rsid w:val="008F554C"/>
    <w:rsid w:val="008F5B7F"/>
    <w:rsid w:val="008F5C1A"/>
    <w:rsid w:val="008F5D10"/>
    <w:rsid w:val="008F6135"/>
    <w:rsid w:val="008F63CD"/>
    <w:rsid w:val="008F643E"/>
    <w:rsid w:val="008F64B5"/>
    <w:rsid w:val="008F6672"/>
    <w:rsid w:val="008F66D3"/>
    <w:rsid w:val="008F6ABA"/>
    <w:rsid w:val="008F6DE7"/>
    <w:rsid w:val="008F70EB"/>
    <w:rsid w:val="008F70FB"/>
    <w:rsid w:val="00900A89"/>
    <w:rsid w:val="00900B10"/>
    <w:rsid w:val="00900BC6"/>
    <w:rsid w:val="00900DC9"/>
    <w:rsid w:val="00900F5E"/>
    <w:rsid w:val="0090142F"/>
    <w:rsid w:val="00901654"/>
    <w:rsid w:val="00901736"/>
    <w:rsid w:val="00901990"/>
    <w:rsid w:val="00901FD4"/>
    <w:rsid w:val="009020BA"/>
    <w:rsid w:val="00902421"/>
    <w:rsid w:val="0090262A"/>
    <w:rsid w:val="0090277B"/>
    <w:rsid w:val="00903401"/>
    <w:rsid w:val="00903785"/>
    <w:rsid w:val="009037D2"/>
    <w:rsid w:val="00903C22"/>
    <w:rsid w:val="0090401D"/>
    <w:rsid w:val="0090412D"/>
    <w:rsid w:val="009042B6"/>
    <w:rsid w:val="009044B9"/>
    <w:rsid w:val="009044E5"/>
    <w:rsid w:val="009049F4"/>
    <w:rsid w:val="0090522E"/>
    <w:rsid w:val="009052A6"/>
    <w:rsid w:val="009054FF"/>
    <w:rsid w:val="009055D5"/>
    <w:rsid w:val="00905F74"/>
    <w:rsid w:val="00906343"/>
    <w:rsid w:val="00906394"/>
    <w:rsid w:val="009063E3"/>
    <w:rsid w:val="009065AE"/>
    <w:rsid w:val="009068A8"/>
    <w:rsid w:val="009069E5"/>
    <w:rsid w:val="00906A92"/>
    <w:rsid w:val="00906D47"/>
    <w:rsid w:val="00906EB6"/>
    <w:rsid w:val="00906FE0"/>
    <w:rsid w:val="009071FC"/>
    <w:rsid w:val="00907233"/>
    <w:rsid w:val="009076B2"/>
    <w:rsid w:val="00907D48"/>
    <w:rsid w:val="00907E8A"/>
    <w:rsid w:val="00907F2F"/>
    <w:rsid w:val="00907F90"/>
    <w:rsid w:val="00910097"/>
    <w:rsid w:val="00910858"/>
    <w:rsid w:val="00910933"/>
    <w:rsid w:val="00910E9D"/>
    <w:rsid w:val="00911106"/>
    <w:rsid w:val="00911252"/>
    <w:rsid w:val="0091241F"/>
    <w:rsid w:val="00912686"/>
    <w:rsid w:val="00912688"/>
    <w:rsid w:val="009126E8"/>
    <w:rsid w:val="00913994"/>
    <w:rsid w:val="00913B57"/>
    <w:rsid w:val="0091408E"/>
    <w:rsid w:val="00914164"/>
    <w:rsid w:val="00914266"/>
    <w:rsid w:val="009144F1"/>
    <w:rsid w:val="0091495B"/>
    <w:rsid w:val="009150B2"/>
    <w:rsid w:val="0091602D"/>
    <w:rsid w:val="00916968"/>
    <w:rsid w:val="00917639"/>
    <w:rsid w:val="009176AD"/>
    <w:rsid w:val="00920180"/>
    <w:rsid w:val="00920BC2"/>
    <w:rsid w:val="00920D47"/>
    <w:rsid w:val="00920F4B"/>
    <w:rsid w:val="00920FA4"/>
    <w:rsid w:val="009210EE"/>
    <w:rsid w:val="0092141B"/>
    <w:rsid w:val="00921512"/>
    <w:rsid w:val="00921740"/>
    <w:rsid w:val="00921953"/>
    <w:rsid w:val="009219A6"/>
    <w:rsid w:val="00922710"/>
    <w:rsid w:val="00923315"/>
    <w:rsid w:val="009233CB"/>
    <w:rsid w:val="00923663"/>
    <w:rsid w:val="00923A78"/>
    <w:rsid w:val="00923B5E"/>
    <w:rsid w:val="00924A6F"/>
    <w:rsid w:val="00924AB1"/>
    <w:rsid w:val="00924B7D"/>
    <w:rsid w:val="00924CA9"/>
    <w:rsid w:val="00924E35"/>
    <w:rsid w:val="0092556F"/>
    <w:rsid w:val="009255A5"/>
    <w:rsid w:val="009258AA"/>
    <w:rsid w:val="00925980"/>
    <w:rsid w:val="00925A03"/>
    <w:rsid w:val="00925C42"/>
    <w:rsid w:val="00925E58"/>
    <w:rsid w:val="00925ED5"/>
    <w:rsid w:val="00925F07"/>
    <w:rsid w:val="00925F8E"/>
    <w:rsid w:val="00926042"/>
    <w:rsid w:val="00927495"/>
    <w:rsid w:val="00927589"/>
    <w:rsid w:val="00927A35"/>
    <w:rsid w:val="00927A40"/>
    <w:rsid w:val="00927C00"/>
    <w:rsid w:val="00927E4E"/>
    <w:rsid w:val="0093012B"/>
    <w:rsid w:val="00930399"/>
    <w:rsid w:val="00930777"/>
    <w:rsid w:val="0093205E"/>
    <w:rsid w:val="00932167"/>
    <w:rsid w:val="00932AAE"/>
    <w:rsid w:val="00932AF8"/>
    <w:rsid w:val="00932B71"/>
    <w:rsid w:val="00932DB5"/>
    <w:rsid w:val="00932E37"/>
    <w:rsid w:val="00933032"/>
    <w:rsid w:val="00933119"/>
    <w:rsid w:val="0093352A"/>
    <w:rsid w:val="009337BB"/>
    <w:rsid w:val="00933BD8"/>
    <w:rsid w:val="009340BB"/>
    <w:rsid w:val="00934280"/>
    <w:rsid w:val="00934B09"/>
    <w:rsid w:val="00934F25"/>
    <w:rsid w:val="00934F73"/>
    <w:rsid w:val="009350E2"/>
    <w:rsid w:val="00935774"/>
    <w:rsid w:val="00935C6A"/>
    <w:rsid w:val="009360EE"/>
    <w:rsid w:val="00936111"/>
    <w:rsid w:val="009364F7"/>
    <w:rsid w:val="009364FC"/>
    <w:rsid w:val="00936A8E"/>
    <w:rsid w:val="0093715C"/>
    <w:rsid w:val="009379CC"/>
    <w:rsid w:val="00937B3F"/>
    <w:rsid w:val="00937B73"/>
    <w:rsid w:val="00940384"/>
    <w:rsid w:val="00940BF9"/>
    <w:rsid w:val="00940DAC"/>
    <w:rsid w:val="0094170D"/>
    <w:rsid w:val="00941C0B"/>
    <w:rsid w:val="00941D20"/>
    <w:rsid w:val="00941D8A"/>
    <w:rsid w:val="00941E0E"/>
    <w:rsid w:val="00941EE0"/>
    <w:rsid w:val="00941F12"/>
    <w:rsid w:val="0094230E"/>
    <w:rsid w:val="00942872"/>
    <w:rsid w:val="00942AE2"/>
    <w:rsid w:val="009435E2"/>
    <w:rsid w:val="00944186"/>
    <w:rsid w:val="0094426A"/>
    <w:rsid w:val="009449B6"/>
    <w:rsid w:val="00945315"/>
    <w:rsid w:val="00945499"/>
    <w:rsid w:val="00945BEB"/>
    <w:rsid w:val="0094641C"/>
    <w:rsid w:val="00946A26"/>
    <w:rsid w:val="00946AF9"/>
    <w:rsid w:val="00946E50"/>
    <w:rsid w:val="00947000"/>
    <w:rsid w:val="009470AE"/>
    <w:rsid w:val="009470C6"/>
    <w:rsid w:val="009477E1"/>
    <w:rsid w:val="00947AB7"/>
    <w:rsid w:val="00947C90"/>
    <w:rsid w:val="00947D00"/>
    <w:rsid w:val="00950491"/>
    <w:rsid w:val="009504F8"/>
    <w:rsid w:val="0095067E"/>
    <w:rsid w:val="00950724"/>
    <w:rsid w:val="009507CB"/>
    <w:rsid w:val="00950824"/>
    <w:rsid w:val="00950E90"/>
    <w:rsid w:val="00951065"/>
    <w:rsid w:val="00951826"/>
    <w:rsid w:val="0095198D"/>
    <w:rsid w:val="00951DF5"/>
    <w:rsid w:val="00952398"/>
    <w:rsid w:val="00953258"/>
    <w:rsid w:val="009532F0"/>
    <w:rsid w:val="0095359C"/>
    <w:rsid w:val="009535F8"/>
    <w:rsid w:val="00954262"/>
    <w:rsid w:val="009542A8"/>
    <w:rsid w:val="0095451C"/>
    <w:rsid w:val="00954538"/>
    <w:rsid w:val="00954C8E"/>
    <w:rsid w:val="00954CE9"/>
    <w:rsid w:val="00954F90"/>
    <w:rsid w:val="0095511E"/>
    <w:rsid w:val="009556E2"/>
    <w:rsid w:val="00955947"/>
    <w:rsid w:val="0095594A"/>
    <w:rsid w:val="00956414"/>
    <w:rsid w:val="00956505"/>
    <w:rsid w:val="00956BE1"/>
    <w:rsid w:val="009571FC"/>
    <w:rsid w:val="00957367"/>
    <w:rsid w:val="00957A7D"/>
    <w:rsid w:val="00957B29"/>
    <w:rsid w:val="00957E0B"/>
    <w:rsid w:val="00960122"/>
    <w:rsid w:val="009607EA"/>
    <w:rsid w:val="00960BF3"/>
    <w:rsid w:val="00960C1D"/>
    <w:rsid w:val="00960DC5"/>
    <w:rsid w:val="009614F8"/>
    <w:rsid w:val="009616FB"/>
    <w:rsid w:val="0096206F"/>
    <w:rsid w:val="009622B6"/>
    <w:rsid w:val="00962832"/>
    <w:rsid w:val="00962A04"/>
    <w:rsid w:val="009630D7"/>
    <w:rsid w:val="00963257"/>
    <w:rsid w:val="0096359E"/>
    <w:rsid w:val="00963CC7"/>
    <w:rsid w:val="00964941"/>
    <w:rsid w:val="00964E5E"/>
    <w:rsid w:val="0096571D"/>
    <w:rsid w:val="00965926"/>
    <w:rsid w:val="00965BD6"/>
    <w:rsid w:val="00965F51"/>
    <w:rsid w:val="0096606B"/>
    <w:rsid w:val="00966C1D"/>
    <w:rsid w:val="009672C9"/>
    <w:rsid w:val="00967492"/>
    <w:rsid w:val="00967977"/>
    <w:rsid w:val="009702C7"/>
    <w:rsid w:val="009708C3"/>
    <w:rsid w:val="00970A64"/>
    <w:rsid w:val="00971042"/>
    <w:rsid w:val="0097158D"/>
    <w:rsid w:val="0097189B"/>
    <w:rsid w:val="00971A6D"/>
    <w:rsid w:val="00971B59"/>
    <w:rsid w:val="00971DDC"/>
    <w:rsid w:val="0097201F"/>
    <w:rsid w:val="0097208F"/>
    <w:rsid w:val="009727B3"/>
    <w:rsid w:val="00972C8D"/>
    <w:rsid w:val="00972DF7"/>
    <w:rsid w:val="009733BB"/>
    <w:rsid w:val="009734E7"/>
    <w:rsid w:val="00973732"/>
    <w:rsid w:val="00973BC8"/>
    <w:rsid w:val="00973CED"/>
    <w:rsid w:val="009740AF"/>
    <w:rsid w:val="009745A6"/>
    <w:rsid w:val="0097484D"/>
    <w:rsid w:val="0097486D"/>
    <w:rsid w:val="00974D59"/>
    <w:rsid w:val="00974D76"/>
    <w:rsid w:val="00974FC8"/>
    <w:rsid w:val="0097517B"/>
    <w:rsid w:val="00975335"/>
    <w:rsid w:val="00975577"/>
    <w:rsid w:val="00975FA5"/>
    <w:rsid w:val="0097702F"/>
    <w:rsid w:val="0097741B"/>
    <w:rsid w:val="00977465"/>
    <w:rsid w:val="0097777D"/>
    <w:rsid w:val="009777EC"/>
    <w:rsid w:val="00977826"/>
    <w:rsid w:val="00977829"/>
    <w:rsid w:val="0097795C"/>
    <w:rsid w:val="00980024"/>
    <w:rsid w:val="00980040"/>
    <w:rsid w:val="00980080"/>
    <w:rsid w:val="00980355"/>
    <w:rsid w:val="0098039C"/>
    <w:rsid w:val="00980581"/>
    <w:rsid w:val="00980E78"/>
    <w:rsid w:val="00980EF7"/>
    <w:rsid w:val="00980F7D"/>
    <w:rsid w:val="00981109"/>
    <w:rsid w:val="009811F7"/>
    <w:rsid w:val="00981917"/>
    <w:rsid w:val="009819FC"/>
    <w:rsid w:val="00982175"/>
    <w:rsid w:val="0098224E"/>
    <w:rsid w:val="0098257A"/>
    <w:rsid w:val="009829B2"/>
    <w:rsid w:val="00982C7E"/>
    <w:rsid w:val="00982F40"/>
    <w:rsid w:val="009830B7"/>
    <w:rsid w:val="009832ED"/>
    <w:rsid w:val="00983696"/>
    <w:rsid w:val="009836AC"/>
    <w:rsid w:val="00983A7A"/>
    <w:rsid w:val="009846CA"/>
    <w:rsid w:val="00984E80"/>
    <w:rsid w:val="00984F36"/>
    <w:rsid w:val="00985928"/>
    <w:rsid w:val="00985B56"/>
    <w:rsid w:val="00985C28"/>
    <w:rsid w:val="00985DE3"/>
    <w:rsid w:val="00986169"/>
    <w:rsid w:val="009861BC"/>
    <w:rsid w:val="00986750"/>
    <w:rsid w:val="00986A78"/>
    <w:rsid w:val="00987405"/>
    <w:rsid w:val="00987434"/>
    <w:rsid w:val="00987448"/>
    <w:rsid w:val="009878FF"/>
    <w:rsid w:val="00987ABF"/>
    <w:rsid w:val="00987DC5"/>
    <w:rsid w:val="00987E63"/>
    <w:rsid w:val="009901E1"/>
    <w:rsid w:val="009902D4"/>
    <w:rsid w:val="00990598"/>
    <w:rsid w:val="009906F7"/>
    <w:rsid w:val="00990996"/>
    <w:rsid w:val="00990B6C"/>
    <w:rsid w:val="00990E22"/>
    <w:rsid w:val="0099139E"/>
    <w:rsid w:val="009914FE"/>
    <w:rsid w:val="0099193C"/>
    <w:rsid w:val="009919C5"/>
    <w:rsid w:val="0099204A"/>
    <w:rsid w:val="009922DD"/>
    <w:rsid w:val="00992689"/>
    <w:rsid w:val="00992FB8"/>
    <w:rsid w:val="00993013"/>
    <w:rsid w:val="00993416"/>
    <w:rsid w:val="0099352D"/>
    <w:rsid w:val="00993877"/>
    <w:rsid w:val="00993AB2"/>
    <w:rsid w:val="00993ABE"/>
    <w:rsid w:val="00993C83"/>
    <w:rsid w:val="00993E79"/>
    <w:rsid w:val="00993FB4"/>
    <w:rsid w:val="0099468F"/>
    <w:rsid w:val="0099489A"/>
    <w:rsid w:val="00994A38"/>
    <w:rsid w:val="00994EE8"/>
    <w:rsid w:val="00995185"/>
    <w:rsid w:val="00995465"/>
    <w:rsid w:val="00995799"/>
    <w:rsid w:val="00995FC4"/>
    <w:rsid w:val="0099619D"/>
    <w:rsid w:val="009962B1"/>
    <w:rsid w:val="0099636A"/>
    <w:rsid w:val="00996646"/>
    <w:rsid w:val="0099664E"/>
    <w:rsid w:val="00996974"/>
    <w:rsid w:val="00996E48"/>
    <w:rsid w:val="00996F38"/>
    <w:rsid w:val="00997350"/>
    <w:rsid w:val="0099737E"/>
    <w:rsid w:val="0099752D"/>
    <w:rsid w:val="00997762"/>
    <w:rsid w:val="00997905"/>
    <w:rsid w:val="00997D35"/>
    <w:rsid w:val="009A02F2"/>
    <w:rsid w:val="009A03B9"/>
    <w:rsid w:val="009A06BA"/>
    <w:rsid w:val="009A09EE"/>
    <w:rsid w:val="009A0A99"/>
    <w:rsid w:val="009A0ACA"/>
    <w:rsid w:val="009A0C39"/>
    <w:rsid w:val="009A0F08"/>
    <w:rsid w:val="009A1903"/>
    <w:rsid w:val="009A1989"/>
    <w:rsid w:val="009A1B28"/>
    <w:rsid w:val="009A1E9E"/>
    <w:rsid w:val="009A22A2"/>
    <w:rsid w:val="009A2795"/>
    <w:rsid w:val="009A2997"/>
    <w:rsid w:val="009A3213"/>
    <w:rsid w:val="009A325B"/>
    <w:rsid w:val="009A35C9"/>
    <w:rsid w:val="009A3B92"/>
    <w:rsid w:val="009A40EC"/>
    <w:rsid w:val="009A4503"/>
    <w:rsid w:val="009A464F"/>
    <w:rsid w:val="009A4AC9"/>
    <w:rsid w:val="009A4C68"/>
    <w:rsid w:val="009A4C9C"/>
    <w:rsid w:val="009A509F"/>
    <w:rsid w:val="009A5128"/>
    <w:rsid w:val="009A55A1"/>
    <w:rsid w:val="009A59C7"/>
    <w:rsid w:val="009A5AD9"/>
    <w:rsid w:val="009A5C76"/>
    <w:rsid w:val="009A60A7"/>
    <w:rsid w:val="009A63B7"/>
    <w:rsid w:val="009A64AA"/>
    <w:rsid w:val="009A6D0E"/>
    <w:rsid w:val="009A7213"/>
    <w:rsid w:val="009A77B0"/>
    <w:rsid w:val="009A78CB"/>
    <w:rsid w:val="009A79F3"/>
    <w:rsid w:val="009A7C68"/>
    <w:rsid w:val="009A7D83"/>
    <w:rsid w:val="009B0665"/>
    <w:rsid w:val="009B070C"/>
    <w:rsid w:val="009B090F"/>
    <w:rsid w:val="009B1244"/>
    <w:rsid w:val="009B13AA"/>
    <w:rsid w:val="009B1630"/>
    <w:rsid w:val="009B19D8"/>
    <w:rsid w:val="009B1B72"/>
    <w:rsid w:val="009B21F3"/>
    <w:rsid w:val="009B22B0"/>
    <w:rsid w:val="009B2402"/>
    <w:rsid w:val="009B277B"/>
    <w:rsid w:val="009B2C41"/>
    <w:rsid w:val="009B2F0E"/>
    <w:rsid w:val="009B35F4"/>
    <w:rsid w:val="009B38DE"/>
    <w:rsid w:val="009B3A81"/>
    <w:rsid w:val="009B3B8C"/>
    <w:rsid w:val="009B3C6D"/>
    <w:rsid w:val="009B4185"/>
    <w:rsid w:val="009B4374"/>
    <w:rsid w:val="009B4897"/>
    <w:rsid w:val="009B4AA4"/>
    <w:rsid w:val="009B4CE5"/>
    <w:rsid w:val="009B4F5B"/>
    <w:rsid w:val="009B51C1"/>
    <w:rsid w:val="009B527B"/>
    <w:rsid w:val="009B55D2"/>
    <w:rsid w:val="009B5955"/>
    <w:rsid w:val="009B59EC"/>
    <w:rsid w:val="009B5A45"/>
    <w:rsid w:val="009B61DD"/>
    <w:rsid w:val="009B643F"/>
    <w:rsid w:val="009B651C"/>
    <w:rsid w:val="009B6741"/>
    <w:rsid w:val="009B696B"/>
    <w:rsid w:val="009B69FE"/>
    <w:rsid w:val="009B7559"/>
    <w:rsid w:val="009B762E"/>
    <w:rsid w:val="009B7BF9"/>
    <w:rsid w:val="009B7FD1"/>
    <w:rsid w:val="009C0477"/>
    <w:rsid w:val="009C080F"/>
    <w:rsid w:val="009C0941"/>
    <w:rsid w:val="009C0ACB"/>
    <w:rsid w:val="009C120F"/>
    <w:rsid w:val="009C1E19"/>
    <w:rsid w:val="009C2787"/>
    <w:rsid w:val="009C2795"/>
    <w:rsid w:val="009C2C24"/>
    <w:rsid w:val="009C2E4A"/>
    <w:rsid w:val="009C2F37"/>
    <w:rsid w:val="009C37C1"/>
    <w:rsid w:val="009C381B"/>
    <w:rsid w:val="009C3862"/>
    <w:rsid w:val="009C3C29"/>
    <w:rsid w:val="009C401C"/>
    <w:rsid w:val="009C40E4"/>
    <w:rsid w:val="009C424F"/>
    <w:rsid w:val="009C43CD"/>
    <w:rsid w:val="009C4947"/>
    <w:rsid w:val="009C4C54"/>
    <w:rsid w:val="009C4DD4"/>
    <w:rsid w:val="009C4E4F"/>
    <w:rsid w:val="009C5386"/>
    <w:rsid w:val="009C555B"/>
    <w:rsid w:val="009C5574"/>
    <w:rsid w:val="009C599F"/>
    <w:rsid w:val="009C5A17"/>
    <w:rsid w:val="009C5E6F"/>
    <w:rsid w:val="009C5FD6"/>
    <w:rsid w:val="009C6017"/>
    <w:rsid w:val="009C6038"/>
    <w:rsid w:val="009C61AF"/>
    <w:rsid w:val="009C62DB"/>
    <w:rsid w:val="009C69B0"/>
    <w:rsid w:val="009C6B9C"/>
    <w:rsid w:val="009C6C66"/>
    <w:rsid w:val="009C6D7F"/>
    <w:rsid w:val="009C6E7E"/>
    <w:rsid w:val="009C73F7"/>
    <w:rsid w:val="009C7902"/>
    <w:rsid w:val="009C7BC2"/>
    <w:rsid w:val="009C7FFB"/>
    <w:rsid w:val="009D01AE"/>
    <w:rsid w:val="009D022E"/>
    <w:rsid w:val="009D0356"/>
    <w:rsid w:val="009D068A"/>
    <w:rsid w:val="009D07D8"/>
    <w:rsid w:val="009D0BBD"/>
    <w:rsid w:val="009D0C34"/>
    <w:rsid w:val="009D0C4C"/>
    <w:rsid w:val="009D0E3B"/>
    <w:rsid w:val="009D0F2F"/>
    <w:rsid w:val="009D0F58"/>
    <w:rsid w:val="009D1895"/>
    <w:rsid w:val="009D19E8"/>
    <w:rsid w:val="009D1B6F"/>
    <w:rsid w:val="009D20F0"/>
    <w:rsid w:val="009D2293"/>
    <w:rsid w:val="009D24F8"/>
    <w:rsid w:val="009D2D04"/>
    <w:rsid w:val="009D2F8A"/>
    <w:rsid w:val="009D3052"/>
    <w:rsid w:val="009D34E3"/>
    <w:rsid w:val="009D38E2"/>
    <w:rsid w:val="009D39B2"/>
    <w:rsid w:val="009D3C9E"/>
    <w:rsid w:val="009D3CC5"/>
    <w:rsid w:val="009D3DC8"/>
    <w:rsid w:val="009D3E44"/>
    <w:rsid w:val="009D4418"/>
    <w:rsid w:val="009D46B0"/>
    <w:rsid w:val="009D46C3"/>
    <w:rsid w:val="009D479D"/>
    <w:rsid w:val="009D4C9E"/>
    <w:rsid w:val="009D4CB9"/>
    <w:rsid w:val="009D5282"/>
    <w:rsid w:val="009D5366"/>
    <w:rsid w:val="009D53AC"/>
    <w:rsid w:val="009D55CA"/>
    <w:rsid w:val="009D59C3"/>
    <w:rsid w:val="009D5EC2"/>
    <w:rsid w:val="009D625A"/>
    <w:rsid w:val="009D6432"/>
    <w:rsid w:val="009D6AC9"/>
    <w:rsid w:val="009D6D31"/>
    <w:rsid w:val="009D6E0A"/>
    <w:rsid w:val="009D763F"/>
    <w:rsid w:val="009D7AAD"/>
    <w:rsid w:val="009D7CA8"/>
    <w:rsid w:val="009E0558"/>
    <w:rsid w:val="009E0695"/>
    <w:rsid w:val="009E0E51"/>
    <w:rsid w:val="009E109D"/>
    <w:rsid w:val="009E1946"/>
    <w:rsid w:val="009E1A51"/>
    <w:rsid w:val="009E1C88"/>
    <w:rsid w:val="009E2264"/>
    <w:rsid w:val="009E226C"/>
    <w:rsid w:val="009E282E"/>
    <w:rsid w:val="009E28C9"/>
    <w:rsid w:val="009E2DF0"/>
    <w:rsid w:val="009E3861"/>
    <w:rsid w:val="009E3B4C"/>
    <w:rsid w:val="009E3C89"/>
    <w:rsid w:val="009E3F6B"/>
    <w:rsid w:val="009E41A3"/>
    <w:rsid w:val="009E470E"/>
    <w:rsid w:val="009E49F8"/>
    <w:rsid w:val="009E5129"/>
    <w:rsid w:val="009E563E"/>
    <w:rsid w:val="009E5B90"/>
    <w:rsid w:val="009E65CC"/>
    <w:rsid w:val="009E672D"/>
    <w:rsid w:val="009E6B53"/>
    <w:rsid w:val="009E6B82"/>
    <w:rsid w:val="009E6BD0"/>
    <w:rsid w:val="009E71D9"/>
    <w:rsid w:val="009F03C1"/>
    <w:rsid w:val="009F090F"/>
    <w:rsid w:val="009F0C41"/>
    <w:rsid w:val="009F106D"/>
    <w:rsid w:val="009F1294"/>
    <w:rsid w:val="009F14EC"/>
    <w:rsid w:val="009F1570"/>
    <w:rsid w:val="009F1661"/>
    <w:rsid w:val="009F1901"/>
    <w:rsid w:val="009F19F0"/>
    <w:rsid w:val="009F1AD3"/>
    <w:rsid w:val="009F21F7"/>
    <w:rsid w:val="009F2422"/>
    <w:rsid w:val="009F24A0"/>
    <w:rsid w:val="009F250E"/>
    <w:rsid w:val="009F26F1"/>
    <w:rsid w:val="009F2817"/>
    <w:rsid w:val="009F2921"/>
    <w:rsid w:val="009F29E7"/>
    <w:rsid w:val="009F2A04"/>
    <w:rsid w:val="009F2B01"/>
    <w:rsid w:val="009F2ED3"/>
    <w:rsid w:val="009F3FAB"/>
    <w:rsid w:val="009F423A"/>
    <w:rsid w:val="009F45A0"/>
    <w:rsid w:val="009F460B"/>
    <w:rsid w:val="009F47B1"/>
    <w:rsid w:val="009F482C"/>
    <w:rsid w:val="009F4B75"/>
    <w:rsid w:val="009F5196"/>
    <w:rsid w:val="009F5362"/>
    <w:rsid w:val="009F555C"/>
    <w:rsid w:val="009F570D"/>
    <w:rsid w:val="009F5D18"/>
    <w:rsid w:val="009F635B"/>
    <w:rsid w:val="009F63BC"/>
    <w:rsid w:val="009F6625"/>
    <w:rsid w:val="009F6DF1"/>
    <w:rsid w:val="009F6DF5"/>
    <w:rsid w:val="009F75D5"/>
    <w:rsid w:val="009F79C6"/>
    <w:rsid w:val="009F7B0C"/>
    <w:rsid w:val="009F7B38"/>
    <w:rsid w:val="009F7EB7"/>
    <w:rsid w:val="009F7F30"/>
    <w:rsid w:val="009F7F4D"/>
    <w:rsid w:val="00A001CA"/>
    <w:rsid w:val="00A0029F"/>
    <w:rsid w:val="00A006AE"/>
    <w:rsid w:val="00A00C1A"/>
    <w:rsid w:val="00A010DC"/>
    <w:rsid w:val="00A01186"/>
    <w:rsid w:val="00A014CD"/>
    <w:rsid w:val="00A014DC"/>
    <w:rsid w:val="00A0157C"/>
    <w:rsid w:val="00A01E88"/>
    <w:rsid w:val="00A01FB1"/>
    <w:rsid w:val="00A01FDD"/>
    <w:rsid w:val="00A02021"/>
    <w:rsid w:val="00A021D2"/>
    <w:rsid w:val="00A0345C"/>
    <w:rsid w:val="00A03870"/>
    <w:rsid w:val="00A038CE"/>
    <w:rsid w:val="00A03918"/>
    <w:rsid w:val="00A03AA2"/>
    <w:rsid w:val="00A03AF8"/>
    <w:rsid w:val="00A03C40"/>
    <w:rsid w:val="00A03C90"/>
    <w:rsid w:val="00A03D81"/>
    <w:rsid w:val="00A03E17"/>
    <w:rsid w:val="00A04205"/>
    <w:rsid w:val="00A042E3"/>
    <w:rsid w:val="00A048F7"/>
    <w:rsid w:val="00A04F64"/>
    <w:rsid w:val="00A053F6"/>
    <w:rsid w:val="00A05677"/>
    <w:rsid w:val="00A0581C"/>
    <w:rsid w:val="00A058F7"/>
    <w:rsid w:val="00A05CC0"/>
    <w:rsid w:val="00A06080"/>
    <w:rsid w:val="00A0619A"/>
    <w:rsid w:val="00A06310"/>
    <w:rsid w:val="00A06370"/>
    <w:rsid w:val="00A066AC"/>
    <w:rsid w:val="00A067B0"/>
    <w:rsid w:val="00A06927"/>
    <w:rsid w:val="00A06B58"/>
    <w:rsid w:val="00A06DCD"/>
    <w:rsid w:val="00A06FBB"/>
    <w:rsid w:val="00A077D5"/>
    <w:rsid w:val="00A1004E"/>
    <w:rsid w:val="00A10185"/>
    <w:rsid w:val="00A10187"/>
    <w:rsid w:val="00A1030B"/>
    <w:rsid w:val="00A104B4"/>
    <w:rsid w:val="00A104CB"/>
    <w:rsid w:val="00A105B0"/>
    <w:rsid w:val="00A10923"/>
    <w:rsid w:val="00A1092F"/>
    <w:rsid w:val="00A10B7A"/>
    <w:rsid w:val="00A10C0F"/>
    <w:rsid w:val="00A10D0F"/>
    <w:rsid w:val="00A10D2E"/>
    <w:rsid w:val="00A10E55"/>
    <w:rsid w:val="00A1123F"/>
    <w:rsid w:val="00A11502"/>
    <w:rsid w:val="00A120A9"/>
    <w:rsid w:val="00A12607"/>
    <w:rsid w:val="00A12ACC"/>
    <w:rsid w:val="00A13322"/>
    <w:rsid w:val="00A13367"/>
    <w:rsid w:val="00A1346F"/>
    <w:rsid w:val="00A13B9D"/>
    <w:rsid w:val="00A13C03"/>
    <w:rsid w:val="00A13D29"/>
    <w:rsid w:val="00A141E9"/>
    <w:rsid w:val="00A14314"/>
    <w:rsid w:val="00A14772"/>
    <w:rsid w:val="00A14A65"/>
    <w:rsid w:val="00A14AD9"/>
    <w:rsid w:val="00A14B65"/>
    <w:rsid w:val="00A155EF"/>
    <w:rsid w:val="00A15979"/>
    <w:rsid w:val="00A15AA3"/>
    <w:rsid w:val="00A15B46"/>
    <w:rsid w:val="00A15B7F"/>
    <w:rsid w:val="00A15B8C"/>
    <w:rsid w:val="00A15EB8"/>
    <w:rsid w:val="00A1653A"/>
    <w:rsid w:val="00A1663C"/>
    <w:rsid w:val="00A16D13"/>
    <w:rsid w:val="00A1732D"/>
    <w:rsid w:val="00A1775A"/>
    <w:rsid w:val="00A1777A"/>
    <w:rsid w:val="00A177F4"/>
    <w:rsid w:val="00A178D2"/>
    <w:rsid w:val="00A17907"/>
    <w:rsid w:val="00A17938"/>
    <w:rsid w:val="00A1798F"/>
    <w:rsid w:val="00A20213"/>
    <w:rsid w:val="00A202C5"/>
    <w:rsid w:val="00A206FD"/>
    <w:rsid w:val="00A20A07"/>
    <w:rsid w:val="00A20CFD"/>
    <w:rsid w:val="00A2114A"/>
    <w:rsid w:val="00A2176D"/>
    <w:rsid w:val="00A21CA1"/>
    <w:rsid w:val="00A21EAF"/>
    <w:rsid w:val="00A220AD"/>
    <w:rsid w:val="00A221E6"/>
    <w:rsid w:val="00A228BA"/>
    <w:rsid w:val="00A22A1B"/>
    <w:rsid w:val="00A22A4A"/>
    <w:rsid w:val="00A22C78"/>
    <w:rsid w:val="00A22F1B"/>
    <w:rsid w:val="00A23014"/>
    <w:rsid w:val="00A23223"/>
    <w:rsid w:val="00A2340C"/>
    <w:rsid w:val="00A23824"/>
    <w:rsid w:val="00A23E00"/>
    <w:rsid w:val="00A23FEB"/>
    <w:rsid w:val="00A2418C"/>
    <w:rsid w:val="00A24205"/>
    <w:rsid w:val="00A242B4"/>
    <w:rsid w:val="00A245B1"/>
    <w:rsid w:val="00A24975"/>
    <w:rsid w:val="00A24B59"/>
    <w:rsid w:val="00A24F41"/>
    <w:rsid w:val="00A25724"/>
    <w:rsid w:val="00A25D27"/>
    <w:rsid w:val="00A261EE"/>
    <w:rsid w:val="00A26428"/>
    <w:rsid w:val="00A264D9"/>
    <w:rsid w:val="00A266F9"/>
    <w:rsid w:val="00A26B1F"/>
    <w:rsid w:val="00A26DCB"/>
    <w:rsid w:val="00A26E66"/>
    <w:rsid w:val="00A27000"/>
    <w:rsid w:val="00A274AF"/>
    <w:rsid w:val="00A274D3"/>
    <w:rsid w:val="00A277A7"/>
    <w:rsid w:val="00A279EC"/>
    <w:rsid w:val="00A27AD4"/>
    <w:rsid w:val="00A27BF3"/>
    <w:rsid w:val="00A30C8C"/>
    <w:rsid w:val="00A30F1F"/>
    <w:rsid w:val="00A3176C"/>
    <w:rsid w:val="00A3193A"/>
    <w:rsid w:val="00A31BBC"/>
    <w:rsid w:val="00A32490"/>
    <w:rsid w:val="00A325F1"/>
    <w:rsid w:val="00A328EC"/>
    <w:rsid w:val="00A32E67"/>
    <w:rsid w:val="00A33067"/>
    <w:rsid w:val="00A33DA0"/>
    <w:rsid w:val="00A344CB"/>
    <w:rsid w:val="00A349DE"/>
    <w:rsid w:val="00A34BA7"/>
    <w:rsid w:val="00A34DE9"/>
    <w:rsid w:val="00A34F7D"/>
    <w:rsid w:val="00A355B3"/>
    <w:rsid w:val="00A35A79"/>
    <w:rsid w:val="00A35B34"/>
    <w:rsid w:val="00A360B6"/>
    <w:rsid w:val="00A364CC"/>
    <w:rsid w:val="00A3721D"/>
    <w:rsid w:val="00A37804"/>
    <w:rsid w:val="00A3797F"/>
    <w:rsid w:val="00A40A14"/>
    <w:rsid w:val="00A40D95"/>
    <w:rsid w:val="00A41061"/>
    <w:rsid w:val="00A412EC"/>
    <w:rsid w:val="00A41426"/>
    <w:rsid w:val="00A41FE9"/>
    <w:rsid w:val="00A42135"/>
    <w:rsid w:val="00A42745"/>
    <w:rsid w:val="00A42851"/>
    <w:rsid w:val="00A42B9D"/>
    <w:rsid w:val="00A4308D"/>
    <w:rsid w:val="00A43288"/>
    <w:rsid w:val="00A4359A"/>
    <w:rsid w:val="00A43665"/>
    <w:rsid w:val="00A43884"/>
    <w:rsid w:val="00A439AE"/>
    <w:rsid w:val="00A43A3D"/>
    <w:rsid w:val="00A43AB0"/>
    <w:rsid w:val="00A43B23"/>
    <w:rsid w:val="00A43CC8"/>
    <w:rsid w:val="00A43D91"/>
    <w:rsid w:val="00A43FA3"/>
    <w:rsid w:val="00A44095"/>
    <w:rsid w:val="00A440B5"/>
    <w:rsid w:val="00A44152"/>
    <w:rsid w:val="00A445BC"/>
    <w:rsid w:val="00A4463E"/>
    <w:rsid w:val="00A44680"/>
    <w:rsid w:val="00A44722"/>
    <w:rsid w:val="00A4475B"/>
    <w:rsid w:val="00A449DD"/>
    <w:rsid w:val="00A449F9"/>
    <w:rsid w:val="00A4547B"/>
    <w:rsid w:val="00A458D7"/>
    <w:rsid w:val="00A459D2"/>
    <w:rsid w:val="00A45E88"/>
    <w:rsid w:val="00A46011"/>
    <w:rsid w:val="00A4628C"/>
    <w:rsid w:val="00A4668B"/>
    <w:rsid w:val="00A46894"/>
    <w:rsid w:val="00A468D3"/>
    <w:rsid w:val="00A4739B"/>
    <w:rsid w:val="00A47410"/>
    <w:rsid w:val="00A47473"/>
    <w:rsid w:val="00A47829"/>
    <w:rsid w:val="00A47A6B"/>
    <w:rsid w:val="00A47CC7"/>
    <w:rsid w:val="00A47CD9"/>
    <w:rsid w:val="00A47CEB"/>
    <w:rsid w:val="00A47EEC"/>
    <w:rsid w:val="00A47F41"/>
    <w:rsid w:val="00A50067"/>
    <w:rsid w:val="00A50213"/>
    <w:rsid w:val="00A50472"/>
    <w:rsid w:val="00A5057A"/>
    <w:rsid w:val="00A509FE"/>
    <w:rsid w:val="00A50A27"/>
    <w:rsid w:val="00A51288"/>
    <w:rsid w:val="00A51520"/>
    <w:rsid w:val="00A518BB"/>
    <w:rsid w:val="00A524C4"/>
    <w:rsid w:val="00A52907"/>
    <w:rsid w:val="00A53051"/>
    <w:rsid w:val="00A53347"/>
    <w:rsid w:val="00A53725"/>
    <w:rsid w:val="00A53DFC"/>
    <w:rsid w:val="00A5406C"/>
    <w:rsid w:val="00A54580"/>
    <w:rsid w:val="00A545F8"/>
    <w:rsid w:val="00A5473F"/>
    <w:rsid w:val="00A5484E"/>
    <w:rsid w:val="00A54C3B"/>
    <w:rsid w:val="00A55599"/>
    <w:rsid w:val="00A555EB"/>
    <w:rsid w:val="00A55974"/>
    <w:rsid w:val="00A55B67"/>
    <w:rsid w:val="00A55C5C"/>
    <w:rsid w:val="00A55C76"/>
    <w:rsid w:val="00A5601C"/>
    <w:rsid w:val="00A563D9"/>
    <w:rsid w:val="00A566AC"/>
    <w:rsid w:val="00A56C9E"/>
    <w:rsid w:val="00A57136"/>
    <w:rsid w:val="00A57172"/>
    <w:rsid w:val="00A57290"/>
    <w:rsid w:val="00A57309"/>
    <w:rsid w:val="00A57C79"/>
    <w:rsid w:val="00A57E1E"/>
    <w:rsid w:val="00A57ECC"/>
    <w:rsid w:val="00A600CB"/>
    <w:rsid w:val="00A601DB"/>
    <w:rsid w:val="00A606FA"/>
    <w:rsid w:val="00A60A76"/>
    <w:rsid w:val="00A60BF6"/>
    <w:rsid w:val="00A60D13"/>
    <w:rsid w:val="00A61421"/>
    <w:rsid w:val="00A62027"/>
    <w:rsid w:val="00A62126"/>
    <w:rsid w:val="00A621AC"/>
    <w:rsid w:val="00A623A8"/>
    <w:rsid w:val="00A624DA"/>
    <w:rsid w:val="00A62A5C"/>
    <w:rsid w:val="00A631A9"/>
    <w:rsid w:val="00A6348D"/>
    <w:rsid w:val="00A6353E"/>
    <w:rsid w:val="00A635DB"/>
    <w:rsid w:val="00A6371F"/>
    <w:rsid w:val="00A63742"/>
    <w:rsid w:val="00A63D3D"/>
    <w:rsid w:val="00A63FC0"/>
    <w:rsid w:val="00A6410F"/>
    <w:rsid w:val="00A64117"/>
    <w:rsid w:val="00A64379"/>
    <w:rsid w:val="00A64525"/>
    <w:rsid w:val="00A6453B"/>
    <w:rsid w:val="00A64705"/>
    <w:rsid w:val="00A64AC1"/>
    <w:rsid w:val="00A64FC6"/>
    <w:rsid w:val="00A657BF"/>
    <w:rsid w:val="00A658C0"/>
    <w:rsid w:val="00A65D19"/>
    <w:rsid w:val="00A65ED0"/>
    <w:rsid w:val="00A6603B"/>
    <w:rsid w:val="00A66042"/>
    <w:rsid w:val="00A660A8"/>
    <w:rsid w:val="00A6615F"/>
    <w:rsid w:val="00A6682A"/>
    <w:rsid w:val="00A66A78"/>
    <w:rsid w:val="00A67291"/>
    <w:rsid w:val="00A6752F"/>
    <w:rsid w:val="00A67E1E"/>
    <w:rsid w:val="00A67EAB"/>
    <w:rsid w:val="00A700AB"/>
    <w:rsid w:val="00A700FD"/>
    <w:rsid w:val="00A703D2"/>
    <w:rsid w:val="00A704DA"/>
    <w:rsid w:val="00A70C3E"/>
    <w:rsid w:val="00A70EDE"/>
    <w:rsid w:val="00A71296"/>
    <w:rsid w:val="00A713EE"/>
    <w:rsid w:val="00A71472"/>
    <w:rsid w:val="00A71522"/>
    <w:rsid w:val="00A72083"/>
    <w:rsid w:val="00A72481"/>
    <w:rsid w:val="00A72601"/>
    <w:rsid w:val="00A72BE3"/>
    <w:rsid w:val="00A7303B"/>
    <w:rsid w:val="00A731B3"/>
    <w:rsid w:val="00A733F1"/>
    <w:rsid w:val="00A73DB9"/>
    <w:rsid w:val="00A74665"/>
    <w:rsid w:val="00A74A67"/>
    <w:rsid w:val="00A74DB3"/>
    <w:rsid w:val="00A7517E"/>
    <w:rsid w:val="00A753A0"/>
    <w:rsid w:val="00A75595"/>
    <w:rsid w:val="00A7588E"/>
    <w:rsid w:val="00A75898"/>
    <w:rsid w:val="00A758AE"/>
    <w:rsid w:val="00A761AA"/>
    <w:rsid w:val="00A761DA"/>
    <w:rsid w:val="00A7622A"/>
    <w:rsid w:val="00A76E7A"/>
    <w:rsid w:val="00A76E99"/>
    <w:rsid w:val="00A76EF4"/>
    <w:rsid w:val="00A7734E"/>
    <w:rsid w:val="00A778F1"/>
    <w:rsid w:val="00A77CF4"/>
    <w:rsid w:val="00A800D0"/>
    <w:rsid w:val="00A806AC"/>
    <w:rsid w:val="00A80C2F"/>
    <w:rsid w:val="00A80FAA"/>
    <w:rsid w:val="00A814A2"/>
    <w:rsid w:val="00A81814"/>
    <w:rsid w:val="00A81B00"/>
    <w:rsid w:val="00A81B67"/>
    <w:rsid w:val="00A81BFE"/>
    <w:rsid w:val="00A81D4B"/>
    <w:rsid w:val="00A82075"/>
    <w:rsid w:val="00A82284"/>
    <w:rsid w:val="00A826C3"/>
    <w:rsid w:val="00A827F5"/>
    <w:rsid w:val="00A82ADD"/>
    <w:rsid w:val="00A82CDA"/>
    <w:rsid w:val="00A82D17"/>
    <w:rsid w:val="00A83009"/>
    <w:rsid w:val="00A8301C"/>
    <w:rsid w:val="00A8355A"/>
    <w:rsid w:val="00A83587"/>
    <w:rsid w:val="00A8370F"/>
    <w:rsid w:val="00A83CEC"/>
    <w:rsid w:val="00A83EA0"/>
    <w:rsid w:val="00A84B04"/>
    <w:rsid w:val="00A850AF"/>
    <w:rsid w:val="00A858EF"/>
    <w:rsid w:val="00A85B35"/>
    <w:rsid w:val="00A85E60"/>
    <w:rsid w:val="00A86330"/>
    <w:rsid w:val="00A86338"/>
    <w:rsid w:val="00A86448"/>
    <w:rsid w:val="00A864C1"/>
    <w:rsid w:val="00A8709D"/>
    <w:rsid w:val="00A87682"/>
    <w:rsid w:val="00A87B31"/>
    <w:rsid w:val="00A87B97"/>
    <w:rsid w:val="00A87C94"/>
    <w:rsid w:val="00A87F7A"/>
    <w:rsid w:val="00A90081"/>
    <w:rsid w:val="00A903D3"/>
    <w:rsid w:val="00A9070B"/>
    <w:rsid w:val="00A90D71"/>
    <w:rsid w:val="00A910D0"/>
    <w:rsid w:val="00A91E74"/>
    <w:rsid w:val="00A923D0"/>
    <w:rsid w:val="00A929C3"/>
    <w:rsid w:val="00A92D6A"/>
    <w:rsid w:val="00A931E0"/>
    <w:rsid w:val="00A932B0"/>
    <w:rsid w:val="00A9374A"/>
    <w:rsid w:val="00A94194"/>
    <w:rsid w:val="00A941CE"/>
    <w:rsid w:val="00A941E7"/>
    <w:rsid w:val="00A94684"/>
    <w:rsid w:val="00A94BFA"/>
    <w:rsid w:val="00A95400"/>
    <w:rsid w:val="00A95490"/>
    <w:rsid w:val="00A95509"/>
    <w:rsid w:val="00A9561D"/>
    <w:rsid w:val="00A9590B"/>
    <w:rsid w:val="00A95CD8"/>
    <w:rsid w:val="00A96134"/>
    <w:rsid w:val="00A965E5"/>
    <w:rsid w:val="00A96617"/>
    <w:rsid w:val="00A9664B"/>
    <w:rsid w:val="00A96A0D"/>
    <w:rsid w:val="00A96A57"/>
    <w:rsid w:val="00A96C1F"/>
    <w:rsid w:val="00A96F49"/>
    <w:rsid w:val="00A977E2"/>
    <w:rsid w:val="00A97B80"/>
    <w:rsid w:val="00A97BBC"/>
    <w:rsid w:val="00A97CB7"/>
    <w:rsid w:val="00AA0532"/>
    <w:rsid w:val="00AA06BD"/>
    <w:rsid w:val="00AA08BD"/>
    <w:rsid w:val="00AA0DDA"/>
    <w:rsid w:val="00AA0E48"/>
    <w:rsid w:val="00AA0E52"/>
    <w:rsid w:val="00AA0E75"/>
    <w:rsid w:val="00AA10CE"/>
    <w:rsid w:val="00AA185C"/>
    <w:rsid w:val="00AA19E5"/>
    <w:rsid w:val="00AA19F2"/>
    <w:rsid w:val="00AA1D01"/>
    <w:rsid w:val="00AA1D12"/>
    <w:rsid w:val="00AA1EDF"/>
    <w:rsid w:val="00AA20BB"/>
    <w:rsid w:val="00AA20DC"/>
    <w:rsid w:val="00AA23FA"/>
    <w:rsid w:val="00AA256E"/>
    <w:rsid w:val="00AA27FF"/>
    <w:rsid w:val="00AA2806"/>
    <w:rsid w:val="00AA2BCF"/>
    <w:rsid w:val="00AA38BC"/>
    <w:rsid w:val="00AA3ACF"/>
    <w:rsid w:val="00AA3B91"/>
    <w:rsid w:val="00AA4274"/>
    <w:rsid w:val="00AA4297"/>
    <w:rsid w:val="00AA4676"/>
    <w:rsid w:val="00AA488C"/>
    <w:rsid w:val="00AA4CEA"/>
    <w:rsid w:val="00AA51E7"/>
    <w:rsid w:val="00AA5947"/>
    <w:rsid w:val="00AA5F97"/>
    <w:rsid w:val="00AA63BE"/>
    <w:rsid w:val="00AA65EA"/>
    <w:rsid w:val="00AA68EB"/>
    <w:rsid w:val="00AA6BD1"/>
    <w:rsid w:val="00AA6D78"/>
    <w:rsid w:val="00AA6FE3"/>
    <w:rsid w:val="00AA7069"/>
    <w:rsid w:val="00AA75A7"/>
    <w:rsid w:val="00AA7904"/>
    <w:rsid w:val="00AA7925"/>
    <w:rsid w:val="00AA7972"/>
    <w:rsid w:val="00AA7CFA"/>
    <w:rsid w:val="00AA7D0F"/>
    <w:rsid w:val="00AA7D41"/>
    <w:rsid w:val="00AB01F1"/>
    <w:rsid w:val="00AB03F8"/>
    <w:rsid w:val="00AB090B"/>
    <w:rsid w:val="00AB09DC"/>
    <w:rsid w:val="00AB1065"/>
    <w:rsid w:val="00AB146F"/>
    <w:rsid w:val="00AB160B"/>
    <w:rsid w:val="00AB1E60"/>
    <w:rsid w:val="00AB1FD9"/>
    <w:rsid w:val="00AB23BB"/>
    <w:rsid w:val="00AB24D8"/>
    <w:rsid w:val="00AB29B6"/>
    <w:rsid w:val="00AB2CD8"/>
    <w:rsid w:val="00AB2F32"/>
    <w:rsid w:val="00AB2F76"/>
    <w:rsid w:val="00AB3105"/>
    <w:rsid w:val="00AB3198"/>
    <w:rsid w:val="00AB31DE"/>
    <w:rsid w:val="00AB3253"/>
    <w:rsid w:val="00AB34C1"/>
    <w:rsid w:val="00AB379A"/>
    <w:rsid w:val="00AB38F0"/>
    <w:rsid w:val="00AB448D"/>
    <w:rsid w:val="00AB449E"/>
    <w:rsid w:val="00AB4755"/>
    <w:rsid w:val="00AB49D2"/>
    <w:rsid w:val="00AB4D32"/>
    <w:rsid w:val="00AB4E5F"/>
    <w:rsid w:val="00AB51A1"/>
    <w:rsid w:val="00AB5323"/>
    <w:rsid w:val="00AB53D1"/>
    <w:rsid w:val="00AB551F"/>
    <w:rsid w:val="00AB5E31"/>
    <w:rsid w:val="00AB6208"/>
    <w:rsid w:val="00AB6B70"/>
    <w:rsid w:val="00AB727C"/>
    <w:rsid w:val="00AB7896"/>
    <w:rsid w:val="00AB7B90"/>
    <w:rsid w:val="00AB7CD9"/>
    <w:rsid w:val="00AC0177"/>
    <w:rsid w:val="00AC07FB"/>
    <w:rsid w:val="00AC0929"/>
    <w:rsid w:val="00AC1A5D"/>
    <w:rsid w:val="00AC1CC2"/>
    <w:rsid w:val="00AC20CF"/>
    <w:rsid w:val="00AC221B"/>
    <w:rsid w:val="00AC28E1"/>
    <w:rsid w:val="00AC2B76"/>
    <w:rsid w:val="00AC2BAF"/>
    <w:rsid w:val="00AC2C2B"/>
    <w:rsid w:val="00AC2E84"/>
    <w:rsid w:val="00AC4478"/>
    <w:rsid w:val="00AC4AE0"/>
    <w:rsid w:val="00AC4EA6"/>
    <w:rsid w:val="00AC518E"/>
    <w:rsid w:val="00AC542E"/>
    <w:rsid w:val="00AC5649"/>
    <w:rsid w:val="00AC582D"/>
    <w:rsid w:val="00AC5A68"/>
    <w:rsid w:val="00AC5BCE"/>
    <w:rsid w:val="00AC5FCF"/>
    <w:rsid w:val="00AC601F"/>
    <w:rsid w:val="00AC630F"/>
    <w:rsid w:val="00AC65EA"/>
    <w:rsid w:val="00AC6627"/>
    <w:rsid w:val="00AC6704"/>
    <w:rsid w:val="00AC74F6"/>
    <w:rsid w:val="00AC7F26"/>
    <w:rsid w:val="00AD0186"/>
    <w:rsid w:val="00AD0510"/>
    <w:rsid w:val="00AD055D"/>
    <w:rsid w:val="00AD06B7"/>
    <w:rsid w:val="00AD099A"/>
    <w:rsid w:val="00AD0BD7"/>
    <w:rsid w:val="00AD0C6F"/>
    <w:rsid w:val="00AD0F25"/>
    <w:rsid w:val="00AD1296"/>
    <w:rsid w:val="00AD1A67"/>
    <w:rsid w:val="00AD1A91"/>
    <w:rsid w:val="00AD1B44"/>
    <w:rsid w:val="00AD1B6A"/>
    <w:rsid w:val="00AD2125"/>
    <w:rsid w:val="00AD22C9"/>
    <w:rsid w:val="00AD22E8"/>
    <w:rsid w:val="00AD2329"/>
    <w:rsid w:val="00AD233F"/>
    <w:rsid w:val="00AD25BF"/>
    <w:rsid w:val="00AD286D"/>
    <w:rsid w:val="00AD2A68"/>
    <w:rsid w:val="00AD2E2C"/>
    <w:rsid w:val="00AD2FBB"/>
    <w:rsid w:val="00AD2FC1"/>
    <w:rsid w:val="00AD2FF6"/>
    <w:rsid w:val="00AD3AC7"/>
    <w:rsid w:val="00AD44F0"/>
    <w:rsid w:val="00AD49BD"/>
    <w:rsid w:val="00AD4AF8"/>
    <w:rsid w:val="00AD4C5D"/>
    <w:rsid w:val="00AD4E2C"/>
    <w:rsid w:val="00AD5039"/>
    <w:rsid w:val="00AD51B8"/>
    <w:rsid w:val="00AD53EE"/>
    <w:rsid w:val="00AD5735"/>
    <w:rsid w:val="00AD5B2F"/>
    <w:rsid w:val="00AD5D3A"/>
    <w:rsid w:val="00AD5EBF"/>
    <w:rsid w:val="00AD6419"/>
    <w:rsid w:val="00AD64EB"/>
    <w:rsid w:val="00AD6CA7"/>
    <w:rsid w:val="00AD6CE9"/>
    <w:rsid w:val="00AD7099"/>
    <w:rsid w:val="00AD7503"/>
    <w:rsid w:val="00AD7C1F"/>
    <w:rsid w:val="00AD7F20"/>
    <w:rsid w:val="00AD7F38"/>
    <w:rsid w:val="00AE0417"/>
    <w:rsid w:val="00AE0718"/>
    <w:rsid w:val="00AE0B93"/>
    <w:rsid w:val="00AE0E80"/>
    <w:rsid w:val="00AE1045"/>
    <w:rsid w:val="00AE130C"/>
    <w:rsid w:val="00AE168A"/>
    <w:rsid w:val="00AE195A"/>
    <w:rsid w:val="00AE1C25"/>
    <w:rsid w:val="00AE1F2C"/>
    <w:rsid w:val="00AE26DA"/>
    <w:rsid w:val="00AE2705"/>
    <w:rsid w:val="00AE2B40"/>
    <w:rsid w:val="00AE2D6D"/>
    <w:rsid w:val="00AE3213"/>
    <w:rsid w:val="00AE325B"/>
    <w:rsid w:val="00AE343D"/>
    <w:rsid w:val="00AE3665"/>
    <w:rsid w:val="00AE366A"/>
    <w:rsid w:val="00AE39E5"/>
    <w:rsid w:val="00AE3B64"/>
    <w:rsid w:val="00AE3C64"/>
    <w:rsid w:val="00AE3CD6"/>
    <w:rsid w:val="00AE3FC5"/>
    <w:rsid w:val="00AE411E"/>
    <w:rsid w:val="00AE474E"/>
    <w:rsid w:val="00AE4963"/>
    <w:rsid w:val="00AE4A30"/>
    <w:rsid w:val="00AE4CDB"/>
    <w:rsid w:val="00AE58C8"/>
    <w:rsid w:val="00AE5BC1"/>
    <w:rsid w:val="00AE6469"/>
    <w:rsid w:val="00AE6BA3"/>
    <w:rsid w:val="00AE6BC8"/>
    <w:rsid w:val="00AE6DD5"/>
    <w:rsid w:val="00AE6E02"/>
    <w:rsid w:val="00AE6E0E"/>
    <w:rsid w:val="00AE6F0A"/>
    <w:rsid w:val="00AE7500"/>
    <w:rsid w:val="00AE7D50"/>
    <w:rsid w:val="00AE7FB9"/>
    <w:rsid w:val="00AF0953"/>
    <w:rsid w:val="00AF10A5"/>
    <w:rsid w:val="00AF1110"/>
    <w:rsid w:val="00AF1CB0"/>
    <w:rsid w:val="00AF21C6"/>
    <w:rsid w:val="00AF2394"/>
    <w:rsid w:val="00AF25B5"/>
    <w:rsid w:val="00AF3693"/>
    <w:rsid w:val="00AF37F2"/>
    <w:rsid w:val="00AF3975"/>
    <w:rsid w:val="00AF39CA"/>
    <w:rsid w:val="00AF3A3D"/>
    <w:rsid w:val="00AF3B7B"/>
    <w:rsid w:val="00AF3C23"/>
    <w:rsid w:val="00AF41D0"/>
    <w:rsid w:val="00AF450B"/>
    <w:rsid w:val="00AF45E2"/>
    <w:rsid w:val="00AF489E"/>
    <w:rsid w:val="00AF49BC"/>
    <w:rsid w:val="00AF4BA6"/>
    <w:rsid w:val="00AF4CB4"/>
    <w:rsid w:val="00AF5764"/>
    <w:rsid w:val="00AF5A8D"/>
    <w:rsid w:val="00AF5F9A"/>
    <w:rsid w:val="00AF6439"/>
    <w:rsid w:val="00AF6449"/>
    <w:rsid w:val="00AF6CE2"/>
    <w:rsid w:val="00AF75A2"/>
    <w:rsid w:val="00AF775E"/>
    <w:rsid w:val="00AF7843"/>
    <w:rsid w:val="00AF7D04"/>
    <w:rsid w:val="00AF7E48"/>
    <w:rsid w:val="00B00038"/>
    <w:rsid w:val="00B0038A"/>
    <w:rsid w:val="00B00513"/>
    <w:rsid w:val="00B005E6"/>
    <w:rsid w:val="00B0064A"/>
    <w:rsid w:val="00B00AC2"/>
    <w:rsid w:val="00B00E51"/>
    <w:rsid w:val="00B0116D"/>
    <w:rsid w:val="00B016F0"/>
    <w:rsid w:val="00B0180A"/>
    <w:rsid w:val="00B019A8"/>
    <w:rsid w:val="00B01B36"/>
    <w:rsid w:val="00B01B92"/>
    <w:rsid w:val="00B01C07"/>
    <w:rsid w:val="00B01C79"/>
    <w:rsid w:val="00B01D1D"/>
    <w:rsid w:val="00B01FC0"/>
    <w:rsid w:val="00B020B8"/>
    <w:rsid w:val="00B021CE"/>
    <w:rsid w:val="00B028D7"/>
    <w:rsid w:val="00B02E8B"/>
    <w:rsid w:val="00B032F5"/>
    <w:rsid w:val="00B03A95"/>
    <w:rsid w:val="00B03AF5"/>
    <w:rsid w:val="00B04484"/>
    <w:rsid w:val="00B04649"/>
    <w:rsid w:val="00B04947"/>
    <w:rsid w:val="00B04A58"/>
    <w:rsid w:val="00B05149"/>
    <w:rsid w:val="00B0525A"/>
    <w:rsid w:val="00B0547C"/>
    <w:rsid w:val="00B055B1"/>
    <w:rsid w:val="00B056D1"/>
    <w:rsid w:val="00B0578A"/>
    <w:rsid w:val="00B05891"/>
    <w:rsid w:val="00B0592D"/>
    <w:rsid w:val="00B05AA7"/>
    <w:rsid w:val="00B06379"/>
    <w:rsid w:val="00B064A9"/>
    <w:rsid w:val="00B06730"/>
    <w:rsid w:val="00B06A14"/>
    <w:rsid w:val="00B06C0D"/>
    <w:rsid w:val="00B06EA1"/>
    <w:rsid w:val="00B0703F"/>
    <w:rsid w:val="00B0716A"/>
    <w:rsid w:val="00B07260"/>
    <w:rsid w:val="00B07AB5"/>
    <w:rsid w:val="00B07BAC"/>
    <w:rsid w:val="00B07D19"/>
    <w:rsid w:val="00B07D1A"/>
    <w:rsid w:val="00B07F7C"/>
    <w:rsid w:val="00B10D3F"/>
    <w:rsid w:val="00B10FD9"/>
    <w:rsid w:val="00B1151E"/>
    <w:rsid w:val="00B11700"/>
    <w:rsid w:val="00B11803"/>
    <w:rsid w:val="00B11C1E"/>
    <w:rsid w:val="00B11CBA"/>
    <w:rsid w:val="00B1222D"/>
    <w:rsid w:val="00B12C26"/>
    <w:rsid w:val="00B12DCA"/>
    <w:rsid w:val="00B13975"/>
    <w:rsid w:val="00B14038"/>
    <w:rsid w:val="00B140CD"/>
    <w:rsid w:val="00B1476F"/>
    <w:rsid w:val="00B14AC2"/>
    <w:rsid w:val="00B14B51"/>
    <w:rsid w:val="00B14D0F"/>
    <w:rsid w:val="00B14D47"/>
    <w:rsid w:val="00B14DAD"/>
    <w:rsid w:val="00B14FC1"/>
    <w:rsid w:val="00B150D9"/>
    <w:rsid w:val="00B151FF"/>
    <w:rsid w:val="00B15399"/>
    <w:rsid w:val="00B1565F"/>
    <w:rsid w:val="00B15B0D"/>
    <w:rsid w:val="00B15C2C"/>
    <w:rsid w:val="00B1647D"/>
    <w:rsid w:val="00B1717B"/>
    <w:rsid w:val="00B1752A"/>
    <w:rsid w:val="00B17638"/>
    <w:rsid w:val="00B17851"/>
    <w:rsid w:val="00B17A33"/>
    <w:rsid w:val="00B17C95"/>
    <w:rsid w:val="00B17DF6"/>
    <w:rsid w:val="00B20431"/>
    <w:rsid w:val="00B20432"/>
    <w:rsid w:val="00B20847"/>
    <w:rsid w:val="00B20A27"/>
    <w:rsid w:val="00B21550"/>
    <w:rsid w:val="00B21830"/>
    <w:rsid w:val="00B218EB"/>
    <w:rsid w:val="00B218F2"/>
    <w:rsid w:val="00B21D90"/>
    <w:rsid w:val="00B22215"/>
    <w:rsid w:val="00B22243"/>
    <w:rsid w:val="00B22323"/>
    <w:rsid w:val="00B22682"/>
    <w:rsid w:val="00B2286E"/>
    <w:rsid w:val="00B22923"/>
    <w:rsid w:val="00B22973"/>
    <w:rsid w:val="00B2359D"/>
    <w:rsid w:val="00B236EB"/>
    <w:rsid w:val="00B236F0"/>
    <w:rsid w:val="00B2394A"/>
    <w:rsid w:val="00B239B9"/>
    <w:rsid w:val="00B23C25"/>
    <w:rsid w:val="00B23D40"/>
    <w:rsid w:val="00B23E1E"/>
    <w:rsid w:val="00B24903"/>
    <w:rsid w:val="00B2495F"/>
    <w:rsid w:val="00B24B30"/>
    <w:rsid w:val="00B24ECE"/>
    <w:rsid w:val="00B25280"/>
    <w:rsid w:val="00B252BD"/>
    <w:rsid w:val="00B2559D"/>
    <w:rsid w:val="00B25A64"/>
    <w:rsid w:val="00B25B71"/>
    <w:rsid w:val="00B25BD2"/>
    <w:rsid w:val="00B25C60"/>
    <w:rsid w:val="00B26490"/>
    <w:rsid w:val="00B26605"/>
    <w:rsid w:val="00B26A33"/>
    <w:rsid w:val="00B26E46"/>
    <w:rsid w:val="00B26FE8"/>
    <w:rsid w:val="00B26FF1"/>
    <w:rsid w:val="00B27451"/>
    <w:rsid w:val="00B27463"/>
    <w:rsid w:val="00B2760C"/>
    <w:rsid w:val="00B27AEE"/>
    <w:rsid w:val="00B27F74"/>
    <w:rsid w:val="00B303D4"/>
    <w:rsid w:val="00B3092D"/>
    <w:rsid w:val="00B30B25"/>
    <w:rsid w:val="00B30ED1"/>
    <w:rsid w:val="00B31044"/>
    <w:rsid w:val="00B314DB"/>
    <w:rsid w:val="00B31546"/>
    <w:rsid w:val="00B31B5F"/>
    <w:rsid w:val="00B3219B"/>
    <w:rsid w:val="00B324F5"/>
    <w:rsid w:val="00B33710"/>
    <w:rsid w:val="00B33925"/>
    <w:rsid w:val="00B33F24"/>
    <w:rsid w:val="00B34448"/>
    <w:rsid w:val="00B346E4"/>
    <w:rsid w:val="00B347CB"/>
    <w:rsid w:val="00B348D7"/>
    <w:rsid w:val="00B349A3"/>
    <w:rsid w:val="00B34D44"/>
    <w:rsid w:val="00B35072"/>
    <w:rsid w:val="00B351EA"/>
    <w:rsid w:val="00B35343"/>
    <w:rsid w:val="00B3562D"/>
    <w:rsid w:val="00B35B7B"/>
    <w:rsid w:val="00B36329"/>
    <w:rsid w:val="00B364E6"/>
    <w:rsid w:val="00B3650A"/>
    <w:rsid w:val="00B3665B"/>
    <w:rsid w:val="00B36752"/>
    <w:rsid w:val="00B36859"/>
    <w:rsid w:val="00B36D3E"/>
    <w:rsid w:val="00B36E90"/>
    <w:rsid w:val="00B37138"/>
    <w:rsid w:val="00B37763"/>
    <w:rsid w:val="00B378FC"/>
    <w:rsid w:val="00B37E09"/>
    <w:rsid w:val="00B37F6E"/>
    <w:rsid w:val="00B400C9"/>
    <w:rsid w:val="00B4046C"/>
    <w:rsid w:val="00B40A4B"/>
    <w:rsid w:val="00B40C1A"/>
    <w:rsid w:val="00B40C4F"/>
    <w:rsid w:val="00B40D5D"/>
    <w:rsid w:val="00B40FC0"/>
    <w:rsid w:val="00B4135F"/>
    <w:rsid w:val="00B413BC"/>
    <w:rsid w:val="00B41593"/>
    <w:rsid w:val="00B4175F"/>
    <w:rsid w:val="00B4176C"/>
    <w:rsid w:val="00B4186B"/>
    <w:rsid w:val="00B419EE"/>
    <w:rsid w:val="00B41B54"/>
    <w:rsid w:val="00B42400"/>
    <w:rsid w:val="00B42406"/>
    <w:rsid w:val="00B4242C"/>
    <w:rsid w:val="00B4246E"/>
    <w:rsid w:val="00B42491"/>
    <w:rsid w:val="00B42588"/>
    <w:rsid w:val="00B426EE"/>
    <w:rsid w:val="00B42901"/>
    <w:rsid w:val="00B42A08"/>
    <w:rsid w:val="00B42C00"/>
    <w:rsid w:val="00B42D49"/>
    <w:rsid w:val="00B42E84"/>
    <w:rsid w:val="00B42EC2"/>
    <w:rsid w:val="00B42F0F"/>
    <w:rsid w:val="00B42F4F"/>
    <w:rsid w:val="00B43427"/>
    <w:rsid w:val="00B43863"/>
    <w:rsid w:val="00B4395C"/>
    <w:rsid w:val="00B43AB1"/>
    <w:rsid w:val="00B43AF2"/>
    <w:rsid w:val="00B43FC3"/>
    <w:rsid w:val="00B453A6"/>
    <w:rsid w:val="00B453DB"/>
    <w:rsid w:val="00B4541D"/>
    <w:rsid w:val="00B45FDC"/>
    <w:rsid w:val="00B46346"/>
    <w:rsid w:val="00B4638E"/>
    <w:rsid w:val="00B465E9"/>
    <w:rsid w:val="00B4663A"/>
    <w:rsid w:val="00B46678"/>
    <w:rsid w:val="00B46B05"/>
    <w:rsid w:val="00B46CDD"/>
    <w:rsid w:val="00B46F0D"/>
    <w:rsid w:val="00B46FAD"/>
    <w:rsid w:val="00B47556"/>
    <w:rsid w:val="00B475A7"/>
    <w:rsid w:val="00B478F1"/>
    <w:rsid w:val="00B47BF9"/>
    <w:rsid w:val="00B47CDB"/>
    <w:rsid w:val="00B47E93"/>
    <w:rsid w:val="00B47F01"/>
    <w:rsid w:val="00B47F8C"/>
    <w:rsid w:val="00B50111"/>
    <w:rsid w:val="00B502D8"/>
    <w:rsid w:val="00B50626"/>
    <w:rsid w:val="00B50809"/>
    <w:rsid w:val="00B512C3"/>
    <w:rsid w:val="00B51567"/>
    <w:rsid w:val="00B5205A"/>
    <w:rsid w:val="00B520BC"/>
    <w:rsid w:val="00B5210D"/>
    <w:rsid w:val="00B52124"/>
    <w:rsid w:val="00B52260"/>
    <w:rsid w:val="00B52752"/>
    <w:rsid w:val="00B5352E"/>
    <w:rsid w:val="00B53538"/>
    <w:rsid w:val="00B53853"/>
    <w:rsid w:val="00B53BA8"/>
    <w:rsid w:val="00B53C78"/>
    <w:rsid w:val="00B540E2"/>
    <w:rsid w:val="00B54251"/>
    <w:rsid w:val="00B543C5"/>
    <w:rsid w:val="00B54412"/>
    <w:rsid w:val="00B54553"/>
    <w:rsid w:val="00B545C2"/>
    <w:rsid w:val="00B54842"/>
    <w:rsid w:val="00B54AA1"/>
    <w:rsid w:val="00B54B55"/>
    <w:rsid w:val="00B54B81"/>
    <w:rsid w:val="00B54C55"/>
    <w:rsid w:val="00B54D92"/>
    <w:rsid w:val="00B5565B"/>
    <w:rsid w:val="00B55E9E"/>
    <w:rsid w:val="00B55F7F"/>
    <w:rsid w:val="00B56602"/>
    <w:rsid w:val="00B5662E"/>
    <w:rsid w:val="00B567F7"/>
    <w:rsid w:val="00B56D06"/>
    <w:rsid w:val="00B56E3C"/>
    <w:rsid w:val="00B57258"/>
    <w:rsid w:val="00B572B8"/>
    <w:rsid w:val="00B5772D"/>
    <w:rsid w:val="00B578A3"/>
    <w:rsid w:val="00B60175"/>
    <w:rsid w:val="00B60255"/>
    <w:rsid w:val="00B60407"/>
    <w:rsid w:val="00B60409"/>
    <w:rsid w:val="00B609C9"/>
    <w:rsid w:val="00B609CD"/>
    <w:rsid w:val="00B60B01"/>
    <w:rsid w:val="00B60EFB"/>
    <w:rsid w:val="00B60F39"/>
    <w:rsid w:val="00B60F9F"/>
    <w:rsid w:val="00B610B9"/>
    <w:rsid w:val="00B6113D"/>
    <w:rsid w:val="00B61174"/>
    <w:rsid w:val="00B61238"/>
    <w:rsid w:val="00B61262"/>
    <w:rsid w:val="00B6141E"/>
    <w:rsid w:val="00B614DD"/>
    <w:rsid w:val="00B6151F"/>
    <w:rsid w:val="00B61710"/>
    <w:rsid w:val="00B6196C"/>
    <w:rsid w:val="00B6200A"/>
    <w:rsid w:val="00B62473"/>
    <w:rsid w:val="00B62990"/>
    <w:rsid w:val="00B62ACE"/>
    <w:rsid w:val="00B62E3D"/>
    <w:rsid w:val="00B62FDB"/>
    <w:rsid w:val="00B634F3"/>
    <w:rsid w:val="00B63759"/>
    <w:rsid w:val="00B63AE6"/>
    <w:rsid w:val="00B641E6"/>
    <w:rsid w:val="00B644BE"/>
    <w:rsid w:val="00B64807"/>
    <w:rsid w:val="00B64D16"/>
    <w:rsid w:val="00B64E3C"/>
    <w:rsid w:val="00B653FD"/>
    <w:rsid w:val="00B657D4"/>
    <w:rsid w:val="00B65884"/>
    <w:rsid w:val="00B659D6"/>
    <w:rsid w:val="00B65EC5"/>
    <w:rsid w:val="00B65FD6"/>
    <w:rsid w:val="00B6600A"/>
    <w:rsid w:val="00B6614D"/>
    <w:rsid w:val="00B6635C"/>
    <w:rsid w:val="00B663F5"/>
    <w:rsid w:val="00B663FE"/>
    <w:rsid w:val="00B6640A"/>
    <w:rsid w:val="00B664DF"/>
    <w:rsid w:val="00B66821"/>
    <w:rsid w:val="00B66981"/>
    <w:rsid w:val="00B66B1C"/>
    <w:rsid w:val="00B66B83"/>
    <w:rsid w:val="00B6708D"/>
    <w:rsid w:val="00B67308"/>
    <w:rsid w:val="00B67C17"/>
    <w:rsid w:val="00B7026D"/>
    <w:rsid w:val="00B709BA"/>
    <w:rsid w:val="00B70F5A"/>
    <w:rsid w:val="00B70F6F"/>
    <w:rsid w:val="00B7103B"/>
    <w:rsid w:val="00B71301"/>
    <w:rsid w:val="00B71BAB"/>
    <w:rsid w:val="00B72040"/>
    <w:rsid w:val="00B72113"/>
    <w:rsid w:val="00B72307"/>
    <w:rsid w:val="00B725D5"/>
    <w:rsid w:val="00B7282B"/>
    <w:rsid w:val="00B72A52"/>
    <w:rsid w:val="00B73838"/>
    <w:rsid w:val="00B738AB"/>
    <w:rsid w:val="00B73C5D"/>
    <w:rsid w:val="00B73C70"/>
    <w:rsid w:val="00B73F1C"/>
    <w:rsid w:val="00B7406D"/>
    <w:rsid w:val="00B740D2"/>
    <w:rsid w:val="00B7453E"/>
    <w:rsid w:val="00B74C8B"/>
    <w:rsid w:val="00B74F7E"/>
    <w:rsid w:val="00B75108"/>
    <w:rsid w:val="00B7523D"/>
    <w:rsid w:val="00B75284"/>
    <w:rsid w:val="00B75433"/>
    <w:rsid w:val="00B75942"/>
    <w:rsid w:val="00B75994"/>
    <w:rsid w:val="00B75C88"/>
    <w:rsid w:val="00B760CD"/>
    <w:rsid w:val="00B76199"/>
    <w:rsid w:val="00B76392"/>
    <w:rsid w:val="00B764CB"/>
    <w:rsid w:val="00B76C9E"/>
    <w:rsid w:val="00B76DEC"/>
    <w:rsid w:val="00B76E94"/>
    <w:rsid w:val="00B7711A"/>
    <w:rsid w:val="00B77213"/>
    <w:rsid w:val="00B77579"/>
    <w:rsid w:val="00B77608"/>
    <w:rsid w:val="00B7768A"/>
    <w:rsid w:val="00B7783B"/>
    <w:rsid w:val="00B77F9E"/>
    <w:rsid w:val="00B77FA7"/>
    <w:rsid w:val="00B80168"/>
    <w:rsid w:val="00B801E6"/>
    <w:rsid w:val="00B8040E"/>
    <w:rsid w:val="00B806FB"/>
    <w:rsid w:val="00B8093B"/>
    <w:rsid w:val="00B80EBF"/>
    <w:rsid w:val="00B812A9"/>
    <w:rsid w:val="00B816D5"/>
    <w:rsid w:val="00B81878"/>
    <w:rsid w:val="00B81BB7"/>
    <w:rsid w:val="00B81E08"/>
    <w:rsid w:val="00B82102"/>
    <w:rsid w:val="00B8256C"/>
    <w:rsid w:val="00B82847"/>
    <w:rsid w:val="00B828BD"/>
    <w:rsid w:val="00B829D4"/>
    <w:rsid w:val="00B82C32"/>
    <w:rsid w:val="00B82FE9"/>
    <w:rsid w:val="00B82FF3"/>
    <w:rsid w:val="00B8303C"/>
    <w:rsid w:val="00B8313C"/>
    <w:rsid w:val="00B834E4"/>
    <w:rsid w:val="00B83905"/>
    <w:rsid w:val="00B83ADD"/>
    <w:rsid w:val="00B83C1A"/>
    <w:rsid w:val="00B83C6C"/>
    <w:rsid w:val="00B8467D"/>
    <w:rsid w:val="00B84A09"/>
    <w:rsid w:val="00B84DB1"/>
    <w:rsid w:val="00B85119"/>
    <w:rsid w:val="00B8540C"/>
    <w:rsid w:val="00B856D6"/>
    <w:rsid w:val="00B856E8"/>
    <w:rsid w:val="00B85AA5"/>
    <w:rsid w:val="00B85B29"/>
    <w:rsid w:val="00B85F39"/>
    <w:rsid w:val="00B86032"/>
    <w:rsid w:val="00B86317"/>
    <w:rsid w:val="00B86373"/>
    <w:rsid w:val="00B86A70"/>
    <w:rsid w:val="00B86B23"/>
    <w:rsid w:val="00B87019"/>
    <w:rsid w:val="00B871C5"/>
    <w:rsid w:val="00B87437"/>
    <w:rsid w:val="00B8770F"/>
    <w:rsid w:val="00B877CC"/>
    <w:rsid w:val="00B87CCF"/>
    <w:rsid w:val="00B87E2E"/>
    <w:rsid w:val="00B902F9"/>
    <w:rsid w:val="00B904FF"/>
    <w:rsid w:val="00B90505"/>
    <w:rsid w:val="00B90540"/>
    <w:rsid w:val="00B90B03"/>
    <w:rsid w:val="00B90C33"/>
    <w:rsid w:val="00B90DBD"/>
    <w:rsid w:val="00B90DDE"/>
    <w:rsid w:val="00B90EAF"/>
    <w:rsid w:val="00B914D6"/>
    <w:rsid w:val="00B914DC"/>
    <w:rsid w:val="00B919DD"/>
    <w:rsid w:val="00B91CDA"/>
    <w:rsid w:val="00B91E7D"/>
    <w:rsid w:val="00B92174"/>
    <w:rsid w:val="00B92361"/>
    <w:rsid w:val="00B923E5"/>
    <w:rsid w:val="00B9253D"/>
    <w:rsid w:val="00B93313"/>
    <w:rsid w:val="00B935C2"/>
    <w:rsid w:val="00B93713"/>
    <w:rsid w:val="00B9381B"/>
    <w:rsid w:val="00B9389B"/>
    <w:rsid w:val="00B9399F"/>
    <w:rsid w:val="00B93D3F"/>
    <w:rsid w:val="00B93F6D"/>
    <w:rsid w:val="00B9410F"/>
    <w:rsid w:val="00B947D3"/>
    <w:rsid w:val="00B94C28"/>
    <w:rsid w:val="00B952CA"/>
    <w:rsid w:val="00B954C4"/>
    <w:rsid w:val="00B95514"/>
    <w:rsid w:val="00B95542"/>
    <w:rsid w:val="00B95B17"/>
    <w:rsid w:val="00B95D6C"/>
    <w:rsid w:val="00B95E37"/>
    <w:rsid w:val="00B9612C"/>
    <w:rsid w:val="00B96611"/>
    <w:rsid w:val="00B966AB"/>
    <w:rsid w:val="00B96FDB"/>
    <w:rsid w:val="00B977C4"/>
    <w:rsid w:val="00B97AB3"/>
    <w:rsid w:val="00B97B32"/>
    <w:rsid w:val="00B97B8E"/>
    <w:rsid w:val="00B97E32"/>
    <w:rsid w:val="00BA0229"/>
    <w:rsid w:val="00BA03B8"/>
    <w:rsid w:val="00BA0431"/>
    <w:rsid w:val="00BA0749"/>
    <w:rsid w:val="00BA0885"/>
    <w:rsid w:val="00BA0E85"/>
    <w:rsid w:val="00BA136F"/>
    <w:rsid w:val="00BA196C"/>
    <w:rsid w:val="00BA1CFD"/>
    <w:rsid w:val="00BA20C9"/>
    <w:rsid w:val="00BA2302"/>
    <w:rsid w:val="00BA2385"/>
    <w:rsid w:val="00BA298F"/>
    <w:rsid w:val="00BA2B04"/>
    <w:rsid w:val="00BA2C8B"/>
    <w:rsid w:val="00BA2DEC"/>
    <w:rsid w:val="00BA2EC2"/>
    <w:rsid w:val="00BA3077"/>
    <w:rsid w:val="00BA38A2"/>
    <w:rsid w:val="00BA3B59"/>
    <w:rsid w:val="00BA3E7E"/>
    <w:rsid w:val="00BA3E8C"/>
    <w:rsid w:val="00BA4190"/>
    <w:rsid w:val="00BA463E"/>
    <w:rsid w:val="00BA493B"/>
    <w:rsid w:val="00BA4B2B"/>
    <w:rsid w:val="00BA4BE9"/>
    <w:rsid w:val="00BA5044"/>
    <w:rsid w:val="00BA539D"/>
    <w:rsid w:val="00BA543D"/>
    <w:rsid w:val="00BA5675"/>
    <w:rsid w:val="00BA57E1"/>
    <w:rsid w:val="00BA5AD2"/>
    <w:rsid w:val="00BA5DDE"/>
    <w:rsid w:val="00BA5FDE"/>
    <w:rsid w:val="00BA607E"/>
    <w:rsid w:val="00BA61D6"/>
    <w:rsid w:val="00BA63B2"/>
    <w:rsid w:val="00BA64AF"/>
    <w:rsid w:val="00BA66A3"/>
    <w:rsid w:val="00BA6E39"/>
    <w:rsid w:val="00BA7108"/>
    <w:rsid w:val="00BA79E8"/>
    <w:rsid w:val="00BA7A53"/>
    <w:rsid w:val="00BA7B69"/>
    <w:rsid w:val="00BA7C0C"/>
    <w:rsid w:val="00BA7CFF"/>
    <w:rsid w:val="00BA7EBD"/>
    <w:rsid w:val="00BB031C"/>
    <w:rsid w:val="00BB0513"/>
    <w:rsid w:val="00BB0BFE"/>
    <w:rsid w:val="00BB0D99"/>
    <w:rsid w:val="00BB0F61"/>
    <w:rsid w:val="00BB0FE7"/>
    <w:rsid w:val="00BB10DA"/>
    <w:rsid w:val="00BB1234"/>
    <w:rsid w:val="00BB155C"/>
    <w:rsid w:val="00BB187C"/>
    <w:rsid w:val="00BB1B9C"/>
    <w:rsid w:val="00BB210A"/>
    <w:rsid w:val="00BB2492"/>
    <w:rsid w:val="00BB24B0"/>
    <w:rsid w:val="00BB2635"/>
    <w:rsid w:val="00BB2875"/>
    <w:rsid w:val="00BB331E"/>
    <w:rsid w:val="00BB35E2"/>
    <w:rsid w:val="00BB3963"/>
    <w:rsid w:val="00BB3B00"/>
    <w:rsid w:val="00BB3E92"/>
    <w:rsid w:val="00BB3EE9"/>
    <w:rsid w:val="00BB400F"/>
    <w:rsid w:val="00BB4287"/>
    <w:rsid w:val="00BB43CD"/>
    <w:rsid w:val="00BB4606"/>
    <w:rsid w:val="00BB48EF"/>
    <w:rsid w:val="00BB4D21"/>
    <w:rsid w:val="00BB525C"/>
    <w:rsid w:val="00BB5433"/>
    <w:rsid w:val="00BB586A"/>
    <w:rsid w:val="00BB5CCB"/>
    <w:rsid w:val="00BB5ED9"/>
    <w:rsid w:val="00BB6244"/>
    <w:rsid w:val="00BB64EA"/>
    <w:rsid w:val="00BB6B4C"/>
    <w:rsid w:val="00BB6BB5"/>
    <w:rsid w:val="00BB6C31"/>
    <w:rsid w:val="00BB6F95"/>
    <w:rsid w:val="00BB6FAA"/>
    <w:rsid w:val="00BB7718"/>
    <w:rsid w:val="00BB7853"/>
    <w:rsid w:val="00BC014A"/>
    <w:rsid w:val="00BC05CB"/>
    <w:rsid w:val="00BC0A73"/>
    <w:rsid w:val="00BC0A8A"/>
    <w:rsid w:val="00BC0FEF"/>
    <w:rsid w:val="00BC13ED"/>
    <w:rsid w:val="00BC13FA"/>
    <w:rsid w:val="00BC14F9"/>
    <w:rsid w:val="00BC19EC"/>
    <w:rsid w:val="00BC1BBF"/>
    <w:rsid w:val="00BC222D"/>
    <w:rsid w:val="00BC24DE"/>
    <w:rsid w:val="00BC2F5B"/>
    <w:rsid w:val="00BC32DB"/>
    <w:rsid w:val="00BC3708"/>
    <w:rsid w:val="00BC3809"/>
    <w:rsid w:val="00BC3F3A"/>
    <w:rsid w:val="00BC405B"/>
    <w:rsid w:val="00BC4557"/>
    <w:rsid w:val="00BC4606"/>
    <w:rsid w:val="00BC4661"/>
    <w:rsid w:val="00BC488D"/>
    <w:rsid w:val="00BC4A6C"/>
    <w:rsid w:val="00BC4AC2"/>
    <w:rsid w:val="00BC4B26"/>
    <w:rsid w:val="00BC4EC1"/>
    <w:rsid w:val="00BC4EF0"/>
    <w:rsid w:val="00BC5CDF"/>
    <w:rsid w:val="00BC5CE1"/>
    <w:rsid w:val="00BC61EF"/>
    <w:rsid w:val="00BC6300"/>
    <w:rsid w:val="00BC6343"/>
    <w:rsid w:val="00BC64A7"/>
    <w:rsid w:val="00BC6B6F"/>
    <w:rsid w:val="00BC6D13"/>
    <w:rsid w:val="00BC7216"/>
    <w:rsid w:val="00BC73AB"/>
    <w:rsid w:val="00BC74D1"/>
    <w:rsid w:val="00BC74E1"/>
    <w:rsid w:val="00BC7584"/>
    <w:rsid w:val="00BC76F1"/>
    <w:rsid w:val="00BC7B1C"/>
    <w:rsid w:val="00BC7C6D"/>
    <w:rsid w:val="00BC7F84"/>
    <w:rsid w:val="00BD012E"/>
    <w:rsid w:val="00BD04B8"/>
    <w:rsid w:val="00BD066E"/>
    <w:rsid w:val="00BD075D"/>
    <w:rsid w:val="00BD092D"/>
    <w:rsid w:val="00BD09B3"/>
    <w:rsid w:val="00BD0E99"/>
    <w:rsid w:val="00BD0FFA"/>
    <w:rsid w:val="00BD13B4"/>
    <w:rsid w:val="00BD1A71"/>
    <w:rsid w:val="00BD1A7D"/>
    <w:rsid w:val="00BD1D56"/>
    <w:rsid w:val="00BD1FE8"/>
    <w:rsid w:val="00BD25B0"/>
    <w:rsid w:val="00BD29C6"/>
    <w:rsid w:val="00BD2A4F"/>
    <w:rsid w:val="00BD34CA"/>
    <w:rsid w:val="00BD3628"/>
    <w:rsid w:val="00BD3DFC"/>
    <w:rsid w:val="00BD3E46"/>
    <w:rsid w:val="00BD418C"/>
    <w:rsid w:val="00BD46AB"/>
    <w:rsid w:val="00BD46DD"/>
    <w:rsid w:val="00BD4BBF"/>
    <w:rsid w:val="00BD4D4D"/>
    <w:rsid w:val="00BD5500"/>
    <w:rsid w:val="00BD5CE7"/>
    <w:rsid w:val="00BD5EDD"/>
    <w:rsid w:val="00BD5F5C"/>
    <w:rsid w:val="00BD5FFD"/>
    <w:rsid w:val="00BD6043"/>
    <w:rsid w:val="00BD60DE"/>
    <w:rsid w:val="00BD6210"/>
    <w:rsid w:val="00BD6A5F"/>
    <w:rsid w:val="00BD74C7"/>
    <w:rsid w:val="00BD7A71"/>
    <w:rsid w:val="00BD7FDA"/>
    <w:rsid w:val="00BE01D2"/>
    <w:rsid w:val="00BE0466"/>
    <w:rsid w:val="00BE0BBC"/>
    <w:rsid w:val="00BE0F86"/>
    <w:rsid w:val="00BE1C6E"/>
    <w:rsid w:val="00BE25D4"/>
    <w:rsid w:val="00BE27EF"/>
    <w:rsid w:val="00BE28ED"/>
    <w:rsid w:val="00BE2CB5"/>
    <w:rsid w:val="00BE352A"/>
    <w:rsid w:val="00BE3B26"/>
    <w:rsid w:val="00BE3C8A"/>
    <w:rsid w:val="00BE3F9E"/>
    <w:rsid w:val="00BE3FB6"/>
    <w:rsid w:val="00BE4005"/>
    <w:rsid w:val="00BE40D7"/>
    <w:rsid w:val="00BE44EE"/>
    <w:rsid w:val="00BE48F7"/>
    <w:rsid w:val="00BE4B7D"/>
    <w:rsid w:val="00BE4FAA"/>
    <w:rsid w:val="00BE5244"/>
    <w:rsid w:val="00BE5806"/>
    <w:rsid w:val="00BE59E1"/>
    <w:rsid w:val="00BE5C0E"/>
    <w:rsid w:val="00BE5D51"/>
    <w:rsid w:val="00BE5E5B"/>
    <w:rsid w:val="00BE61AB"/>
    <w:rsid w:val="00BE7FE5"/>
    <w:rsid w:val="00BF00AB"/>
    <w:rsid w:val="00BF00D4"/>
    <w:rsid w:val="00BF0147"/>
    <w:rsid w:val="00BF0A16"/>
    <w:rsid w:val="00BF0B0A"/>
    <w:rsid w:val="00BF0BE8"/>
    <w:rsid w:val="00BF0CC3"/>
    <w:rsid w:val="00BF0D10"/>
    <w:rsid w:val="00BF0DA0"/>
    <w:rsid w:val="00BF113A"/>
    <w:rsid w:val="00BF1525"/>
    <w:rsid w:val="00BF152B"/>
    <w:rsid w:val="00BF1DB4"/>
    <w:rsid w:val="00BF1EFF"/>
    <w:rsid w:val="00BF2305"/>
    <w:rsid w:val="00BF237E"/>
    <w:rsid w:val="00BF251C"/>
    <w:rsid w:val="00BF2798"/>
    <w:rsid w:val="00BF2BB5"/>
    <w:rsid w:val="00BF2E1B"/>
    <w:rsid w:val="00BF30A8"/>
    <w:rsid w:val="00BF368E"/>
    <w:rsid w:val="00BF3758"/>
    <w:rsid w:val="00BF393D"/>
    <w:rsid w:val="00BF3D69"/>
    <w:rsid w:val="00BF3D95"/>
    <w:rsid w:val="00BF4541"/>
    <w:rsid w:val="00BF47CE"/>
    <w:rsid w:val="00BF48A5"/>
    <w:rsid w:val="00BF493A"/>
    <w:rsid w:val="00BF49F9"/>
    <w:rsid w:val="00BF4ADF"/>
    <w:rsid w:val="00BF510C"/>
    <w:rsid w:val="00BF5201"/>
    <w:rsid w:val="00BF53E5"/>
    <w:rsid w:val="00BF5A69"/>
    <w:rsid w:val="00BF611B"/>
    <w:rsid w:val="00BF6730"/>
    <w:rsid w:val="00BF6A7A"/>
    <w:rsid w:val="00BF6C10"/>
    <w:rsid w:val="00BF6EF9"/>
    <w:rsid w:val="00C00583"/>
    <w:rsid w:val="00C005E6"/>
    <w:rsid w:val="00C00C83"/>
    <w:rsid w:val="00C00D9E"/>
    <w:rsid w:val="00C010E3"/>
    <w:rsid w:val="00C01492"/>
    <w:rsid w:val="00C017BA"/>
    <w:rsid w:val="00C01B7D"/>
    <w:rsid w:val="00C01C05"/>
    <w:rsid w:val="00C01C86"/>
    <w:rsid w:val="00C01DDD"/>
    <w:rsid w:val="00C023A8"/>
    <w:rsid w:val="00C02645"/>
    <w:rsid w:val="00C02918"/>
    <w:rsid w:val="00C02BBD"/>
    <w:rsid w:val="00C02D80"/>
    <w:rsid w:val="00C030A2"/>
    <w:rsid w:val="00C030DD"/>
    <w:rsid w:val="00C0317D"/>
    <w:rsid w:val="00C03ADE"/>
    <w:rsid w:val="00C03B99"/>
    <w:rsid w:val="00C03F4C"/>
    <w:rsid w:val="00C04739"/>
    <w:rsid w:val="00C049B0"/>
    <w:rsid w:val="00C04D60"/>
    <w:rsid w:val="00C04F0D"/>
    <w:rsid w:val="00C04FF1"/>
    <w:rsid w:val="00C05030"/>
    <w:rsid w:val="00C0509E"/>
    <w:rsid w:val="00C05117"/>
    <w:rsid w:val="00C05AC4"/>
    <w:rsid w:val="00C05E74"/>
    <w:rsid w:val="00C06436"/>
    <w:rsid w:val="00C06500"/>
    <w:rsid w:val="00C06A30"/>
    <w:rsid w:val="00C06E8B"/>
    <w:rsid w:val="00C07052"/>
    <w:rsid w:val="00C070F0"/>
    <w:rsid w:val="00C07AFD"/>
    <w:rsid w:val="00C10D99"/>
    <w:rsid w:val="00C116E6"/>
    <w:rsid w:val="00C11BC9"/>
    <w:rsid w:val="00C11E0C"/>
    <w:rsid w:val="00C12174"/>
    <w:rsid w:val="00C12D77"/>
    <w:rsid w:val="00C12DAB"/>
    <w:rsid w:val="00C139C4"/>
    <w:rsid w:val="00C139FD"/>
    <w:rsid w:val="00C13B9D"/>
    <w:rsid w:val="00C1426B"/>
    <w:rsid w:val="00C14658"/>
    <w:rsid w:val="00C147E0"/>
    <w:rsid w:val="00C14897"/>
    <w:rsid w:val="00C150E9"/>
    <w:rsid w:val="00C1516D"/>
    <w:rsid w:val="00C152AC"/>
    <w:rsid w:val="00C156C6"/>
    <w:rsid w:val="00C157A5"/>
    <w:rsid w:val="00C15C93"/>
    <w:rsid w:val="00C15DC2"/>
    <w:rsid w:val="00C16045"/>
    <w:rsid w:val="00C161B4"/>
    <w:rsid w:val="00C163E6"/>
    <w:rsid w:val="00C1644C"/>
    <w:rsid w:val="00C16577"/>
    <w:rsid w:val="00C169D3"/>
    <w:rsid w:val="00C1726C"/>
    <w:rsid w:val="00C173E8"/>
    <w:rsid w:val="00C1743C"/>
    <w:rsid w:val="00C17676"/>
    <w:rsid w:val="00C206E7"/>
    <w:rsid w:val="00C2096D"/>
    <w:rsid w:val="00C20993"/>
    <w:rsid w:val="00C209E3"/>
    <w:rsid w:val="00C20A38"/>
    <w:rsid w:val="00C20B25"/>
    <w:rsid w:val="00C20D4D"/>
    <w:rsid w:val="00C21022"/>
    <w:rsid w:val="00C215EB"/>
    <w:rsid w:val="00C21822"/>
    <w:rsid w:val="00C21CBB"/>
    <w:rsid w:val="00C226F5"/>
    <w:rsid w:val="00C228C4"/>
    <w:rsid w:val="00C2296F"/>
    <w:rsid w:val="00C22BCE"/>
    <w:rsid w:val="00C22FD4"/>
    <w:rsid w:val="00C23709"/>
    <w:rsid w:val="00C23726"/>
    <w:rsid w:val="00C239FF"/>
    <w:rsid w:val="00C23C87"/>
    <w:rsid w:val="00C23EAF"/>
    <w:rsid w:val="00C23EF6"/>
    <w:rsid w:val="00C2466F"/>
    <w:rsid w:val="00C24846"/>
    <w:rsid w:val="00C25273"/>
    <w:rsid w:val="00C252D0"/>
    <w:rsid w:val="00C25490"/>
    <w:rsid w:val="00C25906"/>
    <w:rsid w:val="00C2597C"/>
    <w:rsid w:val="00C259E9"/>
    <w:rsid w:val="00C25C23"/>
    <w:rsid w:val="00C25E3C"/>
    <w:rsid w:val="00C26040"/>
    <w:rsid w:val="00C2616E"/>
    <w:rsid w:val="00C26190"/>
    <w:rsid w:val="00C26297"/>
    <w:rsid w:val="00C2675B"/>
    <w:rsid w:val="00C26D07"/>
    <w:rsid w:val="00C274D1"/>
    <w:rsid w:val="00C2758C"/>
    <w:rsid w:val="00C279EA"/>
    <w:rsid w:val="00C27CB9"/>
    <w:rsid w:val="00C302B1"/>
    <w:rsid w:val="00C30623"/>
    <w:rsid w:val="00C30921"/>
    <w:rsid w:val="00C30E01"/>
    <w:rsid w:val="00C30F1C"/>
    <w:rsid w:val="00C310A6"/>
    <w:rsid w:val="00C313A1"/>
    <w:rsid w:val="00C31612"/>
    <w:rsid w:val="00C3161D"/>
    <w:rsid w:val="00C31A1F"/>
    <w:rsid w:val="00C31D8C"/>
    <w:rsid w:val="00C32170"/>
    <w:rsid w:val="00C32210"/>
    <w:rsid w:val="00C32250"/>
    <w:rsid w:val="00C322BC"/>
    <w:rsid w:val="00C32370"/>
    <w:rsid w:val="00C327A2"/>
    <w:rsid w:val="00C32A42"/>
    <w:rsid w:val="00C33067"/>
    <w:rsid w:val="00C33430"/>
    <w:rsid w:val="00C334A0"/>
    <w:rsid w:val="00C335CF"/>
    <w:rsid w:val="00C33737"/>
    <w:rsid w:val="00C337AE"/>
    <w:rsid w:val="00C33806"/>
    <w:rsid w:val="00C33BB0"/>
    <w:rsid w:val="00C33C46"/>
    <w:rsid w:val="00C34313"/>
    <w:rsid w:val="00C345BA"/>
    <w:rsid w:val="00C345E1"/>
    <w:rsid w:val="00C3471C"/>
    <w:rsid w:val="00C347CB"/>
    <w:rsid w:val="00C34E7C"/>
    <w:rsid w:val="00C350E6"/>
    <w:rsid w:val="00C35599"/>
    <w:rsid w:val="00C356CC"/>
    <w:rsid w:val="00C357CE"/>
    <w:rsid w:val="00C35A76"/>
    <w:rsid w:val="00C35ADD"/>
    <w:rsid w:val="00C36094"/>
    <w:rsid w:val="00C36421"/>
    <w:rsid w:val="00C36A74"/>
    <w:rsid w:val="00C36AD1"/>
    <w:rsid w:val="00C36E85"/>
    <w:rsid w:val="00C37298"/>
    <w:rsid w:val="00C373F0"/>
    <w:rsid w:val="00C37509"/>
    <w:rsid w:val="00C375BC"/>
    <w:rsid w:val="00C378E7"/>
    <w:rsid w:val="00C37972"/>
    <w:rsid w:val="00C37C7E"/>
    <w:rsid w:val="00C37F69"/>
    <w:rsid w:val="00C401D8"/>
    <w:rsid w:val="00C407FF"/>
    <w:rsid w:val="00C40A1C"/>
    <w:rsid w:val="00C40B0A"/>
    <w:rsid w:val="00C40C9D"/>
    <w:rsid w:val="00C40FD6"/>
    <w:rsid w:val="00C4102E"/>
    <w:rsid w:val="00C41569"/>
    <w:rsid w:val="00C41651"/>
    <w:rsid w:val="00C420DB"/>
    <w:rsid w:val="00C42358"/>
    <w:rsid w:val="00C42616"/>
    <w:rsid w:val="00C4279A"/>
    <w:rsid w:val="00C42C0A"/>
    <w:rsid w:val="00C42CEB"/>
    <w:rsid w:val="00C43191"/>
    <w:rsid w:val="00C434D5"/>
    <w:rsid w:val="00C434F7"/>
    <w:rsid w:val="00C4362E"/>
    <w:rsid w:val="00C43D2E"/>
    <w:rsid w:val="00C441C1"/>
    <w:rsid w:val="00C44617"/>
    <w:rsid w:val="00C4466D"/>
    <w:rsid w:val="00C453BF"/>
    <w:rsid w:val="00C453F8"/>
    <w:rsid w:val="00C45821"/>
    <w:rsid w:val="00C458F6"/>
    <w:rsid w:val="00C45B05"/>
    <w:rsid w:val="00C45FD9"/>
    <w:rsid w:val="00C46109"/>
    <w:rsid w:val="00C46208"/>
    <w:rsid w:val="00C46249"/>
    <w:rsid w:val="00C4671C"/>
    <w:rsid w:val="00C4680B"/>
    <w:rsid w:val="00C46924"/>
    <w:rsid w:val="00C46B84"/>
    <w:rsid w:val="00C47144"/>
    <w:rsid w:val="00C47476"/>
    <w:rsid w:val="00C4761D"/>
    <w:rsid w:val="00C4765B"/>
    <w:rsid w:val="00C47CF0"/>
    <w:rsid w:val="00C50369"/>
    <w:rsid w:val="00C5044B"/>
    <w:rsid w:val="00C5076D"/>
    <w:rsid w:val="00C507CA"/>
    <w:rsid w:val="00C509DB"/>
    <w:rsid w:val="00C50A6A"/>
    <w:rsid w:val="00C51357"/>
    <w:rsid w:val="00C514C0"/>
    <w:rsid w:val="00C5177A"/>
    <w:rsid w:val="00C5188E"/>
    <w:rsid w:val="00C51CF7"/>
    <w:rsid w:val="00C51D4B"/>
    <w:rsid w:val="00C5213D"/>
    <w:rsid w:val="00C522F2"/>
    <w:rsid w:val="00C52635"/>
    <w:rsid w:val="00C52671"/>
    <w:rsid w:val="00C52AE8"/>
    <w:rsid w:val="00C52B24"/>
    <w:rsid w:val="00C52C2A"/>
    <w:rsid w:val="00C5322C"/>
    <w:rsid w:val="00C5329B"/>
    <w:rsid w:val="00C53794"/>
    <w:rsid w:val="00C53A9A"/>
    <w:rsid w:val="00C54240"/>
    <w:rsid w:val="00C543DA"/>
    <w:rsid w:val="00C54826"/>
    <w:rsid w:val="00C54984"/>
    <w:rsid w:val="00C54A1B"/>
    <w:rsid w:val="00C54D37"/>
    <w:rsid w:val="00C5515E"/>
    <w:rsid w:val="00C55247"/>
    <w:rsid w:val="00C55376"/>
    <w:rsid w:val="00C553FC"/>
    <w:rsid w:val="00C55433"/>
    <w:rsid w:val="00C5562B"/>
    <w:rsid w:val="00C558CD"/>
    <w:rsid w:val="00C55AEC"/>
    <w:rsid w:val="00C5602F"/>
    <w:rsid w:val="00C561B7"/>
    <w:rsid w:val="00C56211"/>
    <w:rsid w:val="00C56467"/>
    <w:rsid w:val="00C56797"/>
    <w:rsid w:val="00C567CB"/>
    <w:rsid w:val="00C56B5A"/>
    <w:rsid w:val="00C56E22"/>
    <w:rsid w:val="00C57080"/>
    <w:rsid w:val="00C572E6"/>
    <w:rsid w:val="00C577DB"/>
    <w:rsid w:val="00C57A3C"/>
    <w:rsid w:val="00C57B5F"/>
    <w:rsid w:val="00C57CA7"/>
    <w:rsid w:val="00C57F78"/>
    <w:rsid w:val="00C602D4"/>
    <w:rsid w:val="00C60A27"/>
    <w:rsid w:val="00C60A96"/>
    <w:rsid w:val="00C60ADF"/>
    <w:rsid w:val="00C60C5B"/>
    <w:rsid w:val="00C60EF5"/>
    <w:rsid w:val="00C612E9"/>
    <w:rsid w:val="00C6142B"/>
    <w:rsid w:val="00C615BF"/>
    <w:rsid w:val="00C61717"/>
    <w:rsid w:val="00C619C5"/>
    <w:rsid w:val="00C619E1"/>
    <w:rsid w:val="00C61C07"/>
    <w:rsid w:val="00C61D42"/>
    <w:rsid w:val="00C62629"/>
    <w:rsid w:val="00C626B1"/>
    <w:rsid w:val="00C62F01"/>
    <w:rsid w:val="00C6317B"/>
    <w:rsid w:val="00C63B17"/>
    <w:rsid w:val="00C63BB9"/>
    <w:rsid w:val="00C63C75"/>
    <w:rsid w:val="00C6423A"/>
    <w:rsid w:val="00C64328"/>
    <w:rsid w:val="00C64460"/>
    <w:rsid w:val="00C6496A"/>
    <w:rsid w:val="00C64A43"/>
    <w:rsid w:val="00C64B9A"/>
    <w:rsid w:val="00C64EC2"/>
    <w:rsid w:val="00C6508D"/>
    <w:rsid w:val="00C658DE"/>
    <w:rsid w:val="00C66147"/>
    <w:rsid w:val="00C661EF"/>
    <w:rsid w:val="00C6642B"/>
    <w:rsid w:val="00C668FD"/>
    <w:rsid w:val="00C66A42"/>
    <w:rsid w:val="00C6711E"/>
    <w:rsid w:val="00C6715C"/>
    <w:rsid w:val="00C675C5"/>
    <w:rsid w:val="00C67CEB"/>
    <w:rsid w:val="00C70812"/>
    <w:rsid w:val="00C70A15"/>
    <w:rsid w:val="00C712BF"/>
    <w:rsid w:val="00C713C2"/>
    <w:rsid w:val="00C7144F"/>
    <w:rsid w:val="00C7187F"/>
    <w:rsid w:val="00C719BB"/>
    <w:rsid w:val="00C71EAD"/>
    <w:rsid w:val="00C722E7"/>
    <w:rsid w:val="00C72590"/>
    <w:rsid w:val="00C726C1"/>
    <w:rsid w:val="00C72896"/>
    <w:rsid w:val="00C72B72"/>
    <w:rsid w:val="00C73298"/>
    <w:rsid w:val="00C734E3"/>
    <w:rsid w:val="00C7396C"/>
    <w:rsid w:val="00C73A49"/>
    <w:rsid w:val="00C73BD3"/>
    <w:rsid w:val="00C74362"/>
    <w:rsid w:val="00C744CF"/>
    <w:rsid w:val="00C74C51"/>
    <w:rsid w:val="00C74D14"/>
    <w:rsid w:val="00C74F6F"/>
    <w:rsid w:val="00C74F80"/>
    <w:rsid w:val="00C75143"/>
    <w:rsid w:val="00C7517D"/>
    <w:rsid w:val="00C752D8"/>
    <w:rsid w:val="00C755B5"/>
    <w:rsid w:val="00C756A4"/>
    <w:rsid w:val="00C75CF8"/>
    <w:rsid w:val="00C75D39"/>
    <w:rsid w:val="00C760CB"/>
    <w:rsid w:val="00C76A10"/>
    <w:rsid w:val="00C76A33"/>
    <w:rsid w:val="00C76E0D"/>
    <w:rsid w:val="00C76F80"/>
    <w:rsid w:val="00C770C8"/>
    <w:rsid w:val="00C7723E"/>
    <w:rsid w:val="00C774EC"/>
    <w:rsid w:val="00C7794E"/>
    <w:rsid w:val="00C779D4"/>
    <w:rsid w:val="00C77BD4"/>
    <w:rsid w:val="00C77E1C"/>
    <w:rsid w:val="00C80132"/>
    <w:rsid w:val="00C80471"/>
    <w:rsid w:val="00C80987"/>
    <w:rsid w:val="00C80CCE"/>
    <w:rsid w:val="00C80F16"/>
    <w:rsid w:val="00C80F34"/>
    <w:rsid w:val="00C812B9"/>
    <w:rsid w:val="00C81576"/>
    <w:rsid w:val="00C8159A"/>
    <w:rsid w:val="00C816B0"/>
    <w:rsid w:val="00C81796"/>
    <w:rsid w:val="00C81B5A"/>
    <w:rsid w:val="00C81C48"/>
    <w:rsid w:val="00C827FE"/>
    <w:rsid w:val="00C83448"/>
    <w:rsid w:val="00C8379A"/>
    <w:rsid w:val="00C8399F"/>
    <w:rsid w:val="00C83AE4"/>
    <w:rsid w:val="00C83B28"/>
    <w:rsid w:val="00C84282"/>
    <w:rsid w:val="00C8431C"/>
    <w:rsid w:val="00C8442E"/>
    <w:rsid w:val="00C84433"/>
    <w:rsid w:val="00C8469C"/>
    <w:rsid w:val="00C846EF"/>
    <w:rsid w:val="00C84DE9"/>
    <w:rsid w:val="00C8520A"/>
    <w:rsid w:val="00C852AB"/>
    <w:rsid w:val="00C8530D"/>
    <w:rsid w:val="00C853A1"/>
    <w:rsid w:val="00C855C9"/>
    <w:rsid w:val="00C856FD"/>
    <w:rsid w:val="00C859BC"/>
    <w:rsid w:val="00C85F9D"/>
    <w:rsid w:val="00C86137"/>
    <w:rsid w:val="00C8615F"/>
    <w:rsid w:val="00C86270"/>
    <w:rsid w:val="00C862E7"/>
    <w:rsid w:val="00C863F7"/>
    <w:rsid w:val="00C86C52"/>
    <w:rsid w:val="00C86C73"/>
    <w:rsid w:val="00C86CFF"/>
    <w:rsid w:val="00C86EA5"/>
    <w:rsid w:val="00C87115"/>
    <w:rsid w:val="00C8745A"/>
    <w:rsid w:val="00C874DC"/>
    <w:rsid w:val="00C8767C"/>
    <w:rsid w:val="00C87D40"/>
    <w:rsid w:val="00C9057D"/>
    <w:rsid w:val="00C90613"/>
    <w:rsid w:val="00C9083D"/>
    <w:rsid w:val="00C90BCB"/>
    <w:rsid w:val="00C90DA6"/>
    <w:rsid w:val="00C90E5E"/>
    <w:rsid w:val="00C90EE2"/>
    <w:rsid w:val="00C918B6"/>
    <w:rsid w:val="00C91A02"/>
    <w:rsid w:val="00C91B8A"/>
    <w:rsid w:val="00C92161"/>
    <w:rsid w:val="00C9231B"/>
    <w:rsid w:val="00C923D9"/>
    <w:rsid w:val="00C92539"/>
    <w:rsid w:val="00C92D23"/>
    <w:rsid w:val="00C93115"/>
    <w:rsid w:val="00C9333A"/>
    <w:rsid w:val="00C93361"/>
    <w:rsid w:val="00C93CA8"/>
    <w:rsid w:val="00C94813"/>
    <w:rsid w:val="00C94EE4"/>
    <w:rsid w:val="00C950EF"/>
    <w:rsid w:val="00C951DF"/>
    <w:rsid w:val="00C95427"/>
    <w:rsid w:val="00C959D0"/>
    <w:rsid w:val="00C95C4A"/>
    <w:rsid w:val="00C95D97"/>
    <w:rsid w:val="00C95E05"/>
    <w:rsid w:val="00C966EC"/>
    <w:rsid w:val="00C9680D"/>
    <w:rsid w:val="00C96AC8"/>
    <w:rsid w:val="00C96C36"/>
    <w:rsid w:val="00C96DE3"/>
    <w:rsid w:val="00C96EC6"/>
    <w:rsid w:val="00C970E7"/>
    <w:rsid w:val="00C9737C"/>
    <w:rsid w:val="00C97E22"/>
    <w:rsid w:val="00CA060B"/>
    <w:rsid w:val="00CA09F3"/>
    <w:rsid w:val="00CA0A9A"/>
    <w:rsid w:val="00CA0B81"/>
    <w:rsid w:val="00CA0BC2"/>
    <w:rsid w:val="00CA0F91"/>
    <w:rsid w:val="00CA115D"/>
    <w:rsid w:val="00CA11CE"/>
    <w:rsid w:val="00CA12D6"/>
    <w:rsid w:val="00CA13E4"/>
    <w:rsid w:val="00CA19FB"/>
    <w:rsid w:val="00CA1D2A"/>
    <w:rsid w:val="00CA3241"/>
    <w:rsid w:val="00CA3328"/>
    <w:rsid w:val="00CA3589"/>
    <w:rsid w:val="00CA3DB0"/>
    <w:rsid w:val="00CA3E04"/>
    <w:rsid w:val="00CA3FF4"/>
    <w:rsid w:val="00CA40EB"/>
    <w:rsid w:val="00CA4209"/>
    <w:rsid w:val="00CA4492"/>
    <w:rsid w:val="00CA472F"/>
    <w:rsid w:val="00CA47C2"/>
    <w:rsid w:val="00CA47EE"/>
    <w:rsid w:val="00CA49B9"/>
    <w:rsid w:val="00CA4E93"/>
    <w:rsid w:val="00CA4FD0"/>
    <w:rsid w:val="00CA5093"/>
    <w:rsid w:val="00CA57D0"/>
    <w:rsid w:val="00CA5A5E"/>
    <w:rsid w:val="00CA60B0"/>
    <w:rsid w:val="00CA6150"/>
    <w:rsid w:val="00CA68EA"/>
    <w:rsid w:val="00CA6BBA"/>
    <w:rsid w:val="00CA6F2C"/>
    <w:rsid w:val="00CA7340"/>
    <w:rsid w:val="00CA7507"/>
    <w:rsid w:val="00CA775C"/>
    <w:rsid w:val="00CA78D0"/>
    <w:rsid w:val="00CB0029"/>
    <w:rsid w:val="00CB0900"/>
    <w:rsid w:val="00CB0989"/>
    <w:rsid w:val="00CB1361"/>
    <w:rsid w:val="00CB2040"/>
    <w:rsid w:val="00CB207D"/>
    <w:rsid w:val="00CB24A7"/>
    <w:rsid w:val="00CB2B3E"/>
    <w:rsid w:val="00CB32E4"/>
    <w:rsid w:val="00CB3422"/>
    <w:rsid w:val="00CB3611"/>
    <w:rsid w:val="00CB374F"/>
    <w:rsid w:val="00CB397C"/>
    <w:rsid w:val="00CB3B02"/>
    <w:rsid w:val="00CB421D"/>
    <w:rsid w:val="00CB422B"/>
    <w:rsid w:val="00CB42DA"/>
    <w:rsid w:val="00CB465F"/>
    <w:rsid w:val="00CB4B31"/>
    <w:rsid w:val="00CB4D3B"/>
    <w:rsid w:val="00CB5115"/>
    <w:rsid w:val="00CB543B"/>
    <w:rsid w:val="00CB55E9"/>
    <w:rsid w:val="00CB5955"/>
    <w:rsid w:val="00CB5CEF"/>
    <w:rsid w:val="00CB5D67"/>
    <w:rsid w:val="00CB5DBA"/>
    <w:rsid w:val="00CB5E5F"/>
    <w:rsid w:val="00CB5F16"/>
    <w:rsid w:val="00CB605C"/>
    <w:rsid w:val="00CB64BA"/>
    <w:rsid w:val="00CB6786"/>
    <w:rsid w:val="00CB6E9A"/>
    <w:rsid w:val="00CB7480"/>
    <w:rsid w:val="00CB78F3"/>
    <w:rsid w:val="00CB7BB2"/>
    <w:rsid w:val="00CC00BE"/>
    <w:rsid w:val="00CC0321"/>
    <w:rsid w:val="00CC036B"/>
    <w:rsid w:val="00CC03E4"/>
    <w:rsid w:val="00CC07FA"/>
    <w:rsid w:val="00CC0911"/>
    <w:rsid w:val="00CC0C92"/>
    <w:rsid w:val="00CC0D01"/>
    <w:rsid w:val="00CC1103"/>
    <w:rsid w:val="00CC1184"/>
    <w:rsid w:val="00CC15A5"/>
    <w:rsid w:val="00CC17FE"/>
    <w:rsid w:val="00CC1900"/>
    <w:rsid w:val="00CC1A29"/>
    <w:rsid w:val="00CC1CD0"/>
    <w:rsid w:val="00CC1E57"/>
    <w:rsid w:val="00CC210A"/>
    <w:rsid w:val="00CC2269"/>
    <w:rsid w:val="00CC2281"/>
    <w:rsid w:val="00CC257B"/>
    <w:rsid w:val="00CC259E"/>
    <w:rsid w:val="00CC313B"/>
    <w:rsid w:val="00CC3189"/>
    <w:rsid w:val="00CC31E0"/>
    <w:rsid w:val="00CC359F"/>
    <w:rsid w:val="00CC371B"/>
    <w:rsid w:val="00CC395C"/>
    <w:rsid w:val="00CC3A1B"/>
    <w:rsid w:val="00CC3BEB"/>
    <w:rsid w:val="00CC3D85"/>
    <w:rsid w:val="00CC3F57"/>
    <w:rsid w:val="00CC4037"/>
    <w:rsid w:val="00CC4177"/>
    <w:rsid w:val="00CC492B"/>
    <w:rsid w:val="00CC4AF3"/>
    <w:rsid w:val="00CC524D"/>
    <w:rsid w:val="00CC5478"/>
    <w:rsid w:val="00CC59AB"/>
    <w:rsid w:val="00CC601A"/>
    <w:rsid w:val="00CC62DD"/>
    <w:rsid w:val="00CC6677"/>
    <w:rsid w:val="00CC669C"/>
    <w:rsid w:val="00CC67C7"/>
    <w:rsid w:val="00CC6DAD"/>
    <w:rsid w:val="00CC7483"/>
    <w:rsid w:val="00CC74DD"/>
    <w:rsid w:val="00CC782B"/>
    <w:rsid w:val="00CC7FC5"/>
    <w:rsid w:val="00CD0423"/>
    <w:rsid w:val="00CD05A1"/>
    <w:rsid w:val="00CD082D"/>
    <w:rsid w:val="00CD10D9"/>
    <w:rsid w:val="00CD1594"/>
    <w:rsid w:val="00CD1670"/>
    <w:rsid w:val="00CD1CE3"/>
    <w:rsid w:val="00CD212F"/>
    <w:rsid w:val="00CD2421"/>
    <w:rsid w:val="00CD298C"/>
    <w:rsid w:val="00CD2F0F"/>
    <w:rsid w:val="00CD3395"/>
    <w:rsid w:val="00CD38E2"/>
    <w:rsid w:val="00CD3AD8"/>
    <w:rsid w:val="00CD3B0C"/>
    <w:rsid w:val="00CD3E94"/>
    <w:rsid w:val="00CD45A6"/>
    <w:rsid w:val="00CD49E4"/>
    <w:rsid w:val="00CD4A28"/>
    <w:rsid w:val="00CD5514"/>
    <w:rsid w:val="00CD55F4"/>
    <w:rsid w:val="00CD56F1"/>
    <w:rsid w:val="00CD59FF"/>
    <w:rsid w:val="00CD5A1F"/>
    <w:rsid w:val="00CD5AD8"/>
    <w:rsid w:val="00CD5D26"/>
    <w:rsid w:val="00CD6061"/>
    <w:rsid w:val="00CD60DE"/>
    <w:rsid w:val="00CD62A5"/>
    <w:rsid w:val="00CD6AED"/>
    <w:rsid w:val="00CD6D2B"/>
    <w:rsid w:val="00CD6F40"/>
    <w:rsid w:val="00CD7458"/>
    <w:rsid w:val="00CD756B"/>
    <w:rsid w:val="00CD795F"/>
    <w:rsid w:val="00CD7B30"/>
    <w:rsid w:val="00CE08C0"/>
    <w:rsid w:val="00CE0965"/>
    <w:rsid w:val="00CE0E1A"/>
    <w:rsid w:val="00CE1575"/>
    <w:rsid w:val="00CE1A43"/>
    <w:rsid w:val="00CE1E5A"/>
    <w:rsid w:val="00CE1F2B"/>
    <w:rsid w:val="00CE228F"/>
    <w:rsid w:val="00CE2292"/>
    <w:rsid w:val="00CE22F3"/>
    <w:rsid w:val="00CE2392"/>
    <w:rsid w:val="00CE30C7"/>
    <w:rsid w:val="00CE36BF"/>
    <w:rsid w:val="00CE381B"/>
    <w:rsid w:val="00CE38BA"/>
    <w:rsid w:val="00CE39D7"/>
    <w:rsid w:val="00CE3A37"/>
    <w:rsid w:val="00CE3B1A"/>
    <w:rsid w:val="00CE4089"/>
    <w:rsid w:val="00CE421C"/>
    <w:rsid w:val="00CE42F2"/>
    <w:rsid w:val="00CE4C4F"/>
    <w:rsid w:val="00CE5088"/>
    <w:rsid w:val="00CE53CA"/>
    <w:rsid w:val="00CE5922"/>
    <w:rsid w:val="00CE5E0A"/>
    <w:rsid w:val="00CE5E15"/>
    <w:rsid w:val="00CE734D"/>
    <w:rsid w:val="00CE78AD"/>
    <w:rsid w:val="00CE7D5D"/>
    <w:rsid w:val="00CE7F96"/>
    <w:rsid w:val="00CF0015"/>
    <w:rsid w:val="00CF027C"/>
    <w:rsid w:val="00CF0466"/>
    <w:rsid w:val="00CF06BE"/>
    <w:rsid w:val="00CF06D9"/>
    <w:rsid w:val="00CF07E3"/>
    <w:rsid w:val="00CF0A82"/>
    <w:rsid w:val="00CF1023"/>
    <w:rsid w:val="00CF10AA"/>
    <w:rsid w:val="00CF11AC"/>
    <w:rsid w:val="00CF1223"/>
    <w:rsid w:val="00CF1303"/>
    <w:rsid w:val="00CF15F5"/>
    <w:rsid w:val="00CF165D"/>
    <w:rsid w:val="00CF170D"/>
    <w:rsid w:val="00CF1DFD"/>
    <w:rsid w:val="00CF230A"/>
    <w:rsid w:val="00CF23FB"/>
    <w:rsid w:val="00CF2AC8"/>
    <w:rsid w:val="00CF2CEC"/>
    <w:rsid w:val="00CF3350"/>
    <w:rsid w:val="00CF37F8"/>
    <w:rsid w:val="00CF3AF8"/>
    <w:rsid w:val="00CF3DDE"/>
    <w:rsid w:val="00CF447C"/>
    <w:rsid w:val="00CF47F0"/>
    <w:rsid w:val="00CF49E9"/>
    <w:rsid w:val="00CF4C78"/>
    <w:rsid w:val="00CF4E59"/>
    <w:rsid w:val="00CF520B"/>
    <w:rsid w:val="00CF5219"/>
    <w:rsid w:val="00CF539B"/>
    <w:rsid w:val="00CF549E"/>
    <w:rsid w:val="00CF563B"/>
    <w:rsid w:val="00CF5952"/>
    <w:rsid w:val="00CF5DB5"/>
    <w:rsid w:val="00CF60D1"/>
    <w:rsid w:val="00CF6970"/>
    <w:rsid w:val="00CF6D0C"/>
    <w:rsid w:val="00CF7063"/>
    <w:rsid w:val="00CF716D"/>
    <w:rsid w:val="00CF7873"/>
    <w:rsid w:val="00CF7C20"/>
    <w:rsid w:val="00CF7D4C"/>
    <w:rsid w:val="00D001DB"/>
    <w:rsid w:val="00D007A2"/>
    <w:rsid w:val="00D00C5D"/>
    <w:rsid w:val="00D01149"/>
    <w:rsid w:val="00D01ACE"/>
    <w:rsid w:val="00D01C95"/>
    <w:rsid w:val="00D01F23"/>
    <w:rsid w:val="00D02260"/>
    <w:rsid w:val="00D0235D"/>
    <w:rsid w:val="00D0298C"/>
    <w:rsid w:val="00D0306A"/>
    <w:rsid w:val="00D03629"/>
    <w:rsid w:val="00D0441A"/>
    <w:rsid w:val="00D04AF6"/>
    <w:rsid w:val="00D05147"/>
    <w:rsid w:val="00D05246"/>
    <w:rsid w:val="00D053AF"/>
    <w:rsid w:val="00D05D9A"/>
    <w:rsid w:val="00D05DFB"/>
    <w:rsid w:val="00D05F46"/>
    <w:rsid w:val="00D05F94"/>
    <w:rsid w:val="00D06012"/>
    <w:rsid w:val="00D063AC"/>
    <w:rsid w:val="00D0684B"/>
    <w:rsid w:val="00D069DE"/>
    <w:rsid w:val="00D06A8F"/>
    <w:rsid w:val="00D06A9B"/>
    <w:rsid w:val="00D06DE0"/>
    <w:rsid w:val="00D06F24"/>
    <w:rsid w:val="00D06F6C"/>
    <w:rsid w:val="00D071A2"/>
    <w:rsid w:val="00D0723B"/>
    <w:rsid w:val="00D07269"/>
    <w:rsid w:val="00D07F42"/>
    <w:rsid w:val="00D101DF"/>
    <w:rsid w:val="00D10505"/>
    <w:rsid w:val="00D10525"/>
    <w:rsid w:val="00D10695"/>
    <w:rsid w:val="00D1095F"/>
    <w:rsid w:val="00D11293"/>
    <w:rsid w:val="00D119A4"/>
    <w:rsid w:val="00D124B8"/>
    <w:rsid w:val="00D12A4F"/>
    <w:rsid w:val="00D12F7A"/>
    <w:rsid w:val="00D13135"/>
    <w:rsid w:val="00D1380B"/>
    <w:rsid w:val="00D13943"/>
    <w:rsid w:val="00D13BFF"/>
    <w:rsid w:val="00D13C69"/>
    <w:rsid w:val="00D13CAB"/>
    <w:rsid w:val="00D13F0F"/>
    <w:rsid w:val="00D141DE"/>
    <w:rsid w:val="00D1448C"/>
    <w:rsid w:val="00D14C6E"/>
    <w:rsid w:val="00D14D0E"/>
    <w:rsid w:val="00D1538C"/>
    <w:rsid w:val="00D1578F"/>
    <w:rsid w:val="00D15E23"/>
    <w:rsid w:val="00D15F59"/>
    <w:rsid w:val="00D1600D"/>
    <w:rsid w:val="00D16013"/>
    <w:rsid w:val="00D1662C"/>
    <w:rsid w:val="00D16BB1"/>
    <w:rsid w:val="00D16C52"/>
    <w:rsid w:val="00D16E58"/>
    <w:rsid w:val="00D17147"/>
    <w:rsid w:val="00D171BF"/>
    <w:rsid w:val="00D172E1"/>
    <w:rsid w:val="00D17506"/>
    <w:rsid w:val="00D17A62"/>
    <w:rsid w:val="00D17C72"/>
    <w:rsid w:val="00D201B0"/>
    <w:rsid w:val="00D2034A"/>
    <w:rsid w:val="00D20452"/>
    <w:rsid w:val="00D2068E"/>
    <w:rsid w:val="00D206BA"/>
    <w:rsid w:val="00D207BD"/>
    <w:rsid w:val="00D208AB"/>
    <w:rsid w:val="00D208C8"/>
    <w:rsid w:val="00D20A96"/>
    <w:rsid w:val="00D20D0A"/>
    <w:rsid w:val="00D20E2F"/>
    <w:rsid w:val="00D20E6C"/>
    <w:rsid w:val="00D21500"/>
    <w:rsid w:val="00D21915"/>
    <w:rsid w:val="00D21D33"/>
    <w:rsid w:val="00D21DB7"/>
    <w:rsid w:val="00D21F7C"/>
    <w:rsid w:val="00D22A67"/>
    <w:rsid w:val="00D22DC6"/>
    <w:rsid w:val="00D23200"/>
    <w:rsid w:val="00D2335E"/>
    <w:rsid w:val="00D235EA"/>
    <w:rsid w:val="00D238AF"/>
    <w:rsid w:val="00D23DE2"/>
    <w:rsid w:val="00D24337"/>
    <w:rsid w:val="00D24834"/>
    <w:rsid w:val="00D24842"/>
    <w:rsid w:val="00D2498A"/>
    <w:rsid w:val="00D24A54"/>
    <w:rsid w:val="00D24B0B"/>
    <w:rsid w:val="00D24C6A"/>
    <w:rsid w:val="00D24D27"/>
    <w:rsid w:val="00D25546"/>
    <w:rsid w:val="00D255E2"/>
    <w:rsid w:val="00D255FB"/>
    <w:rsid w:val="00D2571C"/>
    <w:rsid w:val="00D25BF8"/>
    <w:rsid w:val="00D25D42"/>
    <w:rsid w:val="00D261E1"/>
    <w:rsid w:val="00D26CAA"/>
    <w:rsid w:val="00D26CB6"/>
    <w:rsid w:val="00D26D1E"/>
    <w:rsid w:val="00D27002"/>
    <w:rsid w:val="00D27037"/>
    <w:rsid w:val="00D2714F"/>
    <w:rsid w:val="00D2782D"/>
    <w:rsid w:val="00D30126"/>
    <w:rsid w:val="00D302F8"/>
    <w:rsid w:val="00D303CE"/>
    <w:rsid w:val="00D30AD5"/>
    <w:rsid w:val="00D30B93"/>
    <w:rsid w:val="00D30C36"/>
    <w:rsid w:val="00D30C89"/>
    <w:rsid w:val="00D31655"/>
    <w:rsid w:val="00D316F5"/>
    <w:rsid w:val="00D31B05"/>
    <w:rsid w:val="00D31B24"/>
    <w:rsid w:val="00D31B98"/>
    <w:rsid w:val="00D31C7B"/>
    <w:rsid w:val="00D31CB6"/>
    <w:rsid w:val="00D32217"/>
    <w:rsid w:val="00D322F3"/>
    <w:rsid w:val="00D3230B"/>
    <w:rsid w:val="00D32741"/>
    <w:rsid w:val="00D32878"/>
    <w:rsid w:val="00D33108"/>
    <w:rsid w:val="00D3339A"/>
    <w:rsid w:val="00D334A1"/>
    <w:rsid w:val="00D34623"/>
    <w:rsid w:val="00D34988"/>
    <w:rsid w:val="00D34A52"/>
    <w:rsid w:val="00D34C40"/>
    <w:rsid w:val="00D34D92"/>
    <w:rsid w:val="00D34DA0"/>
    <w:rsid w:val="00D3502E"/>
    <w:rsid w:val="00D35563"/>
    <w:rsid w:val="00D35639"/>
    <w:rsid w:val="00D356F1"/>
    <w:rsid w:val="00D359B0"/>
    <w:rsid w:val="00D35A17"/>
    <w:rsid w:val="00D35BFE"/>
    <w:rsid w:val="00D361D3"/>
    <w:rsid w:val="00D36377"/>
    <w:rsid w:val="00D3647B"/>
    <w:rsid w:val="00D376A6"/>
    <w:rsid w:val="00D37867"/>
    <w:rsid w:val="00D37A72"/>
    <w:rsid w:val="00D37CA2"/>
    <w:rsid w:val="00D37E01"/>
    <w:rsid w:val="00D401FE"/>
    <w:rsid w:val="00D40257"/>
    <w:rsid w:val="00D4041C"/>
    <w:rsid w:val="00D405C0"/>
    <w:rsid w:val="00D40B2A"/>
    <w:rsid w:val="00D40C53"/>
    <w:rsid w:val="00D40C66"/>
    <w:rsid w:val="00D41016"/>
    <w:rsid w:val="00D41277"/>
    <w:rsid w:val="00D4134A"/>
    <w:rsid w:val="00D41494"/>
    <w:rsid w:val="00D41581"/>
    <w:rsid w:val="00D41809"/>
    <w:rsid w:val="00D41879"/>
    <w:rsid w:val="00D4189E"/>
    <w:rsid w:val="00D41905"/>
    <w:rsid w:val="00D419B3"/>
    <w:rsid w:val="00D41BF2"/>
    <w:rsid w:val="00D41BF4"/>
    <w:rsid w:val="00D423E9"/>
    <w:rsid w:val="00D43037"/>
    <w:rsid w:val="00D430C1"/>
    <w:rsid w:val="00D43339"/>
    <w:rsid w:val="00D43BA3"/>
    <w:rsid w:val="00D43E11"/>
    <w:rsid w:val="00D44164"/>
    <w:rsid w:val="00D44216"/>
    <w:rsid w:val="00D44263"/>
    <w:rsid w:val="00D446CF"/>
    <w:rsid w:val="00D452F4"/>
    <w:rsid w:val="00D4561A"/>
    <w:rsid w:val="00D458AF"/>
    <w:rsid w:val="00D45A3C"/>
    <w:rsid w:val="00D45DF4"/>
    <w:rsid w:val="00D460BB"/>
    <w:rsid w:val="00D461DE"/>
    <w:rsid w:val="00D46428"/>
    <w:rsid w:val="00D4668B"/>
    <w:rsid w:val="00D46DCC"/>
    <w:rsid w:val="00D475BD"/>
    <w:rsid w:val="00D47868"/>
    <w:rsid w:val="00D478B2"/>
    <w:rsid w:val="00D50317"/>
    <w:rsid w:val="00D50424"/>
    <w:rsid w:val="00D5048C"/>
    <w:rsid w:val="00D504D2"/>
    <w:rsid w:val="00D50515"/>
    <w:rsid w:val="00D50E12"/>
    <w:rsid w:val="00D50F12"/>
    <w:rsid w:val="00D512A6"/>
    <w:rsid w:val="00D51365"/>
    <w:rsid w:val="00D51429"/>
    <w:rsid w:val="00D51557"/>
    <w:rsid w:val="00D517D6"/>
    <w:rsid w:val="00D51A17"/>
    <w:rsid w:val="00D51DC2"/>
    <w:rsid w:val="00D51ECF"/>
    <w:rsid w:val="00D51F1F"/>
    <w:rsid w:val="00D52A3E"/>
    <w:rsid w:val="00D5300F"/>
    <w:rsid w:val="00D53207"/>
    <w:rsid w:val="00D5336E"/>
    <w:rsid w:val="00D53946"/>
    <w:rsid w:val="00D53977"/>
    <w:rsid w:val="00D53B66"/>
    <w:rsid w:val="00D53CB4"/>
    <w:rsid w:val="00D53E51"/>
    <w:rsid w:val="00D53FFB"/>
    <w:rsid w:val="00D549AB"/>
    <w:rsid w:val="00D54A51"/>
    <w:rsid w:val="00D54D78"/>
    <w:rsid w:val="00D555F1"/>
    <w:rsid w:val="00D55626"/>
    <w:rsid w:val="00D55712"/>
    <w:rsid w:val="00D5591F"/>
    <w:rsid w:val="00D55C19"/>
    <w:rsid w:val="00D55E57"/>
    <w:rsid w:val="00D564F3"/>
    <w:rsid w:val="00D56BA2"/>
    <w:rsid w:val="00D56C4B"/>
    <w:rsid w:val="00D56E76"/>
    <w:rsid w:val="00D57108"/>
    <w:rsid w:val="00D574EF"/>
    <w:rsid w:val="00D57582"/>
    <w:rsid w:val="00D57AEC"/>
    <w:rsid w:val="00D6088F"/>
    <w:rsid w:val="00D609A9"/>
    <w:rsid w:val="00D60A83"/>
    <w:rsid w:val="00D60AAE"/>
    <w:rsid w:val="00D60E96"/>
    <w:rsid w:val="00D6120F"/>
    <w:rsid w:val="00D616AB"/>
    <w:rsid w:val="00D61836"/>
    <w:rsid w:val="00D6183C"/>
    <w:rsid w:val="00D61A31"/>
    <w:rsid w:val="00D61F83"/>
    <w:rsid w:val="00D62D4A"/>
    <w:rsid w:val="00D62F3B"/>
    <w:rsid w:val="00D63223"/>
    <w:rsid w:val="00D6345D"/>
    <w:rsid w:val="00D637CC"/>
    <w:rsid w:val="00D63838"/>
    <w:rsid w:val="00D638A3"/>
    <w:rsid w:val="00D638F2"/>
    <w:rsid w:val="00D6410A"/>
    <w:rsid w:val="00D6438E"/>
    <w:rsid w:val="00D64480"/>
    <w:rsid w:val="00D6457B"/>
    <w:rsid w:val="00D64CC8"/>
    <w:rsid w:val="00D64DA8"/>
    <w:rsid w:val="00D64ECF"/>
    <w:rsid w:val="00D65083"/>
    <w:rsid w:val="00D6595E"/>
    <w:rsid w:val="00D65B23"/>
    <w:rsid w:val="00D65D9C"/>
    <w:rsid w:val="00D6621A"/>
    <w:rsid w:val="00D663BA"/>
    <w:rsid w:val="00D665BB"/>
    <w:rsid w:val="00D66649"/>
    <w:rsid w:val="00D6697C"/>
    <w:rsid w:val="00D66C71"/>
    <w:rsid w:val="00D66CB6"/>
    <w:rsid w:val="00D66DCB"/>
    <w:rsid w:val="00D670D1"/>
    <w:rsid w:val="00D672E1"/>
    <w:rsid w:val="00D67A29"/>
    <w:rsid w:val="00D67B6F"/>
    <w:rsid w:val="00D700E4"/>
    <w:rsid w:val="00D702D8"/>
    <w:rsid w:val="00D70684"/>
    <w:rsid w:val="00D70713"/>
    <w:rsid w:val="00D70865"/>
    <w:rsid w:val="00D70AA3"/>
    <w:rsid w:val="00D70B85"/>
    <w:rsid w:val="00D70D56"/>
    <w:rsid w:val="00D70DFB"/>
    <w:rsid w:val="00D70FD3"/>
    <w:rsid w:val="00D715CB"/>
    <w:rsid w:val="00D718BC"/>
    <w:rsid w:val="00D71AD7"/>
    <w:rsid w:val="00D71E0C"/>
    <w:rsid w:val="00D72418"/>
    <w:rsid w:val="00D724DC"/>
    <w:rsid w:val="00D72565"/>
    <w:rsid w:val="00D725ED"/>
    <w:rsid w:val="00D72618"/>
    <w:rsid w:val="00D72821"/>
    <w:rsid w:val="00D72A7F"/>
    <w:rsid w:val="00D72ACC"/>
    <w:rsid w:val="00D72DC1"/>
    <w:rsid w:val="00D73272"/>
    <w:rsid w:val="00D73483"/>
    <w:rsid w:val="00D73699"/>
    <w:rsid w:val="00D73DC7"/>
    <w:rsid w:val="00D742F2"/>
    <w:rsid w:val="00D7439C"/>
    <w:rsid w:val="00D7470E"/>
    <w:rsid w:val="00D748AC"/>
    <w:rsid w:val="00D7491B"/>
    <w:rsid w:val="00D74923"/>
    <w:rsid w:val="00D74A80"/>
    <w:rsid w:val="00D74CD9"/>
    <w:rsid w:val="00D74CE4"/>
    <w:rsid w:val="00D74E95"/>
    <w:rsid w:val="00D74EE1"/>
    <w:rsid w:val="00D750B0"/>
    <w:rsid w:val="00D752AA"/>
    <w:rsid w:val="00D75689"/>
    <w:rsid w:val="00D75844"/>
    <w:rsid w:val="00D75900"/>
    <w:rsid w:val="00D75A75"/>
    <w:rsid w:val="00D75E62"/>
    <w:rsid w:val="00D761A2"/>
    <w:rsid w:val="00D76B2C"/>
    <w:rsid w:val="00D76C75"/>
    <w:rsid w:val="00D76D6B"/>
    <w:rsid w:val="00D76EBA"/>
    <w:rsid w:val="00D76EEA"/>
    <w:rsid w:val="00D7703A"/>
    <w:rsid w:val="00D7704D"/>
    <w:rsid w:val="00D770FE"/>
    <w:rsid w:val="00D775E6"/>
    <w:rsid w:val="00D77705"/>
    <w:rsid w:val="00D7793E"/>
    <w:rsid w:val="00D77EA4"/>
    <w:rsid w:val="00D80364"/>
    <w:rsid w:val="00D80439"/>
    <w:rsid w:val="00D8071A"/>
    <w:rsid w:val="00D809B0"/>
    <w:rsid w:val="00D80BB4"/>
    <w:rsid w:val="00D80CD8"/>
    <w:rsid w:val="00D80E17"/>
    <w:rsid w:val="00D8115F"/>
    <w:rsid w:val="00D81DAC"/>
    <w:rsid w:val="00D81F27"/>
    <w:rsid w:val="00D81F88"/>
    <w:rsid w:val="00D8243C"/>
    <w:rsid w:val="00D824C8"/>
    <w:rsid w:val="00D825C9"/>
    <w:rsid w:val="00D82666"/>
    <w:rsid w:val="00D82B0E"/>
    <w:rsid w:val="00D830E0"/>
    <w:rsid w:val="00D8318E"/>
    <w:rsid w:val="00D83662"/>
    <w:rsid w:val="00D83679"/>
    <w:rsid w:val="00D837C8"/>
    <w:rsid w:val="00D83A68"/>
    <w:rsid w:val="00D83C18"/>
    <w:rsid w:val="00D83D9B"/>
    <w:rsid w:val="00D8428D"/>
    <w:rsid w:val="00D8433B"/>
    <w:rsid w:val="00D848A6"/>
    <w:rsid w:val="00D84AEE"/>
    <w:rsid w:val="00D84E6D"/>
    <w:rsid w:val="00D84FAC"/>
    <w:rsid w:val="00D850FC"/>
    <w:rsid w:val="00D85217"/>
    <w:rsid w:val="00D856F9"/>
    <w:rsid w:val="00D85C46"/>
    <w:rsid w:val="00D861BF"/>
    <w:rsid w:val="00D8651C"/>
    <w:rsid w:val="00D86591"/>
    <w:rsid w:val="00D86780"/>
    <w:rsid w:val="00D867DE"/>
    <w:rsid w:val="00D86849"/>
    <w:rsid w:val="00D86943"/>
    <w:rsid w:val="00D86A1F"/>
    <w:rsid w:val="00D870B2"/>
    <w:rsid w:val="00D870C0"/>
    <w:rsid w:val="00D87368"/>
    <w:rsid w:val="00D8752C"/>
    <w:rsid w:val="00D87D52"/>
    <w:rsid w:val="00D87E36"/>
    <w:rsid w:val="00D87E80"/>
    <w:rsid w:val="00D900C2"/>
    <w:rsid w:val="00D9035F"/>
    <w:rsid w:val="00D90798"/>
    <w:rsid w:val="00D90ADC"/>
    <w:rsid w:val="00D90DD1"/>
    <w:rsid w:val="00D9132C"/>
    <w:rsid w:val="00D914CA"/>
    <w:rsid w:val="00D91764"/>
    <w:rsid w:val="00D91B8E"/>
    <w:rsid w:val="00D91C91"/>
    <w:rsid w:val="00D9215A"/>
    <w:rsid w:val="00D92216"/>
    <w:rsid w:val="00D926E5"/>
    <w:rsid w:val="00D9270E"/>
    <w:rsid w:val="00D92A1D"/>
    <w:rsid w:val="00D92A9B"/>
    <w:rsid w:val="00D92B12"/>
    <w:rsid w:val="00D92D06"/>
    <w:rsid w:val="00D93004"/>
    <w:rsid w:val="00D93012"/>
    <w:rsid w:val="00D9333D"/>
    <w:rsid w:val="00D9354B"/>
    <w:rsid w:val="00D9386B"/>
    <w:rsid w:val="00D93DBC"/>
    <w:rsid w:val="00D93EFB"/>
    <w:rsid w:val="00D9456E"/>
    <w:rsid w:val="00D94798"/>
    <w:rsid w:val="00D94876"/>
    <w:rsid w:val="00D94FFF"/>
    <w:rsid w:val="00D95424"/>
    <w:rsid w:val="00D95A43"/>
    <w:rsid w:val="00D95BBD"/>
    <w:rsid w:val="00D95C09"/>
    <w:rsid w:val="00D95D44"/>
    <w:rsid w:val="00D95E8C"/>
    <w:rsid w:val="00D9602E"/>
    <w:rsid w:val="00D96E93"/>
    <w:rsid w:val="00D972AA"/>
    <w:rsid w:val="00D9770D"/>
    <w:rsid w:val="00D9787E"/>
    <w:rsid w:val="00DA042F"/>
    <w:rsid w:val="00DA098C"/>
    <w:rsid w:val="00DA0AA9"/>
    <w:rsid w:val="00DA0E65"/>
    <w:rsid w:val="00DA126B"/>
    <w:rsid w:val="00DA12BC"/>
    <w:rsid w:val="00DA169A"/>
    <w:rsid w:val="00DA1950"/>
    <w:rsid w:val="00DA19CA"/>
    <w:rsid w:val="00DA1CBC"/>
    <w:rsid w:val="00DA1DAC"/>
    <w:rsid w:val="00DA1E06"/>
    <w:rsid w:val="00DA1E56"/>
    <w:rsid w:val="00DA1E98"/>
    <w:rsid w:val="00DA1F08"/>
    <w:rsid w:val="00DA1FC5"/>
    <w:rsid w:val="00DA1FD6"/>
    <w:rsid w:val="00DA22C1"/>
    <w:rsid w:val="00DA230F"/>
    <w:rsid w:val="00DA24CA"/>
    <w:rsid w:val="00DA25A0"/>
    <w:rsid w:val="00DA2897"/>
    <w:rsid w:val="00DA28D7"/>
    <w:rsid w:val="00DA2950"/>
    <w:rsid w:val="00DA2CA9"/>
    <w:rsid w:val="00DA306F"/>
    <w:rsid w:val="00DA37B8"/>
    <w:rsid w:val="00DA3B81"/>
    <w:rsid w:val="00DA3C15"/>
    <w:rsid w:val="00DA445A"/>
    <w:rsid w:val="00DA4BC8"/>
    <w:rsid w:val="00DA4C1E"/>
    <w:rsid w:val="00DA4EC5"/>
    <w:rsid w:val="00DA558F"/>
    <w:rsid w:val="00DA5680"/>
    <w:rsid w:val="00DA569E"/>
    <w:rsid w:val="00DA5ED0"/>
    <w:rsid w:val="00DA5ED6"/>
    <w:rsid w:val="00DA5FDC"/>
    <w:rsid w:val="00DA6139"/>
    <w:rsid w:val="00DA61BF"/>
    <w:rsid w:val="00DA61F1"/>
    <w:rsid w:val="00DA62C5"/>
    <w:rsid w:val="00DA63E3"/>
    <w:rsid w:val="00DA6768"/>
    <w:rsid w:val="00DA681B"/>
    <w:rsid w:val="00DA6830"/>
    <w:rsid w:val="00DA6B30"/>
    <w:rsid w:val="00DA6C75"/>
    <w:rsid w:val="00DA6CE9"/>
    <w:rsid w:val="00DA731F"/>
    <w:rsid w:val="00DA742B"/>
    <w:rsid w:val="00DA759E"/>
    <w:rsid w:val="00DA7C58"/>
    <w:rsid w:val="00DA7F54"/>
    <w:rsid w:val="00DB00BF"/>
    <w:rsid w:val="00DB0359"/>
    <w:rsid w:val="00DB0576"/>
    <w:rsid w:val="00DB05DD"/>
    <w:rsid w:val="00DB07EE"/>
    <w:rsid w:val="00DB0853"/>
    <w:rsid w:val="00DB09E2"/>
    <w:rsid w:val="00DB0D20"/>
    <w:rsid w:val="00DB0E1C"/>
    <w:rsid w:val="00DB1061"/>
    <w:rsid w:val="00DB12C3"/>
    <w:rsid w:val="00DB14CB"/>
    <w:rsid w:val="00DB17C5"/>
    <w:rsid w:val="00DB1BCB"/>
    <w:rsid w:val="00DB1C4C"/>
    <w:rsid w:val="00DB1D7B"/>
    <w:rsid w:val="00DB1DC3"/>
    <w:rsid w:val="00DB22C2"/>
    <w:rsid w:val="00DB23BF"/>
    <w:rsid w:val="00DB24D1"/>
    <w:rsid w:val="00DB2BBD"/>
    <w:rsid w:val="00DB2F2D"/>
    <w:rsid w:val="00DB32EA"/>
    <w:rsid w:val="00DB33DD"/>
    <w:rsid w:val="00DB3618"/>
    <w:rsid w:val="00DB3D73"/>
    <w:rsid w:val="00DB3E19"/>
    <w:rsid w:val="00DB3E3A"/>
    <w:rsid w:val="00DB4DE1"/>
    <w:rsid w:val="00DB5141"/>
    <w:rsid w:val="00DB59E6"/>
    <w:rsid w:val="00DB5E4B"/>
    <w:rsid w:val="00DB61C0"/>
    <w:rsid w:val="00DB6D1F"/>
    <w:rsid w:val="00DB702C"/>
    <w:rsid w:val="00DB71A6"/>
    <w:rsid w:val="00DB7576"/>
    <w:rsid w:val="00DB78CB"/>
    <w:rsid w:val="00DB7B57"/>
    <w:rsid w:val="00DB7FA7"/>
    <w:rsid w:val="00DC007E"/>
    <w:rsid w:val="00DC00A4"/>
    <w:rsid w:val="00DC03D7"/>
    <w:rsid w:val="00DC07A3"/>
    <w:rsid w:val="00DC07EB"/>
    <w:rsid w:val="00DC0F53"/>
    <w:rsid w:val="00DC0F7B"/>
    <w:rsid w:val="00DC161D"/>
    <w:rsid w:val="00DC1CF5"/>
    <w:rsid w:val="00DC22FC"/>
    <w:rsid w:val="00DC2749"/>
    <w:rsid w:val="00DC284C"/>
    <w:rsid w:val="00DC2A18"/>
    <w:rsid w:val="00DC3021"/>
    <w:rsid w:val="00DC31E9"/>
    <w:rsid w:val="00DC335F"/>
    <w:rsid w:val="00DC3B86"/>
    <w:rsid w:val="00DC467B"/>
    <w:rsid w:val="00DC4D38"/>
    <w:rsid w:val="00DC4D6E"/>
    <w:rsid w:val="00DC4EF3"/>
    <w:rsid w:val="00DC4F48"/>
    <w:rsid w:val="00DC4FBD"/>
    <w:rsid w:val="00DC56E1"/>
    <w:rsid w:val="00DC5B21"/>
    <w:rsid w:val="00DC5B2F"/>
    <w:rsid w:val="00DC5BC3"/>
    <w:rsid w:val="00DC675F"/>
    <w:rsid w:val="00DC6977"/>
    <w:rsid w:val="00DC697F"/>
    <w:rsid w:val="00DC69C2"/>
    <w:rsid w:val="00DC6CE5"/>
    <w:rsid w:val="00DC6E76"/>
    <w:rsid w:val="00DC7327"/>
    <w:rsid w:val="00DC75EA"/>
    <w:rsid w:val="00DC7823"/>
    <w:rsid w:val="00DC78DC"/>
    <w:rsid w:val="00DC7D2B"/>
    <w:rsid w:val="00DC7DB8"/>
    <w:rsid w:val="00DC7F7A"/>
    <w:rsid w:val="00DD0518"/>
    <w:rsid w:val="00DD0BA3"/>
    <w:rsid w:val="00DD0BB1"/>
    <w:rsid w:val="00DD0BC4"/>
    <w:rsid w:val="00DD0C59"/>
    <w:rsid w:val="00DD156A"/>
    <w:rsid w:val="00DD183C"/>
    <w:rsid w:val="00DD1A29"/>
    <w:rsid w:val="00DD1D80"/>
    <w:rsid w:val="00DD1F21"/>
    <w:rsid w:val="00DD1F2C"/>
    <w:rsid w:val="00DD221E"/>
    <w:rsid w:val="00DD2B28"/>
    <w:rsid w:val="00DD2BB3"/>
    <w:rsid w:val="00DD2E5A"/>
    <w:rsid w:val="00DD357E"/>
    <w:rsid w:val="00DD3B01"/>
    <w:rsid w:val="00DD3D41"/>
    <w:rsid w:val="00DD3D75"/>
    <w:rsid w:val="00DD3E08"/>
    <w:rsid w:val="00DD499B"/>
    <w:rsid w:val="00DD49AA"/>
    <w:rsid w:val="00DD4E46"/>
    <w:rsid w:val="00DD4FCC"/>
    <w:rsid w:val="00DD5011"/>
    <w:rsid w:val="00DD5261"/>
    <w:rsid w:val="00DD6092"/>
    <w:rsid w:val="00DD61D4"/>
    <w:rsid w:val="00DD627B"/>
    <w:rsid w:val="00DD647D"/>
    <w:rsid w:val="00DD724E"/>
    <w:rsid w:val="00DD7517"/>
    <w:rsid w:val="00DD766F"/>
    <w:rsid w:val="00DE09E4"/>
    <w:rsid w:val="00DE0D70"/>
    <w:rsid w:val="00DE10FA"/>
    <w:rsid w:val="00DE112C"/>
    <w:rsid w:val="00DE1999"/>
    <w:rsid w:val="00DE1A38"/>
    <w:rsid w:val="00DE1B5D"/>
    <w:rsid w:val="00DE1D55"/>
    <w:rsid w:val="00DE2979"/>
    <w:rsid w:val="00DE2C35"/>
    <w:rsid w:val="00DE2D94"/>
    <w:rsid w:val="00DE30A7"/>
    <w:rsid w:val="00DE30C4"/>
    <w:rsid w:val="00DE3520"/>
    <w:rsid w:val="00DE3A31"/>
    <w:rsid w:val="00DE3D6B"/>
    <w:rsid w:val="00DE420B"/>
    <w:rsid w:val="00DE4292"/>
    <w:rsid w:val="00DE470D"/>
    <w:rsid w:val="00DE4A25"/>
    <w:rsid w:val="00DE4CB1"/>
    <w:rsid w:val="00DE56C3"/>
    <w:rsid w:val="00DE5902"/>
    <w:rsid w:val="00DE61D1"/>
    <w:rsid w:val="00DE6972"/>
    <w:rsid w:val="00DE6A34"/>
    <w:rsid w:val="00DE6F44"/>
    <w:rsid w:val="00DE74AB"/>
    <w:rsid w:val="00DE762C"/>
    <w:rsid w:val="00DE7653"/>
    <w:rsid w:val="00DE7AE2"/>
    <w:rsid w:val="00DE7DD0"/>
    <w:rsid w:val="00DF00E9"/>
    <w:rsid w:val="00DF0321"/>
    <w:rsid w:val="00DF0914"/>
    <w:rsid w:val="00DF0B2A"/>
    <w:rsid w:val="00DF0FC2"/>
    <w:rsid w:val="00DF1235"/>
    <w:rsid w:val="00DF133A"/>
    <w:rsid w:val="00DF163E"/>
    <w:rsid w:val="00DF1AF8"/>
    <w:rsid w:val="00DF1E20"/>
    <w:rsid w:val="00DF2245"/>
    <w:rsid w:val="00DF2D8B"/>
    <w:rsid w:val="00DF34EB"/>
    <w:rsid w:val="00DF360B"/>
    <w:rsid w:val="00DF3D33"/>
    <w:rsid w:val="00DF4F2E"/>
    <w:rsid w:val="00DF5310"/>
    <w:rsid w:val="00DF53FC"/>
    <w:rsid w:val="00DF5881"/>
    <w:rsid w:val="00DF5A3B"/>
    <w:rsid w:val="00DF623C"/>
    <w:rsid w:val="00DF62B2"/>
    <w:rsid w:val="00DF62BF"/>
    <w:rsid w:val="00DF63E4"/>
    <w:rsid w:val="00DF662F"/>
    <w:rsid w:val="00DF67D4"/>
    <w:rsid w:val="00DF6D1B"/>
    <w:rsid w:val="00DF731A"/>
    <w:rsid w:val="00E0031B"/>
    <w:rsid w:val="00E00480"/>
    <w:rsid w:val="00E00ACF"/>
    <w:rsid w:val="00E00C53"/>
    <w:rsid w:val="00E00F82"/>
    <w:rsid w:val="00E0105B"/>
    <w:rsid w:val="00E017DD"/>
    <w:rsid w:val="00E01948"/>
    <w:rsid w:val="00E01DEF"/>
    <w:rsid w:val="00E01FF7"/>
    <w:rsid w:val="00E023C8"/>
    <w:rsid w:val="00E02569"/>
    <w:rsid w:val="00E02AF1"/>
    <w:rsid w:val="00E02CF7"/>
    <w:rsid w:val="00E02DD6"/>
    <w:rsid w:val="00E032F4"/>
    <w:rsid w:val="00E0358B"/>
    <w:rsid w:val="00E03845"/>
    <w:rsid w:val="00E039C2"/>
    <w:rsid w:val="00E03A97"/>
    <w:rsid w:val="00E03E54"/>
    <w:rsid w:val="00E0441F"/>
    <w:rsid w:val="00E04599"/>
    <w:rsid w:val="00E0459E"/>
    <w:rsid w:val="00E04AC5"/>
    <w:rsid w:val="00E051E1"/>
    <w:rsid w:val="00E0591F"/>
    <w:rsid w:val="00E05DBD"/>
    <w:rsid w:val="00E060CC"/>
    <w:rsid w:val="00E062EC"/>
    <w:rsid w:val="00E06424"/>
    <w:rsid w:val="00E06555"/>
    <w:rsid w:val="00E06572"/>
    <w:rsid w:val="00E069CB"/>
    <w:rsid w:val="00E06D7D"/>
    <w:rsid w:val="00E06EC5"/>
    <w:rsid w:val="00E071C1"/>
    <w:rsid w:val="00E07701"/>
    <w:rsid w:val="00E07C50"/>
    <w:rsid w:val="00E07E5C"/>
    <w:rsid w:val="00E1011D"/>
    <w:rsid w:val="00E10180"/>
    <w:rsid w:val="00E101CF"/>
    <w:rsid w:val="00E101D0"/>
    <w:rsid w:val="00E10409"/>
    <w:rsid w:val="00E1055B"/>
    <w:rsid w:val="00E10713"/>
    <w:rsid w:val="00E10C9B"/>
    <w:rsid w:val="00E10D8B"/>
    <w:rsid w:val="00E10F5D"/>
    <w:rsid w:val="00E10F9D"/>
    <w:rsid w:val="00E11299"/>
    <w:rsid w:val="00E112EA"/>
    <w:rsid w:val="00E115C9"/>
    <w:rsid w:val="00E1173E"/>
    <w:rsid w:val="00E11B14"/>
    <w:rsid w:val="00E11C4C"/>
    <w:rsid w:val="00E12162"/>
    <w:rsid w:val="00E122DF"/>
    <w:rsid w:val="00E126C5"/>
    <w:rsid w:val="00E1277C"/>
    <w:rsid w:val="00E130AF"/>
    <w:rsid w:val="00E132A0"/>
    <w:rsid w:val="00E13328"/>
    <w:rsid w:val="00E13400"/>
    <w:rsid w:val="00E13414"/>
    <w:rsid w:val="00E13B32"/>
    <w:rsid w:val="00E14404"/>
    <w:rsid w:val="00E1472A"/>
    <w:rsid w:val="00E148AB"/>
    <w:rsid w:val="00E14D77"/>
    <w:rsid w:val="00E1516B"/>
    <w:rsid w:val="00E1520D"/>
    <w:rsid w:val="00E1558B"/>
    <w:rsid w:val="00E15B59"/>
    <w:rsid w:val="00E15D34"/>
    <w:rsid w:val="00E166B4"/>
    <w:rsid w:val="00E16943"/>
    <w:rsid w:val="00E16CFD"/>
    <w:rsid w:val="00E17165"/>
    <w:rsid w:val="00E17427"/>
    <w:rsid w:val="00E177B7"/>
    <w:rsid w:val="00E1793E"/>
    <w:rsid w:val="00E17EB8"/>
    <w:rsid w:val="00E17F09"/>
    <w:rsid w:val="00E17F35"/>
    <w:rsid w:val="00E17F74"/>
    <w:rsid w:val="00E203A2"/>
    <w:rsid w:val="00E20620"/>
    <w:rsid w:val="00E20628"/>
    <w:rsid w:val="00E20753"/>
    <w:rsid w:val="00E20929"/>
    <w:rsid w:val="00E212DD"/>
    <w:rsid w:val="00E21637"/>
    <w:rsid w:val="00E21A7A"/>
    <w:rsid w:val="00E21D74"/>
    <w:rsid w:val="00E22316"/>
    <w:rsid w:val="00E2235E"/>
    <w:rsid w:val="00E229A4"/>
    <w:rsid w:val="00E22E35"/>
    <w:rsid w:val="00E236A7"/>
    <w:rsid w:val="00E2370D"/>
    <w:rsid w:val="00E237DA"/>
    <w:rsid w:val="00E23B80"/>
    <w:rsid w:val="00E23ED2"/>
    <w:rsid w:val="00E24539"/>
    <w:rsid w:val="00E247EE"/>
    <w:rsid w:val="00E24CE9"/>
    <w:rsid w:val="00E24DC1"/>
    <w:rsid w:val="00E25171"/>
    <w:rsid w:val="00E25436"/>
    <w:rsid w:val="00E257DA"/>
    <w:rsid w:val="00E25F75"/>
    <w:rsid w:val="00E2635E"/>
    <w:rsid w:val="00E2773E"/>
    <w:rsid w:val="00E2783B"/>
    <w:rsid w:val="00E27B4A"/>
    <w:rsid w:val="00E27C8B"/>
    <w:rsid w:val="00E3027E"/>
    <w:rsid w:val="00E30951"/>
    <w:rsid w:val="00E309A5"/>
    <w:rsid w:val="00E310B6"/>
    <w:rsid w:val="00E31705"/>
    <w:rsid w:val="00E3184B"/>
    <w:rsid w:val="00E31A8A"/>
    <w:rsid w:val="00E326D2"/>
    <w:rsid w:val="00E329B9"/>
    <w:rsid w:val="00E32C51"/>
    <w:rsid w:val="00E32CAC"/>
    <w:rsid w:val="00E32F00"/>
    <w:rsid w:val="00E335B9"/>
    <w:rsid w:val="00E338FE"/>
    <w:rsid w:val="00E33945"/>
    <w:rsid w:val="00E33C2D"/>
    <w:rsid w:val="00E33D4E"/>
    <w:rsid w:val="00E33F58"/>
    <w:rsid w:val="00E34212"/>
    <w:rsid w:val="00E34350"/>
    <w:rsid w:val="00E3477B"/>
    <w:rsid w:val="00E34BA7"/>
    <w:rsid w:val="00E34EE3"/>
    <w:rsid w:val="00E35966"/>
    <w:rsid w:val="00E35DE5"/>
    <w:rsid w:val="00E367FE"/>
    <w:rsid w:val="00E36B5F"/>
    <w:rsid w:val="00E36E7A"/>
    <w:rsid w:val="00E37160"/>
    <w:rsid w:val="00E3723F"/>
    <w:rsid w:val="00E373EC"/>
    <w:rsid w:val="00E37B65"/>
    <w:rsid w:val="00E37D96"/>
    <w:rsid w:val="00E40B5E"/>
    <w:rsid w:val="00E4103D"/>
    <w:rsid w:val="00E4156E"/>
    <w:rsid w:val="00E41A79"/>
    <w:rsid w:val="00E41D0E"/>
    <w:rsid w:val="00E422D8"/>
    <w:rsid w:val="00E4264C"/>
    <w:rsid w:val="00E426F2"/>
    <w:rsid w:val="00E42A7D"/>
    <w:rsid w:val="00E43467"/>
    <w:rsid w:val="00E43597"/>
    <w:rsid w:val="00E43B0D"/>
    <w:rsid w:val="00E43C1F"/>
    <w:rsid w:val="00E43C9A"/>
    <w:rsid w:val="00E43FC0"/>
    <w:rsid w:val="00E44105"/>
    <w:rsid w:val="00E441C8"/>
    <w:rsid w:val="00E445D4"/>
    <w:rsid w:val="00E44635"/>
    <w:rsid w:val="00E447AB"/>
    <w:rsid w:val="00E44853"/>
    <w:rsid w:val="00E44859"/>
    <w:rsid w:val="00E44A73"/>
    <w:rsid w:val="00E44F97"/>
    <w:rsid w:val="00E4518E"/>
    <w:rsid w:val="00E45455"/>
    <w:rsid w:val="00E455CF"/>
    <w:rsid w:val="00E4570B"/>
    <w:rsid w:val="00E45B96"/>
    <w:rsid w:val="00E45C11"/>
    <w:rsid w:val="00E45CCA"/>
    <w:rsid w:val="00E45EEC"/>
    <w:rsid w:val="00E46194"/>
    <w:rsid w:val="00E4652E"/>
    <w:rsid w:val="00E46C16"/>
    <w:rsid w:val="00E46F0D"/>
    <w:rsid w:val="00E4726A"/>
    <w:rsid w:val="00E47851"/>
    <w:rsid w:val="00E47BBE"/>
    <w:rsid w:val="00E47C81"/>
    <w:rsid w:val="00E47FD9"/>
    <w:rsid w:val="00E47FE4"/>
    <w:rsid w:val="00E501FB"/>
    <w:rsid w:val="00E503C2"/>
    <w:rsid w:val="00E504E7"/>
    <w:rsid w:val="00E5070F"/>
    <w:rsid w:val="00E50C96"/>
    <w:rsid w:val="00E51685"/>
    <w:rsid w:val="00E518A5"/>
    <w:rsid w:val="00E51E1D"/>
    <w:rsid w:val="00E522FE"/>
    <w:rsid w:val="00E5356B"/>
    <w:rsid w:val="00E53850"/>
    <w:rsid w:val="00E53A41"/>
    <w:rsid w:val="00E53D0E"/>
    <w:rsid w:val="00E54242"/>
    <w:rsid w:val="00E5439B"/>
    <w:rsid w:val="00E54925"/>
    <w:rsid w:val="00E54B5A"/>
    <w:rsid w:val="00E54F9B"/>
    <w:rsid w:val="00E54F9C"/>
    <w:rsid w:val="00E5539E"/>
    <w:rsid w:val="00E55828"/>
    <w:rsid w:val="00E5584A"/>
    <w:rsid w:val="00E55A0B"/>
    <w:rsid w:val="00E55CC5"/>
    <w:rsid w:val="00E55E63"/>
    <w:rsid w:val="00E55FAF"/>
    <w:rsid w:val="00E563DF"/>
    <w:rsid w:val="00E5676D"/>
    <w:rsid w:val="00E56C43"/>
    <w:rsid w:val="00E56CF4"/>
    <w:rsid w:val="00E56E0A"/>
    <w:rsid w:val="00E56E8E"/>
    <w:rsid w:val="00E57104"/>
    <w:rsid w:val="00E577E6"/>
    <w:rsid w:val="00E57806"/>
    <w:rsid w:val="00E57C55"/>
    <w:rsid w:val="00E57DE2"/>
    <w:rsid w:val="00E60330"/>
    <w:rsid w:val="00E6035D"/>
    <w:rsid w:val="00E60724"/>
    <w:rsid w:val="00E60746"/>
    <w:rsid w:val="00E607DF"/>
    <w:rsid w:val="00E609DB"/>
    <w:rsid w:val="00E60AEE"/>
    <w:rsid w:val="00E60E38"/>
    <w:rsid w:val="00E60E84"/>
    <w:rsid w:val="00E60F12"/>
    <w:rsid w:val="00E61063"/>
    <w:rsid w:val="00E6139F"/>
    <w:rsid w:val="00E61967"/>
    <w:rsid w:val="00E61B3D"/>
    <w:rsid w:val="00E61B5F"/>
    <w:rsid w:val="00E623FD"/>
    <w:rsid w:val="00E626DF"/>
    <w:rsid w:val="00E62BD5"/>
    <w:rsid w:val="00E630C4"/>
    <w:rsid w:val="00E6381A"/>
    <w:rsid w:val="00E63937"/>
    <w:rsid w:val="00E63D37"/>
    <w:rsid w:val="00E63E4B"/>
    <w:rsid w:val="00E63FB9"/>
    <w:rsid w:val="00E64493"/>
    <w:rsid w:val="00E645DB"/>
    <w:rsid w:val="00E64E84"/>
    <w:rsid w:val="00E64F4B"/>
    <w:rsid w:val="00E6508B"/>
    <w:rsid w:val="00E65550"/>
    <w:rsid w:val="00E656DB"/>
    <w:rsid w:val="00E65819"/>
    <w:rsid w:val="00E6593C"/>
    <w:rsid w:val="00E65DCF"/>
    <w:rsid w:val="00E65ED7"/>
    <w:rsid w:val="00E65FB3"/>
    <w:rsid w:val="00E660EC"/>
    <w:rsid w:val="00E66385"/>
    <w:rsid w:val="00E664E4"/>
    <w:rsid w:val="00E6650E"/>
    <w:rsid w:val="00E66705"/>
    <w:rsid w:val="00E66B66"/>
    <w:rsid w:val="00E66D5D"/>
    <w:rsid w:val="00E66DDA"/>
    <w:rsid w:val="00E66DDE"/>
    <w:rsid w:val="00E67085"/>
    <w:rsid w:val="00E6735D"/>
    <w:rsid w:val="00E67436"/>
    <w:rsid w:val="00E67D63"/>
    <w:rsid w:val="00E700CC"/>
    <w:rsid w:val="00E702B4"/>
    <w:rsid w:val="00E703E1"/>
    <w:rsid w:val="00E706CE"/>
    <w:rsid w:val="00E70E37"/>
    <w:rsid w:val="00E70EE5"/>
    <w:rsid w:val="00E70F48"/>
    <w:rsid w:val="00E71489"/>
    <w:rsid w:val="00E7176D"/>
    <w:rsid w:val="00E71824"/>
    <w:rsid w:val="00E71A19"/>
    <w:rsid w:val="00E71A43"/>
    <w:rsid w:val="00E71AF6"/>
    <w:rsid w:val="00E71B3A"/>
    <w:rsid w:val="00E71BC2"/>
    <w:rsid w:val="00E721A5"/>
    <w:rsid w:val="00E726FB"/>
    <w:rsid w:val="00E72A34"/>
    <w:rsid w:val="00E72D01"/>
    <w:rsid w:val="00E7301F"/>
    <w:rsid w:val="00E73038"/>
    <w:rsid w:val="00E7314D"/>
    <w:rsid w:val="00E73D80"/>
    <w:rsid w:val="00E73E4C"/>
    <w:rsid w:val="00E74586"/>
    <w:rsid w:val="00E74952"/>
    <w:rsid w:val="00E74997"/>
    <w:rsid w:val="00E74E08"/>
    <w:rsid w:val="00E75054"/>
    <w:rsid w:val="00E75336"/>
    <w:rsid w:val="00E754DD"/>
    <w:rsid w:val="00E75ABF"/>
    <w:rsid w:val="00E75B5A"/>
    <w:rsid w:val="00E75DBC"/>
    <w:rsid w:val="00E75EE8"/>
    <w:rsid w:val="00E76198"/>
    <w:rsid w:val="00E76548"/>
    <w:rsid w:val="00E76662"/>
    <w:rsid w:val="00E7666F"/>
    <w:rsid w:val="00E76E26"/>
    <w:rsid w:val="00E76FFA"/>
    <w:rsid w:val="00E77391"/>
    <w:rsid w:val="00E773D6"/>
    <w:rsid w:val="00E776F9"/>
    <w:rsid w:val="00E77C58"/>
    <w:rsid w:val="00E77CFC"/>
    <w:rsid w:val="00E77E1C"/>
    <w:rsid w:val="00E77FBD"/>
    <w:rsid w:val="00E8025A"/>
    <w:rsid w:val="00E803C8"/>
    <w:rsid w:val="00E8043A"/>
    <w:rsid w:val="00E80522"/>
    <w:rsid w:val="00E8059A"/>
    <w:rsid w:val="00E80B26"/>
    <w:rsid w:val="00E81613"/>
    <w:rsid w:val="00E82375"/>
    <w:rsid w:val="00E825E9"/>
    <w:rsid w:val="00E82B2E"/>
    <w:rsid w:val="00E82E67"/>
    <w:rsid w:val="00E831CD"/>
    <w:rsid w:val="00E8332D"/>
    <w:rsid w:val="00E836A4"/>
    <w:rsid w:val="00E83784"/>
    <w:rsid w:val="00E8384B"/>
    <w:rsid w:val="00E83B4E"/>
    <w:rsid w:val="00E83C16"/>
    <w:rsid w:val="00E841D7"/>
    <w:rsid w:val="00E84511"/>
    <w:rsid w:val="00E8478C"/>
    <w:rsid w:val="00E84873"/>
    <w:rsid w:val="00E84933"/>
    <w:rsid w:val="00E849C6"/>
    <w:rsid w:val="00E85001"/>
    <w:rsid w:val="00E850FE"/>
    <w:rsid w:val="00E854C3"/>
    <w:rsid w:val="00E85BBC"/>
    <w:rsid w:val="00E86251"/>
    <w:rsid w:val="00E862C3"/>
    <w:rsid w:val="00E8656B"/>
    <w:rsid w:val="00E865E1"/>
    <w:rsid w:val="00E86927"/>
    <w:rsid w:val="00E86B19"/>
    <w:rsid w:val="00E86F81"/>
    <w:rsid w:val="00E8701C"/>
    <w:rsid w:val="00E8746C"/>
    <w:rsid w:val="00E874A0"/>
    <w:rsid w:val="00E87A0C"/>
    <w:rsid w:val="00E87B7F"/>
    <w:rsid w:val="00E87C1B"/>
    <w:rsid w:val="00E87DDD"/>
    <w:rsid w:val="00E87F5C"/>
    <w:rsid w:val="00E90071"/>
    <w:rsid w:val="00E9019F"/>
    <w:rsid w:val="00E901C5"/>
    <w:rsid w:val="00E905BA"/>
    <w:rsid w:val="00E906ED"/>
    <w:rsid w:val="00E909DB"/>
    <w:rsid w:val="00E90A30"/>
    <w:rsid w:val="00E914AB"/>
    <w:rsid w:val="00E9172A"/>
    <w:rsid w:val="00E91766"/>
    <w:rsid w:val="00E91B88"/>
    <w:rsid w:val="00E91BA3"/>
    <w:rsid w:val="00E91DF9"/>
    <w:rsid w:val="00E91F49"/>
    <w:rsid w:val="00E92212"/>
    <w:rsid w:val="00E9250D"/>
    <w:rsid w:val="00E92604"/>
    <w:rsid w:val="00E92642"/>
    <w:rsid w:val="00E92B32"/>
    <w:rsid w:val="00E93E3E"/>
    <w:rsid w:val="00E942AB"/>
    <w:rsid w:val="00E94428"/>
    <w:rsid w:val="00E94BC2"/>
    <w:rsid w:val="00E953C1"/>
    <w:rsid w:val="00E95401"/>
    <w:rsid w:val="00E954F5"/>
    <w:rsid w:val="00E95A74"/>
    <w:rsid w:val="00E96226"/>
    <w:rsid w:val="00E96274"/>
    <w:rsid w:val="00E9651A"/>
    <w:rsid w:val="00E96900"/>
    <w:rsid w:val="00E96D9C"/>
    <w:rsid w:val="00E97184"/>
    <w:rsid w:val="00E97B75"/>
    <w:rsid w:val="00EA0735"/>
    <w:rsid w:val="00EA0D52"/>
    <w:rsid w:val="00EA1141"/>
    <w:rsid w:val="00EA11F0"/>
    <w:rsid w:val="00EA137B"/>
    <w:rsid w:val="00EA1583"/>
    <w:rsid w:val="00EA1B08"/>
    <w:rsid w:val="00EA2387"/>
    <w:rsid w:val="00EA271F"/>
    <w:rsid w:val="00EA293A"/>
    <w:rsid w:val="00EA2B54"/>
    <w:rsid w:val="00EA2D0A"/>
    <w:rsid w:val="00EA2DEE"/>
    <w:rsid w:val="00EA3200"/>
    <w:rsid w:val="00EA366D"/>
    <w:rsid w:val="00EA3B61"/>
    <w:rsid w:val="00EA4029"/>
    <w:rsid w:val="00EA4294"/>
    <w:rsid w:val="00EA43A8"/>
    <w:rsid w:val="00EA4C47"/>
    <w:rsid w:val="00EA4D64"/>
    <w:rsid w:val="00EA4E46"/>
    <w:rsid w:val="00EA4FD2"/>
    <w:rsid w:val="00EA521D"/>
    <w:rsid w:val="00EA540D"/>
    <w:rsid w:val="00EA5AC4"/>
    <w:rsid w:val="00EA5C04"/>
    <w:rsid w:val="00EA5E52"/>
    <w:rsid w:val="00EA6030"/>
    <w:rsid w:val="00EA65B7"/>
    <w:rsid w:val="00EA6C1C"/>
    <w:rsid w:val="00EA6FA7"/>
    <w:rsid w:val="00EA7113"/>
    <w:rsid w:val="00EA7220"/>
    <w:rsid w:val="00EA7375"/>
    <w:rsid w:val="00EA759D"/>
    <w:rsid w:val="00EA7741"/>
    <w:rsid w:val="00EA7FB0"/>
    <w:rsid w:val="00EB0718"/>
    <w:rsid w:val="00EB076A"/>
    <w:rsid w:val="00EB0B19"/>
    <w:rsid w:val="00EB0B3B"/>
    <w:rsid w:val="00EB0C07"/>
    <w:rsid w:val="00EB1329"/>
    <w:rsid w:val="00EB14E1"/>
    <w:rsid w:val="00EB1AC6"/>
    <w:rsid w:val="00EB1BB4"/>
    <w:rsid w:val="00EB1BE5"/>
    <w:rsid w:val="00EB1D9C"/>
    <w:rsid w:val="00EB1EAB"/>
    <w:rsid w:val="00EB1F4C"/>
    <w:rsid w:val="00EB1FD6"/>
    <w:rsid w:val="00EB2DA4"/>
    <w:rsid w:val="00EB2DCD"/>
    <w:rsid w:val="00EB31C3"/>
    <w:rsid w:val="00EB352C"/>
    <w:rsid w:val="00EB38DF"/>
    <w:rsid w:val="00EB4593"/>
    <w:rsid w:val="00EB45DA"/>
    <w:rsid w:val="00EB466A"/>
    <w:rsid w:val="00EB4CF8"/>
    <w:rsid w:val="00EB512F"/>
    <w:rsid w:val="00EB51CF"/>
    <w:rsid w:val="00EB53FD"/>
    <w:rsid w:val="00EB5493"/>
    <w:rsid w:val="00EB55DF"/>
    <w:rsid w:val="00EB596E"/>
    <w:rsid w:val="00EB5AF9"/>
    <w:rsid w:val="00EB5F70"/>
    <w:rsid w:val="00EB6888"/>
    <w:rsid w:val="00EB68D8"/>
    <w:rsid w:val="00EB6939"/>
    <w:rsid w:val="00EB6C61"/>
    <w:rsid w:val="00EB70EE"/>
    <w:rsid w:val="00EB7426"/>
    <w:rsid w:val="00EB78CD"/>
    <w:rsid w:val="00EB7C51"/>
    <w:rsid w:val="00EB7D76"/>
    <w:rsid w:val="00EB7E15"/>
    <w:rsid w:val="00EB7EAB"/>
    <w:rsid w:val="00EC00D8"/>
    <w:rsid w:val="00EC00E5"/>
    <w:rsid w:val="00EC0348"/>
    <w:rsid w:val="00EC0387"/>
    <w:rsid w:val="00EC04B3"/>
    <w:rsid w:val="00EC075A"/>
    <w:rsid w:val="00EC0932"/>
    <w:rsid w:val="00EC09C0"/>
    <w:rsid w:val="00EC0F14"/>
    <w:rsid w:val="00EC1090"/>
    <w:rsid w:val="00EC1268"/>
    <w:rsid w:val="00EC1292"/>
    <w:rsid w:val="00EC16C4"/>
    <w:rsid w:val="00EC1817"/>
    <w:rsid w:val="00EC190C"/>
    <w:rsid w:val="00EC1D30"/>
    <w:rsid w:val="00EC2180"/>
    <w:rsid w:val="00EC21F1"/>
    <w:rsid w:val="00EC2305"/>
    <w:rsid w:val="00EC2663"/>
    <w:rsid w:val="00EC2D1D"/>
    <w:rsid w:val="00EC2D26"/>
    <w:rsid w:val="00EC34F0"/>
    <w:rsid w:val="00EC3BAB"/>
    <w:rsid w:val="00EC3FE3"/>
    <w:rsid w:val="00EC443A"/>
    <w:rsid w:val="00EC4691"/>
    <w:rsid w:val="00EC4768"/>
    <w:rsid w:val="00EC4907"/>
    <w:rsid w:val="00EC4DB8"/>
    <w:rsid w:val="00EC4E4B"/>
    <w:rsid w:val="00EC542C"/>
    <w:rsid w:val="00EC546F"/>
    <w:rsid w:val="00EC55F5"/>
    <w:rsid w:val="00EC587B"/>
    <w:rsid w:val="00EC58A1"/>
    <w:rsid w:val="00EC5990"/>
    <w:rsid w:val="00EC5D23"/>
    <w:rsid w:val="00EC5D8E"/>
    <w:rsid w:val="00EC5FFA"/>
    <w:rsid w:val="00EC6116"/>
    <w:rsid w:val="00EC61E9"/>
    <w:rsid w:val="00EC631E"/>
    <w:rsid w:val="00EC6395"/>
    <w:rsid w:val="00EC6E05"/>
    <w:rsid w:val="00EC6F2A"/>
    <w:rsid w:val="00EC70A8"/>
    <w:rsid w:val="00EC71C9"/>
    <w:rsid w:val="00EC71D1"/>
    <w:rsid w:val="00EC72A8"/>
    <w:rsid w:val="00EC7867"/>
    <w:rsid w:val="00EC78CC"/>
    <w:rsid w:val="00ED00D8"/>
    <w:rsid w:val="00ED0253"/>
    <w:rsid w:val="00ED0315"/>
    <w:rsid w:val="00ED047E"/>
    <w:rsid w:val="00ED06EB"/>
    <w:rsid w:val="00ED070F"/>
    <w:rsid w:val="00ED0DDB"/>
    <w:rsid w:val="00ED0E8F"/>
    <w:rsid w:val="00ED1557"/>
    <w:rsid w:val="00ED156C"/>
    <w:rsid w:val="00ED16A9"/>
    <w:rsid w:val="00ED1790"/>
    <w:rsid w:val="00ED18A8"/>
    <w:rsid w:val="00ED1EF6"/>
    <w:rsid w:val="00ED2027"/>
    <w:rsid w:val="00ED2777"/>
    <w:rsid w:val="00ED2861"/>
    <w:rsid w:val="00ED2894"/>
    <w:rsid w:val="00ED2916"/>
    <w:rsid w:val="00ED3187"/>
    <w:rsid w:val="00ED36A8"/>
    <w:rsid w:val="00ED3D8C"/>
    <w:rsid w:val="00ED3F19"/>
    <w:rsid w:val="00ED4092"/>
    <w:rsid w:val="00ED43F9"/>
    <w:rsid w:val="00ED4558"/>
    <w:rsid w:val="00ED4652"/>
    <w:rsid w:val="00ED481C"/>
    <w:rsid w:val="00ED498C"/>
    <w:rsid w:val="00ED4A4D"/>
    <w:rsid w:val="00ED4B2E"/>
    <w:rsid w:val="00ED58B7"/>
    <w:rsid w:val="00ED596D"/>
    <w:rsid w:val="00ED5ED5"/>
    <w:rsid w:val="00ED5F6F"/>
    <w:rsid w:val="00ED601A"/>
    <w:rsid w:val="00ED6BCB"/>
    <w:rsid w:val="00ED6C6C"/>
    <w:rsid w:val="00ED6CFE"/>
    <w:rsid w:val="00ED70D7"/>
    <w:rsid w:val="00ED7390"/>
    <w:rsid w:val="00ED77FE"/>
    <w:rsid w:val="00ED7BA1"/>
    <w:rsid w:val="00ED7D23"/>
    <w:rsid w:val="00EE0003"/>
    <w:rsid w:val="00EE01A7"/>
    <w:rsid w:val="00EE022E"/>
    <w:rsid w:val="00EE065D"/>
    <w:rsid w:val="00EE0856"/>
    <w:rsid w:val="00EE11B1"/>
    <w:rsid w:val="00EE15F7"/>
    <w:rsid w:val="00EE16C1"/>
    <w:rsid w:val="00EE1863"/>
    <w:rsid w:val="00EE1F83"/>
    <w:rsid w:val="00EE232D"/>
    <w:rsid w:val="00EE2683"/>
    <w:rsid w:val="00EE28A4"/>
    <w:rsid w:val="00EE294B"/>
    <w:rsid w:val="00EE2D6B"/>
    <w:rsid w:val="00EE3129"/>
    <w:rsid w:val="00EE3356"/>
    <w:rsid w:val="00EE3659"/>
    <w:rsid w:val="00EE3670"/>
    <w:rsid w:val="00EE3E06"/>
    <w:rsid w:val="00EE4272"/>
    <w:rsid w:val="00EE44FF"/>
    <w:rsid w:val="00EE4B9E"/>
    <w:rsid w:val="00EE4CDD"/>
    <w:rsid w:val="00EE51F2"/>
    <w:rsid w:val="00EE5573"/>
    <w:rsid w:val="00EE5960"/>
    <w:rsid w:val="00EE59C6"/>
    <w:rsid w:val="00EE5CAA"/>
    <w:rsid w:val="00EE61C4"/>
    <w:rsid w:val="00EE6436"/>
    <w:rsid w:val="00EE6B3D"/>
    <w:rsid w:val="00EE6F98"/>
    <w:rsid w:val="00EE72CC"/>
    <w:rsid w:val="00EE739F"/>
    <w:rsid w:val="00EE7719"/>
    <w:rsid w:val="00EE7AFA"/>
    <w:rsid w:val="00EE7CDE"/>
    <w:rsid w:val="00EE7F98"/>
    <w:rsid w:val="00EF0127"/>
    <w:rsid w:val="00EF0768"/>
    <w:rsid w:val="00EF0823"/>
    <w:rsid w:val="00EF0911"/>
    <w:rsid w:val="00EF0B15"/>
    <w:rsid w:val="00EF0B7A"/>
    <w:rsid w:val="00EF0BFA"/>
    <w:rsid w:val="00EF0CD8"/>
    <w:rsid w:val="00EF14A5"/>
    <w:rsid w:val="00EF14DE"/>
    <w:rsid w:val="00EF160C"/>
    <w:rsid w:val="00EF1900"/>
    <w:rsid w:val="00EF1C5E"/>
    <w:rsid w:val="00EF1CBA"/>
    <w:rsid w:val="00EF1E20"/>
    <w:rsid w:val="00EF1EF3"/>
    <w:rsid w:val="00EF1F28"/>
    <w:rsid w:val="00EF1FEF"/>
    <w:rsid w:val="00EF2544"/>
    <w:rsid w:val="00EF26A7"/>
    <w:rsid w:val="00EF2A8C"/>
    <w:rsid w:val="00EF2C64"/>
    <w:rsid w:val="00EF2D30"/>
    <w:rsid w:val="00EF3245"/>
    <w:rsid w:val="00EF329E"/>
    <w:rsid w:val="00EF35DB"/>
    <w:rsid w:val="00EF3B31"/>
    <w:rsid w:val="00EF3E2A"/>
    <w:rsid w:val="00EF3EE0"/>
    <w:rsid w:val="00EF40B9"/>
    <w:rsid w:val="00EF49AF"/>
    <w:rsid w:val="00EF4B81"/>
    <w:rsid w:val="00EF4D91"/>
    <w:rsid w:val="00EF4F04"/>
    <w:rsid w:val="00EF5BE1"/>
    <w:rsid w:val="00EF5BEF"/>
    <w:rsid w:val="00EF5E9C"/>
    <w:rsid w:val="00EF607B"/>
    <w:rsid w:val="00EF6128"/>
    <w:rsid w:val="00EF6211"/>
    <w:rsid w:val="00EF667A"/>
    <w:rsid w:val="00EF6757"/>
    <w:rsid w:val="00EF684E"/>
    <w:rsid w:val="00EF6B5B"/>
    <w:rsid w:val="00EF701E"/>
    <w:rsid w:val="00EF704E"/>
    <w:rsid w:val="00EF73B4"/>
    <w:rsid w:val="00EF7476"/>
    <w:rsid w:val="00F000BF"/>
    <w:rsid w:val="00F006EB"/>
    <w:rsid w:val="00F00735"/>
    <w:rsid w:val="00F008C8"/>
    <w:rsid w:val="00F01311"/>
    <w:rsid w:val="00F015F7"/>
    <w:rsid w:val="00F01709"/>
    <w:rsid w:val="00F01886"/>
    <w:rsid w:val="00F01983"/>
    <w:rsid w:val="00F01C7F"/>
    <w:rsid w:val="00F01E8E"/>
    <w:rsid w:val="00F020C8"/>
    <w:rsid w:val="00F0215B"/>
    <w:rsid w:val="00F02894"/>
    <w:rsid w:val="00F02A1D"/>
    <w:rsid w:val="00F02CE5"/>
    <w:rsid w:val="00F03095"/>
    <w:rsid w:val="00F030E8"/>
    <w:rsid w:val="00F03274"/>
    <w:rsid w:val="00F032AE"/>
    <w:rsid w:val="00F034A6"/>
    <w:rsid w:val="00F035A0"/>
    <w:rsid w:val="00F040D4"/>
    <w:rsid w:val="00F04628"/>
    <w:rsid w:val="00F04707"/>
    <w:rsid w:val="00F0484F"/>
    <w:rsid w:val="00F04CFF"/>
    <w:rsid w:val="00F04DD6"/>
    <w:rsid w:val="00F051D7"/>
    <w:rsid w:val="00F05411"/>
    <w:rsid w:val="00F05966"/>
    <w:rsid w:val="00F05A06"/>
    <w:rsid w:val="00F05D0A"/>
    <w:rsid w:val="00F05D5D"/>
    <w:rsid w:val="00F0631A"/>
    <w:rsid w:val="00F066A3"/>
    <w:rsid w:val="00F06A1F"/>
    <w:rsid w:val="00F06ACA"/>
    <w:rsid w:val="00F06D09"/>
    <w:rsid w:val="00F06E95"/>
    <w:rsid w:val="00F06EDC"/>
    <w:rsid w:val="00F07AD9"/>
    <w:rsid w:val="00F102A8"/>
    <w:rsid w:val="00F108AA"/>
    <w:rsid w:val="00F11367"/>
    <w:rsid w:val="00F113BC"/>
    <w:rsid w:val="00F1162A"/>
    <w:rsid w:val="00F11E0A"/>
    <w:rsid w:val="00F120E8"/>
    <w:rsid w:val="00F121F7"/>
    <w:rsid w:val="00F1231D"/>
    <w:rsid w:val="00F12326"/>
    <w:rsid w:val="00F12864"/>
    <w:rsid w:val="00F12A17"/>
    <w:rsid w:val="00F12B92"/>
    <w:rsid w:val="00F13665"/>
    <w:rsid w:val="00F13788"/>
    <w:rsid w:val="00F13984"/>
    <w:rsid w:val="00F14526"/>
    <w:rsid w:val="00F145C2"/>
    <w:rsid w:val="00F14B16"/>
    <w:rsid w:val="00F1578D"/>
    <w:rsid w:val="00F159FC"/>
    <w:rsid w:val="00F160E6"/>
    <w:rsid w:val="00F16C39"/>
    <w:rsid w:val="00F1703D"/>
    <w:rsid w:val="00F17043"/>
    <w:rsid w:val="00F176B8"/>
    <w:rsid w:val="00F17883"/>
    <w:rsid w:val="00F17934"/>
    <w:rsid w:val="00F17AEC"/>
    <w:rsid w:val="00F17BD3"/>
    <w:rsid w:val="00F17C36"/>
    <w:rsid w:val="00F2001A"/>
    <w:rsid w:val="00F20303"/>
    <w:rsid w:val="00F20394"/>
    <w:rsid w:val="00F209CF"/>
    <w:rsid w:val="00F212AF"/>
    <w:rsid w:val="00F21335"/>
    <w:rsid w:val="00F21537"/>
    <w:rsid w:val="00F21868"/>
    <w:rsid w:val="00F21901"/>
    <w:rsid w:val="00F21AFD"/>
    <w:rsid w:val="00F21BAC"/>
    <w:rsid w:val="00F23509"/>
    <w:rsid w:val="00F238AD"/>
    <w:rsid w:val="00F23A06"/>
    <w:rsid w:val="00F23A84"/>
    <w:rsid w:val="00F23B71"/>
    <w:rsid w:val="00F2426F"/>
    <w:rsid w:val="00F244B0"/>
    <w:rsid w:val="00F249A8"/>
    <w:rsid w:val="00F24F8D"/>
    <w:rsid w:val="00F25041"/>
    <w:rsid w:val="00F250EA"/>
    <w:rsid w:val="00F25612"/>
    <w:rsid w:val="00F25AFA"/>
    <w:rsid w:val="00F25C3B"/>
    <w:rsid w:val="00F25CD2"/>
    <w:rsid w:val="00F25E4D"/>
    <w:rsid w:val="00F25E60"/>
    <w:rsid w:val="00F261E3"/>
    <w:rsid w:val="00F262ED"/>
    <w:rsid w:val="00F26944"/>
    <w:rsid w:val="00F26B48"/>
    <w:rsid w:val="00F26C12"/>
    <w:rsid w:val="00F26DF1"/>
    <w:rsid w:val="00F26EEA"/>
    <w:rsid w:val="00F270AA"/>
    <w:rsid w:val="00F27AAB"/>
    <w:rsid w:val="00F27DD2"/>
    <w:rsid w:val="00F27E04"/>
    <w:rsid w:val="00F300F2"/>
    <w:rsid w:val="00F3015A"/>
    <w:rsid w:val="00F305A7"/>
    <w:rsid w:val="00F30BA2"/>
    <w:rsid w:val="00F30BE1"/>
    <w:rsid w:val="00F30D2E"/>
    <w:rsid w:val="00F30FE6"/>
    <w:rsid w:val="00F312AB"/>
    <w:rsid w:val="00F31512"/>
    <w:rsid w:val="00F31516"/>
    <w:rsid w:val="00F3157C"/>
    <w:rsid w:val="00F31B07"/>
    <w:rsid w:val="00F31BE1"/>
    <w:rsid w:val="00F31FAF"/>
    <w:rsid w:val="00F32257"/>
    <w:rsid w:val="00F3281E"/>
    <w:rsid w:val="00F32882"/>
    <w:rsid w:val="00F32A61"/>
    <w:rsid w:val="00F3320A"/>
    <w:rsid w:val="00F3327F"/>
    <w:rsid w:val="00F335DE"/>
    <w:rsid w:val="00F33B75"/>
    <w:rsid w:val="00F3424A"/>
    <w:rsid w:val="00F3457C"/>
    <w:rsid w:val="00F34657"/>
    <w:rsid w:val="00F35F18"/>
    <w:rsid w:val="00F35F98"/>
    <w:rsid w:val="00F3639F"/>
    <w:rsid w:val="00F36AF3"/>
    <w:rsid w:val="00F36BED"/>
    <w:rsid w:val="00F37132"/>
    <w:rsid w:val="00F371E8"/>
    <w:rsid w:val="00F37213"/>
    <w:rsid w:val="00F377BA"/>
    <w:rsid w:val="00F378A0"/>
    <w:rsid w:val="00F37E2F"/>
    <w:rsid w:val="00F4055F"/>
    <w:rsid w:val="00F40810"/>
    <w:rsid w:val="00F40E5A"/>
    <w:rsid w:val="00F40F0D"/>
    <w:rsid w:val="00F412DF"/>
    <w:rsid w:val="00F41913"/>
    <w:rsid w:val="00F4237A"/>
    <w:rsid w:val="00F423BA"/>
    <w:rsid w:val="00F42462"/>
    <w:rsid w:val="00F42489"/>
    <w:rsid w:val="00F42836"/>
    <w:rsid w:val="00F42BF4"/>
    <w:rsid w:val="00F4304C"/>
    <w:rsid w:val="00F434B4"/>
    <w:rsid w:val="00F43A9F"/>
    <w:rsid w:val="00F43E8D"/>
    <w:rsid w:val="00F447E5"/>
    <w:rsid w:val="00F44959"/>
    <w:rsid w:val="00F44ACD"/>
    <w:rsid w:val="00F45831"/>
    <w:rsid w:val="00F45BB6"/>
    <w:rsid w:val="00F46091"/>
    <w:rsid w:val="00F46131"/>
    <w:rsid w:val="00F46842"/>
    <w:rsid w:val="00F46DAB"/>
    <w:rsid w:val="00F47BAB"/>
    <w:rsid w:val="00F47BCB"/>
    <w:rsid w:val="00F47BDF"/>
    <w:rsid w:val="00F47ED5"/>
    <w:rsid w:val="00F47F3C"/>
    <w:rsid w:val="00F508D5"/>
    <w:rsid w:val="00F50A23"/>
    <w:rsid w:val="00F50F3E"/>
    <w:rsid w:val="00F5106C"/>
    <w:rsid w:val="00F515B8"/>
    <w:rsid w:val="00F519D4"/>
    <w:rsid w:val="00F51A24"/>
    <w:rsid w:val="00F51C7E"/>
    <w:rsid w:val="00F51D8D"/>
    <w:rsid w:val="00F51F0C"/>
    <w:rsid w:val="00F51F41"/>
    <w:rsid w:val="00F52148"/>
    <w:rsid w:val="00F5232B"/>
    <w:rsid w:val="00F5272A"/>
    <w:rsid w:val="00F52882"/>
    <w:rsid w:val="00F52D92"/>
    <w:rsid w:val="00F52E33"/>
    <w:rsid w:val="00F52F89"/>
    <w:rsid w:val="00F5323D"/>
    <w:rsid w:val="00F534E6"/>
    <w:rsid w:val="00F53A2A"/>
    <w:rsid w:val="00F53A61"/>
    <w:rsid w:val="00F53B3B"/>
    <w:rsid w:val="00F53D68"/>
    <w:rsid w:val="00F546E2"/>
    <w:rsid w:val="00F547DA"/>
    <w:rsid w:val="00F54CF8"/>
    <w:rsid w:val="00F54DBD"/>
    <w:rsid w:val="00F551E2"/>
    <w:rsid w:val="00F551F6"/>
    <w:rsid w:val="00F557C7"/>
    <w:rsid w:val="00F55F98"/>
    <w:rsid w:val="00F56519"/>
    <w:rsid w:val="00F56658"/>
    <w:rsid w:val="00F566CB"/>
    <w:rsid w:val="00F5698E"/>
    <w:rsid w:val="00F56BDA"/>
    <w:rsid w:val="00F56FDD"/>
    <w:rsid w:val="00F57A5C"/>
    <w:rsid w:val="00F57F86"/>
    <w:rsid w:val="00F60455"/>
    <w:rsid w:val="00F60529"/>
    <w:rsid w:val="00F6056E"/>
    <w:rsid w:val="00F6084F"/>
    <w:rsid w:val="00F60859"/>
    <w:rsid w:val="00F6085B"/>
    <w:rsid w:val="00F60BF6"/>
    <w:rsid w:val="00F60D2D"/>
    <w:rsid w:val="00F60E82"/>
    <w:rsid w:val="00F60F44"/>
    <w:rsid w:val="00F61261"/>
    <w:rsid w:val="00F614DB"/>
    <w:rsid w:val="00F615CE"/>
    <w:rsid w:val="00F6161D"/>
    <w:rsid w:val="00F617E6"/>
    <w:rsid w:val="00F61956"/>
    <w:rsid w:val="00F619C2"/>
    <w:rsid w:val="00F61A0E"/>
    <w:rsid w:val="00F61AD2"/>
    <w:rsid w:val="00F61E42"/>
    <w:rsid w:val="00F62099"/>
    <w:rsid w:val="00F621D1"/>
    <w:rsid w:val="00F6228D"/>
    <w:rsid w:val="00F6234D"/>
    <w:rsid w:val="00F62361"/>
    <w:rsid w:val="00F6277B"/>
    <w:rsid w:val="00F627F2"/>
    <w:rsid w:val="00F6283C"/>
    <w:rsid w:val="00F62AC4"/>
    <w:rsid w:val="00F62D01"/>
    <w:rsid w:val="00F62F7E"/>
    <w:rsid w:val="00F63167"/>
    <w:rsid w:val="00F6392B"/>
    <w:rsid w:val="00F63994"/>
    <w:rsid w:val="00F639D8"/>
    <w:rsid w:val="00F63C41"/>
    <w:rsid w:val="00F63D5E"/>
    <w:rsid w:val="00F63D85"/>
    <w:rsid w:val="00F63F43"/>
    <w:rsid w:val="00F649CB"/>
    <w:rsid w:val="00F6508F"/>
    <w:rsid w:val="00F651AE"/>
    <w:rsid w:val="00F65A91"/>
    <w:rsid w:val="00F65CD5"/>
    <w:rsid w:val="00F65F8C"/>
    <w:rsid w:val="00F660A4"/>
    <w:rsid w:val="00F66150"/>
    <w:rsid w:val="00F6615B"/>
    <w:rsid w:val="00F662D5"/>
    <w:rsid w:val="00F66862"/>
    <w:rsid w:val="00F66979"/>
    <w:rsid w:val="00F6698E"/>
    <w:rsid w:val="00F66D27"/>
    <w:rsid w:val="00F66D79"/>
    <w:rsid w:val="00F6722F"/>
    <w:rsid w:val="00F672FF"/>
    <w:rsid w:val="00F679EA"/>
    <w:rsid w:val="00F67DBC"/>
    <w:rsid w:val="00F67F6C"/>
    <w:rsid w:val="00F70254"/>
    <w:rsid w:val="00F7052D"/>
    <w:rsid w:val="00F70559"/>
    <w:rsid w:val="00F70DE5"/>
    <w:rsid w:val="00F717FD"/>
    <w:rsid w:val="00F71CC7"/>
    <w:rsid w:val="00F71E4B"/>
    <w:rsid w:val="00F72198"/>
    <w:rsid w:val="00F72B21"/>
    <w:rsid w:val="00F72CDC"/>
    <w:rsid w:val="00F72D79"/>
    <w:rsid w:val="00F73497"/>
    <w:rsid w:val="00F7355E"/>
    <w:rsid w:val="00F73621"/>
    <w:rsid w:val="00F73787"/>
    <w:rsid w:val="00F73ABB"/>
    <w:rsid w:val="00F73D84"/>
    <w:rsid w:val="00F740F1"/>
    <w:rsid w:val="00F74676"/>
    <w:rsid w:val="00F74990"/>
    <w:rsid w:val="00F74CB0"/>
    <w:rsid w:val="00F750DC"/>
    <w:rsid w:val="00F758BE"/>
    <w:rsid w:val="00F75B56"/>
    <w:rsid w:val="00F75EA5"/>
    <w:rsid w:val="00F75EAC"/>
    <w:rsid w:val="00F7639E"/>
    <w:rsid w:val="00F769E9"/>
    <w:rsid w:val="00F76B96"/>
    <w:rsid w:val="00F76C5B"/>
    <w:rsid w:val="00F77012"/>
    <w:rsid w:val="00F77285"/>
    <w:rsid w:val="00F777E0"/>
    <w:rsid w:val="00F77938"/>
    <w:rsid w:val="00F77FB8"/>
    <w:rsid w:val="00F8020A"/>
    <w:rsid w:val="00F8025D"/>
    <w:rsid w:val="00F80756"/>
    <w:rsid w:val="00F808CD"/>
    <w:rsid w:val="00F80C7F"/>
    <w:rsid w:val="00F810A7"/>
    <w:rsid w:val="00F81302"/>
    <w:rsid w:val="00F81DC9"/>
    <w:rsid w:val="00F81E13"/>
    <w:rsid w:val="00F83055"/>
    <w:rsid w:val="00F830AC"/>
    <w:rsid w:val="00F83214"/>
    <w:rsid w:val="00F83320"/>
    <w:rsid w:val="00F83770"/>
    <w:rsid w:val="00F83853"/>
    <w:rsid w:val="00F8386B"/>
    <w:rsid w:val="00F838E9"/>
    <w:rsid w:val="00F83AAB"/>
    <w:rsid w:val="00F83AED"/>
    <w:rsid w:val="00F83C4A"/>
    <w:rsid w:val="00F83C51"/>
    <w:rsid w:val="00F83FA4"/>
    <w:rsid w:val="00F8445E"/>
    <w:rsid w:val="00F845BF"/>
    <w:rsid w:val="00F84951"/>
    <w:rsid w:val="00F84958"/>
    <w:rsid w:val="00F84E14"/>
    <w:rsid w:val="00F84FEC"/>
    <w:rsid w:val="00F85323"/>
    <w:rsid w:val="00F85A74"/>
    <w:rsid w:val="00F85C07"/>
    <w:rsid w:val="00F85F19"/>
    <w:rsid w:val="00F868BD"/>
    <w:rsid w:val="00F86BE5"/>
    <w:rsid w:val="00F86CF3"/>
    <w:rsid w:val="00F87163"/>
    <w:rsid w:val="00F871A7"/>
    <w:rsid w:val="00F879FD"/>
    <w:rsid w:val="00F87B5E"/>
    <w:rsid w:val="00F87E18"/>
    <w:rsid w:val="00F87E78"/>
    <w:rsid w:val="00F87EAF"/>
    <w:rsid w:val="00F90028"/>
    <w:rsid w:val="00F903E9"/>
    <w:rsid w:val="00F9065A"/>
    <w:rsid w:val="00F90D5D"/>
    <w:rsid w:val="00F90D75"/>
    <w:rsid w:val="00F90E7C"/>
    <w:rsid w:val="00F90ECA"/>
    <w:rsid w:val="00F91074"/>
    <w:rsid w:val="00F91C03"/>
    <w:rsid w:val="00F920EC"/>
    <w:rsid w:val="00F921FC"/>
    <w:rsid w:val="00F9229C"/>
    <w:rsid w:val="00F922EF"/>
    <w:rsid w:val="00F92481"/>
    <w:rsid w:val="00F92CF3"/>
    <w:rsid w:val="00F92ED6"/>
    <w:rsid w:val="00F92EF5"/>
    <w:rsid w:val="00F930EE"/>
    <w:rsid w:val="00F9367D"/>
    <w:rsid w:val="00F9398B"/>
    <w:rsid w:val="00F93AF7"/>
    <w:rsid w:val="00F93C0E"/>
    <w:rsid w:val="00F93FF2"/>
    <w:rsid w:val="00F94A14"/>
    <w:rsid w:val="00F94C53"/>
    <w:rsid w:val="00F94C8E"/>
    <w:rsid w:val="00F952A7"/>
    <w:rsid w:val="00F952AA"/>
    <w:rsid w:val="00F953C0"/>
    <w:rsid w:val="00F9546E"/>
    <w:rsid w:val="00F9565C"/>
    <w:rsid w:val="00F95DEF"/>
    <w:rsid w:val="00F95FE1"/>
    <w:rsid w:val="00F9615C"/>
    <w:rsid w:val="00F96456"/>
    <w:rsid w:val="00F96711"/>
    <w:rsid w:val="00F969E2"/>
    <w:rsid w:val="00F96A80"/>
    <w:rsid w:val="00F96AC8"/>
    <w:rsid w:val="00F96E80"/>
    <w:rsid w:val="00F9708F"/>
    <w:rsid w:val="00F971CF"/>
    <w:rsid w:val="00F9750E"/>
    <w:rsid w:val="00F9780D"/>
    <w:rsid w:val="00F97A03"/>
    <w:rsid w:val="00F97E58"/>
    <w:rsid w:val="00F97F00"/>
    <w:rsid w:val="00FA045A"/>
    <w:rsid w:val="00FA05C5"/>
    <w:rsid w:val="00FA1195"/>
    <w:rsid w:val="00FA12A0"/>
    <w:rsid w:val="00FA1699"/>
    <w:rsid w:val="00FA19AC"/>
    <w:rsid w:val="00FA1B87"/>
    <w:rsid w:val="00FA1CBF"/>
    <w:rsid w:val="00FA2068"/>
    <w:rsid w:val="00FA22E9"/>
    <w:rsid w:val="00FA2702"/>
    <w:rsid w:val="00FA29C7"/>
    <w:rsid w:val="00FA2FB6"/>
    <w:rsid w:val="00FA31E7"/>
    <w:rsid w:val="00FA350A"/>
    <w:rsid w:val="00FA36A3"/>
    <w:rsid w:val="00FA36E6"/>
    <w:rsid w:val="00FA3DB5"/>
    <w:rsid w:val="00FA478F"/>
    <w:rsid w:val="00FA47CB"/>
    <w:rsid w:val="00FA48AD"/>
    <w:rsid w:val="00FA4B9E"/>
    <w:rsid w:val="00FA4E81"/>
    <w:rsid w:val="00FA50C2"/>
    <w:rsid w:val="00FA54D4"/>
    <w:rsid w:val="00FA5544"/>
    <w:rsid w:val="00FA5B04"/>
    <w:rsid w:val="00FA5DCC"/>
    <w:rsid w:val="00FA6089"/>
    <w:rsid w:val="00FA655F"/>
    <w:rsid w:val="00FA6E2C"/>
    <w:rsid w:val="00FA6EF0"/>
    <w:rsid w:val="00FA6FD2"/>
    <w:rsid w:val="00FA73F5"/>
    <w:rsid w:val="00FA785B"/>
    <w:rsid w:val="00FA79B2"/>
    <w:rsid w:val="00FA79DB"/>
    <w:rsid w:val="00FA7AB3"/>
    <w:rsid w:val="00FA7CE4"/>
    <w:rsid w:val="00FB0C82"/>
    <w:rsid w:val="00FB13D3"/>
    <w:rsid w:val="00FB186D"/>
    <w:rsid w:val="00FB192D"/>
    <w:rsid w:val="00FB1E03"/>
    <w:rsid w:val="00FB2423"/>
    <w:rsid w:val="00FB269D"/>
    <w:rsid w:val="00FB30FE"/>
    <w:rsid w:val="00FB3632"/>
    <w:rsid w:val="00FB36A9"/>
    <w:rsid w:val="00FB3CA0"/>
    <w:rsid w:val="00FB3D4C"/>
    <w:rsid w:val="00FB3F71"/>
    <w:rsid w:val="00FB40BA"/>
    <w:rsid w:val="00FB4390"/>
    <w:rsid w:val="00FB4713"/>
    <w:rsid w:val="00FB4BC3"/>
    <w:rsid w:val="00FB4BDD"/>
    <w:rsid w:val="00FB4C98"/>
    <w:rsid w:val="00FB5115"/>
    <w:rsid w:val="00FB5283"/>
    <w:rsid w:val="00FB53EC"/>
    <w:rsid w:val="00FB5771"/>
    <w:rsid w:val="00FB57A0"/>
    <w:rsid w:val="00FB5847"/>
    <w:rsid w:val="00FB590C"/>
    <w:rsid w:val="00FB59E9"/>
    <w:rsid w:val="00FB5AD9"/>
    <w:rsid w:val="00FB66D1"/>
    <w:rsid w:val="00FB6ECF"/>
    <w:rsid w:val="00FB7451"/>
    <w:rsid w:val="00FB76AB"/>
    <w:rsid w:val="00FB7A6A"/>
    <w:rsid w:val="00FB7DBF"/>
    <w:rsid w:val="00FC0122"/>
    <w:rsid w:val="00FC019F"/>
    <w:rsid w:val="00FC01DA"/>
    <w:rsid w:val="00FC0D7C"/>
    <w:rsid w:val="00FC1103"/>
    <w:rsid w:val="00FC15F5"/>
    <w:rsid w:val="00FC17B0"/>
    <w:rsid w:val="00FC1A1E"/>
    <w:rsid w:val="00FC1C86"/>
    <w:rsid w:val="00FC1D5A"/>
    <w:rsid w:val="00FC20BC"/>
    <w:rsid w:val="00FC27FB"/>
    <w:rsid w:val="00FC2BBF"/>
    <w:rsid w:val="00FC2C4C"/>
    <w:rsid w:val="00FC303C"/>
    <w:rsid w:val="00FC30A0"/>
    <w:rsid w:val="00FC31F1"/>
    <w:rsid w:val="00FC3382"/>
    <w:rsid w:val="00FC361B"/>
    <w:rsid w:val="00FC384C"/>
    <w:rsid w:val="00FC385D"/>
    <w:rsid w:val="00FC4075"/>
    <w:rsid w:val="00FC454B"/>
    <w:rsid w:val="00FC4553"/>
    <w:rsid w:val="00FC465D"/>
    <w:rsid w:val="00FC46E8"/>
    <w:rsid w:val="00FC470C"/>
    <w:rsid w:val="00FC4B5F"/>
    <w:rsid w:val="00FC4D34"/>
    <w:rsid w:val="00FC5569"/>
    <w:rsid w:val="00FC55FC"/>
    <w:rsid w:val="00FC56E7"/>
    <w:rsid w:val="00FC5A77"/>
    <w:rsid w:val="00FC5C92"/>
    <w:rsid w:val="00FC648E"/>
    <w:rsid w:val="00FC6533"/>
    <w:rsid w:val="00FC6548"/>
    <w:rsid w:val="00FC6630"/>
    <w:rsid w:val="00FC6862"/>
    <w:rsid w:val="00FC6C7B"/>
    <w:rsid w:val="00FC6D6B"/>
    <w:rsid w:val="00FC6DC2"/>
    <w:rsid w:val="00FC741A"/>
    <w:rsid w:val="00FC746B"/>
    <w:rsid w:val="00FC7494"/>
    <w:rsid w:val="00FC768B"/>
    <w:rsid w:val="00FC7CF7"/>
    <w:rsid w:val="00FD023C"/>
    <w:rsid w:val="00FD0722"/>
    <w:rsid w:val="00FD074C"/>
    <w:rsid w:val="00FD0AFE"/>
    <w:rsid w:val="00FD0EEB"/>
    <w:rsid w:val="00FD1139"/>
    <w:rsid w:val="00FD1517"/>
    <w:rsid w:val="00FD162A"/>
    <w:rsid w:val="00FD166E"/>
    <w:rsid w:val="00FD1795"/>
    <w:rsid w:val="00FD1E02"/>
    <w:rsid w:val="00FD1E64"/>
    <w:rsid w:val="00FD21C1"/>
    <w:rsid w:val="00FD2279"/>
    <w:rsid w:val="00FD248A"/>
    <w:rsid w:val="00FD25E4"/>
    <w:rsid w:val="00FD2D16"/>
    <w:rsid w:val="00FD2D28"/>
    <w:rsid w:val="00FD3158"/>
    <w:rsid w:val="00FD3451"/>
    <w:rsid w:val="00FD352D"/>
    <w:rsid w:val="00FD36BF"/>
    <w:rsid w:val="00FD3BBD"/>
    <w:rsid w:val="00FD3FB1"/>
    <w:rsid w:val="00FD4028"/>
    <w:rsid w:val="00FD40CF"/>
    <w:rsid w:val="00FD425B"/>
    <w:rsid w:val="00FD497D"/>
    <w:rsid w:val="00FD4A49"/>
    <w:rsid w:val="00FD5025"/>
    <w:rsid w:val="00FD5036"/>
    <w:rsid w:val="00FD51E3"/>
    <w:rsid w:val="00FD55AC"/>
    <w:rsid w:val="00FD59D7"/>
    <w:rsid w:val="00FD5F98"/>
    <w:rsid w:val="00FD6C86"/>
    <w:rsid w:val="00FD6DC3"/>
    <w:rsid w:val="00FD6E9F"/>
    <w:rsid w:val="00FD7132"/>
    <w:rsid w:val="00FD7241"/>
    <w:rsid w:val="00FE018E"/>
    <w:rsid w:val="00FE08FE"/>
    <w:rsid w:val="00FE0BF1"/>
    <w:rsid w:val="00FE0EC3"/>
    <w:rsid w:val="00FE1028"/>
    <w:rsid w:val="00FE13F8"/>
    <w:rsid w:val="00FE15AD"/>
    <w:rsid w:val="00FE15F3"/>
    <w:rsid w:val="00FE182B"/>
    <w:rsid w:val="00FE1AC9"/>
    <w:rsid w:val="00FE1C0E"/>
    <w:rsid w:val="00FE1CEE"/>
    <w:rsid w:val="00FE29C2"/>
    <w:rsid w:val="00FE2F8B"/>
    <w:rsid w:val="00FE30A1"/>
    <w:rsid w:val="00FE31D9"/>
    <w:rsid w:val="00FE371A"/>
    <w:rsid w:val="00FE3B51"/>
    <w:rsid w:val="00FE40A4"/>
    <w:rsid w:val="00FE446B"/>
    <w:rsid w:val="00FE4972"/>
    <w:rsid w:val="00FE51BF"/>
    <w:rsid w:val="00FE56F9"/>
    <w:rsid w:val="00FE5880"/>
    <w:rsid w:val="00FE5B58"/>
    <w:rsid w:val="00FE5C99"/>
    <w:rsid w:val="00FE5CFC"/>
    <w:rsid w:val="00FE5D96"/>
    <w:rsid w:val="00FE5DF7"/>
    <w:rsid w:val="00FE6074"/>
    <w:rsid w:val="00FE60C4"/>
    <w:rsid w:val="00FE60DF"/>
    <w:rsid w:val="00FE633E"/>
    <w:rsid w:val="00FE6378"/>
    <w:rsid w:val="00FE6828"/>
    <w:rsid w:val="00FE6BA3"/>
    <w:rsid w:val="00FE727B"/>
    <w:rsid w:val="00FE740B"/>
    <w:rsid w:val="00FE76CA"/>
    <w:rsid w:val="00FE7936"/>
    <w:rsid w:val="00FE7AB8"/>
    <w:rsid w:val="00FE7C05"/>
    <w:rsid w:val="00FF01C9"/>
    <w:rsid w:val="00FF08CE"/>
    <w:rsid w:val="00FF08DD"/>
    <w:rsid w:val="00FF0BB7"/>
    <w:rsid w:val="00FF15BE"/>
    <w:rsid w:val="00FF1BC6"/>
    <w:rsid w:val="00FF2071"/>
    <w:rsid w:val="00FF2232"/>
    <w:rsid w:val="00FF25C9"/>
    <w:rsid w:val="00FF2994"/>
    <w:rsid w:val="00FF2CBF"/>
    <w:rsid w:val="00FF2ED8"/>
    <w:rsid w:val="00FF2F19"/>
    <w:rsid w:val="00FF321C"/>
    <w:rsid w:val="00FF341B"/>
    <w:rsid w:val="00FF3D28"/>
    <w:rsid w:val="00FF3FC2"/>
    <w:rsid w:val="00FF4123"/>
    <w:rsid w:val="00FF4878"/>
    <w:rsid w:val="00FF4B60"/>
    <w:rsid w:val="00FF4E6C"/>
    <w:rsid w:val="00FF5125"/>
    <w:rsid w:val="00FF57C6"/>
    <w:rsid w:val="00FF64B0"/>
    <w:rsid w:val="00FF659A"/>
    <w:rsid w:val="00FF67B0"/>
    <w:rsid w:val="00FF6D4F"/>
    <w:rsid w:val="00FF70D5"/>
    <w:rsid w:val="00FF70E7"/>
    <w:rsid w:val="00FF71E4"/>
    <w:rsid w:val="00FF7570"/>
    <w:rsid w:val="00FF7964"/>
    <w:rsid w:val="0109664F"/>
    <w:rsid w:val="010B7637"/>
    <w:rsid w:val="010C0C85"/>
    <w:rsid w:val="010E78D2"/>
    <w:rsid w:val="01131CAA"/>
    <w:rsid w:val="01135665"/>
    <w:rsid w:val="01223B56"/>
    <w:rsid w:val="012664E8"/>
    <w:rsid w:val="012E6E12"/>
    <w:rsid w:val="014072F8"/>
    <w:rsid w:val="01422993"/>
    <w:rsid w:val="01441BA9"/>
    <w:rsid w:val="0146260B"/>
    <w:rsid w:val="014830C8"/>
    <w:rsid w:val="01485C55"/>
    <w:rsid w:val="014A5D6B"/>
    <w:rsid w:val="014F6EF5"/>
    <w:rsid w:val="01531003"/>
    <w:rsid w:val="01553991"/>
    <w:rsid w:val="01584DA3"/>
    <w:rsid w:val="015B7A9D"/>
    <w:rsid w:val="015C1945"/>
    <w:rsid w:val="015D22AF"/>
    <w:rsid w:val="01715C82"/>
    <w:rsid w:val="0172238D"/>
    <w:rsid w:val="01777875"/>
    <w:rsid w:val="01791183"/>
    <w:rsid w:val="017B5A74"/>
    <w:rsid w:val="017C7204"/>
    <w:rsid w:val="017E4245"/>
    <w:rsid w:val="017E4DA9"/>
    <w:rsid w:val="017E6CDD"/>
    <w:rsid w:val="018318F3"/>
    <w:rsid w:val="0187548C"/>
    <w:rsid w:val="0194572A"/>
    <w:rsid w:val="01964F14"/>
    <w:rsid w:val="01974E1D"/>
    <w:rsid w:val="01984653"/>
    <w:rsid w:val="01994337"/>
    <w:rsid w:val="01A04606"/>
    <w:rsid w:val="01A7359D"/>
    <w:rsid w:val="01A96AFF"/>
    <w:rsid w:val="01AD2B2D"/>
    <w:rsid w:val="01AF5DCA"/>
    <w:rsid w:val="01BB20C0"/>
    <w:rsid w:val="01C046AC"/>
    <w:rsid w:val="01C34144"/>
    <w:rsid w:val="01C41D7B"/>
    <w:rsid w:val="01CF08BB"/>
    <w:rsid w:val="01DA4AD6"/>
    <w:rsid w:val="01DB6B02"/>
    <w:rsid w:val="01E16630"/>
    <w:rsid w:val="01EC5E75"/>
    <w:rsid w:val="01F12696"/>
    <w:rsid w:val="01F170BD"/>
    <w:rsid w:val="01F761EF"/>
    <w:rsid w:val="01FE68A6"/>
    <w:rsid w:val="02000987"/>
    <w:rsid w:val="02016302"/>
    <w:rsid w:val="02093AF5"/>
    <w:rsid w:val="020A7F1B"/>
    <w:rsid w:val="02127911"/>
    <w:rsid w:val="02127D12"/>
    <w:rsid w:val="02137DDE"/>
    <w:rsid w:val="021460C9"/>
    <w:rsid w:val="02154CBF"/>
    <w:rsid w:val="0217695B"/>
    <w:rsid w:val="0218234F"/>
    <w:rsid w:val="021836F0"/>
    <w:rsid w:val="0219686E"/>
    <w:rsid w:val="02197385"/>
    <w:rsid w:val="021A782D"/>
    <w:rsid w:val="02214275"/>
    <w:rsid w:val="0223223A"/>
    <w:rsid w:val="022473E3"/>
    <w:rsid w:val="02293C40"/>
    <w:rsid w:val="022B5F5C"/>
    <w:rsid w:val="023442DD"/>
    <w:rsid w:val="024559B8"/>
    <w:rsid w:val="0248381D"/>
    <w:rsid w:val="024D5874"/>
    <w:rsid w:val="02536A24"/>
    <w:rsid w:val="02561D75"/>
    <w:rsid w:val="025A5EB4"/>
    <w:rsid w:val="025D6043"/>
    <w:rsid w:val="025F6FEF"/>
    <w:rsid w:val="02610DBC"/>
    <w:rsid w:val="026A6DFC"/>
    <w:rsid w:val="026B4A12"/>
    <w:rsid w:val="026B56C8"/>
    <w:rsid w:val="026C65FF"/>
    <w:rsid w:val="02740467"/>
    <w:rsid w:val="02756897"/>
    <w:rsid w:val="0279454D"/>
    <w:rsid w:val="027F4127"/>
    <w:rsid w:val="02876083"/>
    <w:rsid w:val="02887A4F"/>
    <w:rsid w:val="028A4717"/>
    <w:rsid w:val="0293055B"/>
    <w:rsid w:val="02965857"/>
    <w:rsid w:val="029C2D7B"/>
    <w:rsid w:val="02A05982"/>
    <w:rsid w:val="02A63E80"/>
    <w:rsid w:val="02A84FD9"/>
    <w:rsid w:val="02AC6524"/>
    <w:rsid w:val="02AE784F"/>
    <w:rsid w:val="02C07F66"/>
    <w:rsid w:val="02C546B9"/>
    <w:rsid w:val="02C6660F"/>
    <w:rsid w:val="02C837C0"/>
    <w:rsid w:val="02C854A1"/>
    <w:rsid w:val="02CD1E12"/>
    <w:rsid w:val="02CF4C0F"/>
    <w:rsid w:val="02D27D99"/>
    <w:rsid w:val="02D674DE"/>
    <w:rsid w:val="02D96E8B"/>
    <w:rsid w:val="02EE3FAA"/>
    <w:rsid w:val="02F26CDE"/>
    <w:rsid w:val="02F5317A"/>
    <w:rsid w:val="02F6321E"/>
    <w:rsid w:val="02FB378E"/>
    <w:rsid w:val="02FD3309"/>
    <w:rsid w:val="03053E82"/>
    <w:rsid w:val="03074E51"/>
    <w:rsid w:val="03093486"/>
    <w:rsid w:val="030B773B"/>
    <w:rsid w:val="030D46BA"/>
    <w:rsid w:val="03154853"/>
    <w:rsid w:val="031C1FEB"/>
    <w:rsid w:val="031D6C8F"/>
    <w:rsid w:val="031E2FE1"/>
    <w:rsid w:val="03285661"/>
    <w:rsid w:val="03296E70"/>
    <w:rsid w:val="032C3720"/>
    <w:rsid w:val="0333756A"/>
    <w:rsid w:val="033A1815"/>
    <w:rsid w:val="033F3640"/>
    <w:rsid w:val="034002BB"/>
    <w:rsid w:val="03432012"/>
    <w:rsid w:val="03441B72"/>
    <w:rsid w:val="03514B77"/>
    <w:rsid w:val="03536477"/>
    <w:rsid w:val="035814CA"/>
    <w:rsid w:val="03597F86"/>
    <w:rsid w:val="035C1F5E"/>
    <w:rsid w:val="035C5783"/>
    <w:rsid w:val="03616C4B"/>
    <w:rsid w:val="036E557E"/>
    <w:rsid w:val="03726C71"/>
    <w:rsid w:val="037274FD"/>
    <w:rsid w:val="03766543"/>
    <w:rsid w:val="037C2751"/>
    <w:rsid w:val="037D6371"/>
    <w:rsid w:val="038043E3"/>
    <w:rsid w:val="03820CF5"/>
    <w:rsid w:val="03865D5E"/>
    <w:rsid w:val="038679F9"/>
    <w:rsid w:val="03A37BFD"/>
    <w:rsid w:val="03A60E6E"/>
    <w:rsid w:val="03A62D87"/>
    <w:rsid w:val="03A65DBA"/>
    <w:rsid w:val="03A958C9"/>
    <w:rsid w:val="03A9618F"/>
    <w:rsid w:val="03AC3869"/>
    <w:rsid w:val="03B2712E"/>
    <w:rsid w:val="03BB0802"/>
    <w:rsid w:val="03BB73F2"/>
    <w:rsid w:val="03C12510"/>
    <w:rsid w:val="03C64139"/>
    <w:rsid w:val="03C66690"/>
    <w:rsid w:val="03C82944"/>
    <w:rsid w:val="03CF5EC8"/>
    <w:rsid w:val="03D33EDD"/>
    <w:rsid w:val="03DA1EF9"/>
    <w:rsid w:val="03DA537B"/>
    <w:rsid w:val="03DB2023"/>
    <w:rsid w:val="03E43430"/>
    <w:rsid w:val="03E500D3"/>
    <w:rsid w:val="03EF596B"/>
    <w:rsid w:val="03F14573"/>
    <w:rsid w:val="03FB0DDC"/>
    <w:rsid w:val="03FE22FD"/>
    <w:rsid w:val="04023C48"/>
    <w:rsid w:val="04027A67"/>
    <w:rsid w:val="04064E22"/>
    <w:rsid w:val="041139E9"/>
    <w:rsid w:val="04117293"/>
    <w:rsid w:val="041C23DA"/>
    <w:rsid w:val="04200A65"/>
    <w:rsid w:val="04254721"/>
    <w:rsid w:val="042E361C"/>
    <w:rsid w:val="043226BB"/>
    <w:rsid w:val="043231A4"/>
    <w:rsid w:val="043260AE"/>
    <w:rsid w:val="044302B2"/>
    <w:rsid w:val="04433E04"/>
    <w:rsid w:val="04453B6A"/>
    <w:rsid w:val="044726A2"/>
    <w:rsid w:val="04497D44"/>
    <w:rsid w:val="04512206"/>
    <w:rsid w:val="0468187F"/>
    <w:rsid w:val="046E7CBF"/>
    <w:rsid w:val="047042F3"/>
    <w:rsid w:val="04711716"/>
    <w:rsid w:val="04736E6A"/>
    <w:rsid w:val="0476507A"/>
    <w:rsid w:val="048B64D9"/>
    <w:rsid w:val="0493631B"/>
    <w:rsid w:val="04946463"/>
    <w:rsid w:val="0496410B"/>
    <w:rsid w:val="049A1C79"/>
    <w:rsid w:val="04A31BCF"/>
    <w:rsid w:val="04A43E84"/>
    <w:rsid w:val="04B72B91"/>
    <w:rsid w:val="04BB5FB2"/>
    <w:rsid w:val="04BC2019"/>
    <w:rsid w:val="04C04EE0"/>
    <w:rsid w:val="04C33292"/>
    <w:rsid w:val="04C65857"/>
    <w:rsid w:val="04CF1FB9"/>
    <w:rsid w:val="04D26AF3"/>
    <w:rsid w:val="04DA0001"/>
    <w:rsid w:val="04DC36B8"/>
    <w:rsid w:val="04DE2845"/>
    <w:rsid w:val="04DF37E3"/>
    <w:rsid w:val="04E309E9"/>
    <w:rsid w:val="04E460FB"/>
    <w:rsid w:val="04E674EB"/>
    <w:rsid w:val="04EF01F7"/>
    <w:rsid w:val="04F0408A"/>
    <w:rsid w:val="04F27738"/>
    <w:rsid w:val="04F73BED"/>
    <w:rsid w:val="04F85093"/>
    <w:rsid w:val="04F97D40"/>
    <w:rsid w:val="04FA1DF1"/>
    <w:rsid w:val="0504278F"/>
    <w:rsid w:val="0505044F"/>
    <w:rsid w:val="05144B74"/>
    <w:rsid w:val="05207639"/>
    <w:rsid w:val="05293855"/>
    <w:rsid w:val="05312A11"/>
    <w:rsid w:val="05350A5B"/>
    <w:rsid w:val="053B58F4"/>
    <w:rsid w:val="053C78C7"/>
    <w:rsid w:val="053F3C3A"/>
    <w:rsid w:val="05436364"/>
    <w:rsid w:val="05450E18"/>
    <w:rsid w:val="055073F3"/>
    <w:rsid w:val="05517A0D"/>
    <w:rsid w:val="05567439"/>
    <w:rsid w:val="055C42C4"/>
    <w:rsid w:val="05601415"/>
    <w:rsid w:val="056B4ED7"/>
    <w:rsid w:val="056E1388"/>
    <w:rsid w:val="05705AEA"/>
    <w:rsid w:val="057D0E05"/>
    <w:rsid w:val="05802FBD"/>
    <w:rsid w:val="05804D8E"/>
    <w:rsid w:val="05874FA8"/>
    <w:rsid w:val="059110C0"/>
    <w:rsid w:val="059A583F"/>
    <w:rsid w:val="059C4B63"/>
    <w:rsid w:val="059F241C"/>
    <w:rsid w:val="05A0255D"/>
    <w:rsid w:val="05A113D4"/>
    <w:rsid w:val="05A1730E"/>
    <w:rsid w:val="05A21036"/>
    <w:rsid w:val="05A26D57"/>
    <w:rsid w:val="05A379C0"/>
    <w:rsid w:val="05A4669F"/>
    <w:rsid w:val="05A64B04"/>
    <w:rsid w:val="05A9431A"/>
    <w:rsid w:val="05AA39E0"/>
    <w:rsid w:val="05AC031A"/>
    <w:rsid w:val="05AE43A5"/>
    <w:rsid w:val="05B2139D"/>
    <w:rsid w:val="05B414E7"/>
    <w:rsid w:val="05C35FBC"/>
    <w:rsid w:val="05C45118"/>
    <w:rsid w:val="05C52C89"/>
    <w:rsid w:val="05C6319E"/>
    <w:rsid w:val="05D05454"/>
    <w:rsid w:val="05D808B1"/>
    <w:rsid w:val="05DA54A7"/>
    <w:rsid w:val="05DB3EEB"/>
    <w:rsid w:val="05EF77A3"/>
    <w:rsid w:val="05F26D9F"/>
    <w:rsid w:val="05F37C6E"/>
    <w:rsid w:val="05F93833"/>
    <w:rsid w:val="05F94A47"/>
    <w:rsid w:val="06032EA4"/>
    <w:rsid w:val="06097B88"/>
    <w:rsid w:val="060C3EE0"/>
    <w:rsid w:val="061B0544"/>
    <w:rsid w:val="061F616A"/>
    <w:rsid w:val="06210D13"/>
    <w:rsid w:val="06262B2D"/>
    <w:rsid w:val="06267F6A"/>
    <w:rsid w:val="062D0F62"/>
    <w:rsid w:val="062F1E72"/>
    <w:rsid w:val="063611D0"/>
    <w:rsid w:val="06365F2D"/>
    <w:rsid w:val="063B5E2C"/>
    <w:rsid w:val="06420AD1"/>
    <w:rsid w:val="06444595"/>
    <w:rsid w:val="06453A17"/>
    <w:rsid w:val="06516812"/>
    <w:rsid w:val="06542EB0"/>
    <w:rsid w:val="06636709"/>
    <w:rsid w:val="066541A1"/>
    <w:rsid w:val="066718C8"/>
    <w:rsid w:val="06683AC0"/>
    <w:rsid w:val="06683EE2"/>
    <w:rsid w:val="066F5F19"/>
    <w:rsid w:val="06702BD0"/>
    <w:rsid w:val="067173CF"/>
    <w:rsid w:val="06736A71"/>
    <w:rsid w:val="0674743A"/>
    <w:rsid w:val="06750768"/>
    <w:rsid w:val="067653E9"/>
    <w:rsid w:val="06776BDE"/>
    <w:rsid w:val="06784FBF"/>
    <w:rsid w:val="067873F9"/>
    <w:rsid w:val="068109C5"/>
    <w:rsid w:val="068F50F2"/>
    <w:rsid w:val="069253CB"/>
    <w:rsid w:val="06961962"/>
    <w:rsid w:val="069B41BB"/>
    <w:rsid w:val="069E0721"/>
    <w:rsid w:val="069E6954"/>
    <w:rsid w:val="069F3899"/>
    <w:rsid w:val="06A40077"/>
    <w:rsid w:val="06A40C4E"/>
    <w:rsid w:val="06A938CB"/>
    <w:rsid w:val="06BE16B9"/>
    <w:rsid w:val="06BE3873"/>
    <w:rsid w:val="06C00842"/>
    <w:rsid w:val="06C96500"/>
    <w:rsid w:val="06CA730B"/>
    <w:rsid w:val="06CA7EE0"/>
    <w:rsid w:val="06CC600F"/>
    <w:rsid w:val="06D86026"/>
    <w:rsid w:val="06D90342"/>
    <w:rsid w:val="06DE4EB7"/>
    <w:rsid w:val="06E4139F"/>
    <w:rsid w:val="06EE5DF0"/>
    <w:rsid w:val="06EF5DE6"/>
    <w:rsid w:val="06F10924"/>
    <w:rsid w:val="06F1170E"/>
    <w:rsid w:val="06F57EC5"/>
    <w:rsid w:val="06F628C9"/>
    <w:rsid w:val="06FA4C34"/>
    <w:rsid w:val="06FB6E00"/>
    <w:rsid w:val="06FC64FF"/>
    <w:rsid w:val="06FE25AC"/>
    <w:rsid w:val="0701171A"/>
    <w:rsid w:val="070317D9"/>
    <w:rsid w:val="07071E91"/>
    <w:rsid w:val="07082FBF"/>
    <w:rsid w:val="07092A24"/>
    <w:rsid w:val="070D2FF9"/>
    <w:rsid w:val="07164BB2"/>
    <w:rsid w:val="072E5093"/>
    <w:rsid w:val="072F3988"/>
    <w:rsid w:val="07305135"/>
    <w:rsid w:val="0732743A"/>
    <w:rsid w:val="07351184"/>
    <w:rsid w:val="073C3972"/>
    <w:rsid w:val="073D0EB1"/>
    <w:rsid w:val="073D2481"/>
    <w:rsid w:val="073F5D05"/>
    <w:rsid w:val="07410E51"/>
    <w:rsid w:val="0744735F"/>
    <w:rsid w:val="074834AF"/>
    <w:rsid w:val="074C3C7C"/>
    <w:rsid w:val="074D2322"/>
    <w:rsid w:val="07546057"/>
    <w:rsid w:val="075E0DA4"/>
    <w:rsid w:val="0765582F"/>
    <w:rsid w:val="07742EEB"/>
    <w:rsid w:val="0777360D"/>
    <w:rsid w:val="077A2E4B"/>
    <w:rsid w:val="077A59D9"/>
    <w:rsid w:val="077B7C55"/>
    <w:rsid w:val="078672E3"/>
    <w:rsid w:val="078A78D2"/>
    <w:rsid w:val="078B660A"/>
    <w:rsid w:val="078C22E3"/>
    <w:rsid w:val="078E5566"/>
    <w:rsid w:val="07942E7D"/>
    <w:rsid w:val="079639CA"/>
    <w:rsid w:val="07A158A8"/>
    <w:rsid w:val="07A40991"/>
    <w:rsid w:val="07A64390"/>
    <w:rsid w:val="07B2747B"/>
    <w:rsid w:val="07B87D02"/>
    <w:rsid w:val="07BC65C5"/>
    <w:rsid w:val="07BD4E6A"/>
    <w:rsid w:val="07BE5FD6"/>
    <w:rsid w:val="07C21637"/>
    <w:rsid w:val="07CD1CB1"/>
    <w:rsid w:val="07CD570B"/>
    <w:rsid w:val="07D66DD0"/>
    <w:rsid w:val="07D77A14"/>
    <w:rsid w:val="07D94A90"/>
    <w:rsid w:val="07D96CCA"/>
    <w:rsid w:val="07DE4F09"/>
    <w:rsid w:val="07DF5D65"/>
    <w:rsid w:val="07E62645"/>
    <w:rsid w:val="07F006E9"/>
    <w:rsid w:val="07F3204F"/>
    <w:rsid w:val="07F57DF9"/>
    <w:rsid w:val="07FB367D"/>
    <w:rsid w:val="07FB585E"/>
    <w:rsid w:val="08016D39"/>
    <w:rsid w:val="08047274"/>
    <w:rsid w:val="08067F39"/>
    <w:rsid w:val="08082902"/>
    <w:rsid w:val="080A5C92"/>
    <w:rsid w:val="08105D02"/>
    <w:rsid w:val="081B01CF"/>
    <w:rsid w:val="083B4C8E"/>
    <w:rsid w:val="083B66E3"/>
    <w:rsid w:val="083C422B"/>
    <w:rsid w:val="08423368"/>
    <w:rsid w:val="08462AC7"/>
    <w:rsid w:val="08491F8D"/>
    <w:rsid w:val="084D5E58"/>
    <w:rsid w:val="084E1ADB"/>
    <w:rsid w:val="08500540"/>
    <w:rsid w:val="086435E3"/>
    <w:rsid w:val="0867498F"/>
    <w:rsid w:val="086759D0"/>
    <w:rsid w:val="0867795C"/>
    <w:rsid w:val="086C09E7"/>
    <w:rsid w:val="086E65A0"/>
    <w:rsid w:val="08732944"/>
    <w:rsid w:val="08771387"/>
    <w:rsid w:val="087C7072"/>
    <w:rsid w:val="087D5049"/>
    <w:rsid w:val="087E73A7"/>
    <w:rsid w:val="08840B48"/>
    <w:rsid w:val="088A61C6"/>
    <w:rsid w:val="088E3213"/>
    <w:rsid w:val="089063B0"/>
    <w:rsid w:val="08941078"/>
    <w:rsid w:val="08A526D2"/>
    <w:rsid w:val="08AC0ADA"/>
    <w:rsid w:val="08AC2BD8"/>
    <w:rsid w:val="08B23D8F"/>
    <w:rsid w:val="08B73372"/>
    <w:rsid w:val="08B858C6"/>
    <w:rsid w:val="08BA06D7"/>
    <w:rsid w:val="08C96523"/>
    <w:rsid w:val="08CA0C0F"/>
    <w:rsid w:val="08CF631E"/>
    <w:rsid w:val="08D07BA3"/>
    <w:rsid w:val="08D4651F"/>
    <w:rsid w:val="08D468AF"/>
    <w:rsid w:val="08D60320"/>
    <w:rsid w:val="08E26AAA"/>
    <w:rsid w:val="08E31E6B"/>
    <w:rsid w:val="08E54FF6"/>
    <w:rsid w:val="08E64DA3"/>
    <w:rsid w:val="08E6786B"/>
    <w:rsid w:val="08E771AE"/>
    <w:rsid w:val="08ED04BD"/>
    <w:rsid w:val="08ED14F4"/>
    <w:rsid w:val="08EE5568"/>
    <w:rsid w:val="08F35217"/>
    <w:rsid w:val="08F37678"/>
    <w:rsid w:val="08F55011"/>
    <w:rsid w:val="08F61C3D"/>
    <w:rsid w:val="08F743A5"/>
    <w:rsid w:val="08FA22B1"/>
    <w:rsid w:val="08FA446E"/>
    <w:rsid w:val="09011804"/>
    <w:rsid w:val="0902696C"/>
    <w:rsid w:val="090667D2"/>
    <w:rsid w:val="090A5A02"/>
    <w:rsid w:val="090B0986"/>
    <w:rsid w:val="090E7B13"/>
    <w:rsid w:val="090F558B"/>
    <w:rsid w:val="090F6393"/>
    <w:rsid w:val="09171463"/>
    <w:rsid w:val="092270C5"/>
    <w:rsid w:val="09257DEA"/>
    <w:rsid w:val="092A362A"/>
    <w:rsid w:val="092B4361"/>
    <w:rsid w:val="0931786E"/>
    <w:rsid w:val="093275E7"/>
    <w:rsid w:val="09372D8E"/>
    <w:rsid w:val="09380779"/>
    <w:rsid w:val="093C2C62"/>
    <w:rsid w:val="093D4951"/>
    <w:rsid w:val="093D6CCC"/>
    <w:rsid w:val="094708DC"/>
    <w:rsid w:val="094B0F0E"/>
    <w:rsid w:val="094C327C"/>
    <w:rsid w:val="094C468C"/>
    <w:rsid w:val="094D4739"/>
    <w:rsid w:val="09525E0A"/>
    <w:rsid w:val="09562632"/>
    <w:rsid w:val="095722DC"/>
    <w:rsid w:val="095D1DA8"/>
    <w:rsid w:val="09620194"/>
    <w:rsid w:val="09624DF6"/>
    <w:rsid w:val="09636510"/>
    <w:rsid w:val="09641AC5"/>
    <w:rsid w:val="096C5278"/>
    <w:rsid w:val="096C5A2C"/>
    <w:rsid w:val="09700B04"/>
    <w:rsid w:val="0974622E"/>
    <w:rsid w:val="097563EA"/>
    <w:rsid w:val="097641E7"/>
    <w:rsid w:val="09785F3F"/>
    <w:rsid w:val="09797936"/>
    <w:rsid w:val="097A654A"/>
    <w:rsid w:val="097D087F"/>
    <w:rsid w:val="09813333"/>
    <w:rsid w:val="09900F39"/>
    <w:rsid w:val="09901D85"/>
    <w:rsid w:val="09976958"/>
    <w:rsid w:val="099B1EA6"/>
    <w:rsid w:val="09A21723"/>
    <w:rsid w:val="09A571E1"/>
    <w:rsid w:val="09A9606B"/>
    <w:rsid w:val="09AD5097"/>
    <w:rsid w:val="09BC53CB"/>
    <w:rsid w:val="09BE03B5"/>
    <w:rsid w:val="09BE7D0A"/>
    <w:rsid w:val="09C54EA4"/>
    <w:rsid w:val="09C751FF"/>
    <w:rsid w:val="09CA6EDE"/>
    <w:rsid w:val="09CB692C"/>
    <w:rsid w:val="09CD31B7"/>
    <w:rsid w:val="09D03DFF"/>
    <w:rsid w:val="09D6087C"/>
    <w:rsid w:val="09DA64A7"/>
    <w:rsid w:val="09DB771C"/>
    <w:rsid w:val="09DE0F77"/>
    <w:rsid w:val="09E076CE"/>
    <w:rsid w:val="09E07827"/>
    <w:rsid w:val="09E65449"/>
    <w:rsid w:val="09EC0A8D"/>
    <w:rsid w:val="09ED338A"/>
    <w:rsid w:val="09FC294D"/>
    <w:rsid w:val="0A010CEE"/>
    <w:rsid w:val="0A014111"/>
    <w:rsid w:val="0A0651D6"/>
    <w:rsid w:val="0A076D69"/>
    <w:rsid w:val="0A0C407C"/>
    <w:rsid w:val="0A0C45C5"/>
    <w:rsid w:val="0A145241"/>
    <w:rsid w:val="0A19306D"/>
    <w:rsid w:val="0A1E08E7"/>
    <w:rsid w:val="0A1E163E"/>
    <w:rsid w:val="0A1E7202"/>
    <w:rsid w:val="0A292B12"/>
    <w:rsid w:val="0A2C6610"/>
    <w:rsid w:val="0A2E5D77"/>
    <w:rsid w:val="0A2F198C"/>
    <w:rsid w:val="0A301770"/>
    <w:rsid w:val="0A323DA0"/>
    <w:rsid w:val="0A420BC8"/>
    <w:rsid w:val="0A4F3C6C"/>
    <w:rsid w:val="0A500482"/>
    <w:rsid w:val="0A513AFC"/>
    <w:rsid w:val="0A603FCC"/>
    <w:rsid w:val="0A630808"/>
    <w:rsid w:val="0A6366AD"/>
    <w:rsid w:val="0A6E431B"/>
    <w:rsid w:val="0A72285C"/>
    <w:rsid w:val="0A770282"/>
    <w:rsid w:val="0A7768A6"/>
    <w:rsid w:val="0A7A3F8D"/>
    <w:rsid w:val="0A7C0B43"/>
    <w:rsid w:val="0A7C7BAE"/>
    <w:rsid w:val="0A830847"/>
    <w:rsid w:val="0A855D5E"/>
    <w:rsid w:val="0A8A1CE7"/>
    <w:rsid w:val="0AA04CB2"/>
    <w:rsid w:val="0AA573EF"/>
    <w:rsid w:val="0AA616D0"/>
    <w:rsid w:val="0AA93EE6"/>
    <w:rsid w:val="0AB03CC5"/>
    <w:rsid w:val="0AB24B9D"/>
    <w:rsid w:val="0AB40689"/>
    <w:rsid w:val="0AC012AA"/>
    <w:rsid w:val="0AC03AB3"/>
    <w:rsid w:val="0AC10BF9"/>
    <w:rsid w:val="0AC37F58"/>
    <w:rsid w:val="0AC7102C"/>
    <w:rsid w:val="0AC777F0"/>
    <w:rsid w:val="0ACB396B"/>
    <w:rsid w:val="0ACE723C"/>
    <w:rsid w:val="0AD4132C"/>
    <w:rsid w:val="0AD53D95"/>
    <w:rsid w:val="0AD66571"/>
    <w:rsid w:val="0AE43B13"/>
    <w:rsid w:val="0AE51EEB"/>
    <w:rsid w:val="0AE60B75"/>
    <w:rsid w:val="0AEB0BF1"/>
    <w:rsid w:val="0AED1BCD"/>
    <w:rsid w:val="0AEF6C15"/>
    <w:rsid w:val="0AF308F8"/>
    <w:rsid w:val="0AF45C98"/>
    <w:rsid w:val="0B007C3D"/>
    <w:rsid w:val="0B007EC7"/>
    <w:rsid w:val="0B0B0BB4"/>
    <w:rsid w:val="0B13774F"/>
    <w:rsid w:val="0B17488B"/>
    <w:rsid w:val="0B1B02AB"/>
    <w:rsid w:val="0B1E327E"/>
    <w:rsid w:val="0B236B7F"/>
    <w:rsid w:val="0B247FE7"/>
    <w:rsid w:val="0B25550E"/>
    <w:rsid w:val="0B2A0247"/>
    <w:rsid w:val="0B2A1C6C"/>
    <w:rsid w:val="0B311E6B"/>
    <w:rsid w:val="0B32149F"/>
    <w:rsid w:val="0B3277A5"/>
    <w:rsid w:val="0B380E64"/>
    <w:rsid w:val="0B382F3E"/>
    <w:rsid w:val="0B3900E3"/>
    <w:rsid w:val="0B401D83"/>
    <w:rsid w:val="0B421480"/>
    <w:rsid w:val="0B4918F5"/>
    <w:rsid w:val="0B494754"/>
    <w:rsid w:val="0B4A7804"/>
    <w:rsid w:val="0B4C6284"/>
    <w:rsid w:val="0B520E18"/>
    <w:rsid w:val="0B570D0C"/>
    <w:rsid w:val="0B571295"/>
    <w:rsid w:val="0B586FA3"/>
    <w:rsid w:val="0B5F7E35"/>
    <w:rsid w:val="0B6B32E6"/>
    <w:rsid w:val="0B702444"/>
    <w:rsid w:val="0B755D19"/>
    <w:rsid w:val="0B792C89"/>
    <w:rsid w:val="0B7C5D9B"/>
    <w:rsid w:val="0B7E1616"/>
    <w:rsid w:val="0B8408E0"/>
    <w:rsid w:val="0B8525B6"/>
    <w:rsid w:val="0B852FED"/>
    <w:rsid w:val="0B893954"/>
    <w:rsid w:val="0B8D7917"/>
    <w:rsid w:val="0B923CDC"/>
    <w:rsid w:val="0B926554"/>
    <w:rsid w:val="0B951BF7"/>
    <w:rsid w:val="0B967024"/>
    <w:rsid w:val="0B9C4659"/>
    <w:rsid w:val="0BA32D07"/>
    <w:rsid w:val="0BA63324"/>
    <w:rsid w:val="0BA7010B"/>
    <w:rsid w:val="0BA818EC"/>
    <w:rsid w:val="0BAC5DE8"/>
    <w:rsid w:val="0BAE40C3"/>
    <w:rsid w:val="0BAE7A8B"/>
    <w:rsid w:val="0BAF465D"/>
    <w:rsid w:val="0BBF67FE"/>
    <w:rsid w:val="0BC441FE"/>
    <w:rsid w:val="0BC45CA9"/>
    <w:rsid w:val="0BC67E5E"/>
    <w:rsid w:val="0BC76AFF"/>
    <w:rsid w:val="0BC8121D"/>
    <w:rsid w:val="0BCB262F"/>
    <w:rsid w:val="0BCC4072"/>
    <w:rsid w:val="0BD14A67"/>
    <w:rsid w:val="0BD23420"/>
    <w:rsid w:val="0BD34CA3"/>
    <w:rsid w:val="0BD46DF4"/>
    <w:rsid w:val="0BD731CC"/>
    <w:rsid w:val="0BDA670B"/>
    <w:rsid w:val="0BDF12DB"/>
    <w:rsid w:val="0BE1089A"/>
    <w:rsid w:val="0BE27329"/>
    <w:rsid w:val="0BE34601"/>
    <w:rsid w:val="0BED363A"/>
    <w:rsid w:val="0BEE7042"/>
    <w:rsid w:val="0BF00218"/>
    <w:rsid w:val="0BF17858"/>
    <w:rsid w:val="0BF40C48"/>
    <w:rsid w:val="0BF4746B"/>
    <w:rsid w:val="0BF57747"/>
    <w:rsid w:val="0BFD1756"/>
    <w:rsid w:val="0BFD34D2"/>
    <w:rsid w:val="0BFE08AE"/>
    <w:rsid w:val="0BFF7DD7"/>
    <w:rsid w:val="0C037115"/>
    <w:rsid w:val="0C055E40"/>
    <w:rsid w:val="0C126125"/>
    <w:rsid w:val="0C1724D9"/>
    <w:rsid w:val="0C18495D"/>
    <w:rsid w:val="0C1B6CD1"/>
    <w:rsid w:val="0C334983"/>
    <w:rsid w:val="0C371F6B"/>
    <w:rsid w:val="0C3E3A48"/>
    <w:rsid w:val="0C3F6A97"/>
    <w:rsid w:val="0C4318EF"/>
    <w:rsid w:val="0C436682"/>
    <w:rsid w:val="0C4664CD"/>
    <w:rsid w:val="0C4A66BA"/>
    <w:rsid w:val="0C560B42"/>
    <w:rsid w:val="0C61114D"/>
    <w:rsid w:val="0C630BDD"/>
    <w:rsid w:val="0C7127A1"/>
    <w:rsid w:val="0C712D88"/>
    <w:rsid w:val="0C7D7873"/>
    <w:rsid w:val="0C8328CC"/>
    <w:rsid w:val="0C833993"/>
    <w:rsid w:val="0C844EEE"/>
    <w:rsid w:val="0C892505"/>
    <w:rsid w:val="0C8A657F"/>
    <w:rsid w:val="0C9C7612"/>
    <w:rsid w:val="0C9D4CA2"/>
    <w:rsid w:val="0C9E4BD1"/>
    <w:rsid w:val="0CA200CD"/>
    <w:rsid w:val="0CAE3A45"/>
    <w:rsid w:val="0CB04613"/>
    <w:rsid w:val="0CB24580"/>
    <w:rsid w:val="0CBE04FF"/>
    <w:rsid w:val="0CC02539"/>
    <w:rsid w:val="0CC32DC1"/>
    <w:rsid w:val="0CC44C43"/>
    <w:rsid w:val="0CC75D82"/>
    <w:rsid w:val="0CD0419F"/>
    <w:rsid w:val="0CD7123A"/>
    <w:rsid w:val="0CDA650B"/>
    <w:rsid w:val="0CDF53FA"/>
    <w:rsid w:val="0CE1744E"/>
    <w:rsid w:val="0CE6774F"/>
    <w:rsid w:val="0CE76654"/>
    <w:rsid w:val="0CEA67F9"/>
    <w:rsid w:val="0CEB01DB"/>
    <w:rsid w:val="0CF0028A"/>
    <w:rsid w:val="0CF472EE"/>
    <w:rsid w:val="0D073245"/>
    <w:rsid w:val="0D1223F2"/>
    <w:rsid w:val="0D126F10"/>
    <w:rsid w:val="0D151EAF"/>
    <w:rsid w:val="0D15340B"/>
    <w:rsid w:val="0D182A2E"/>
    <w:rsid w:val="0D196F75"/>
    <w:rsid w:val="0D1B42F7"/>
    <w:rsid w:val="0D1E1234"/>
    <w:rsid w:val="0D245BC0"/>
    <w:rsid w:val="0D2B42CA"/>
    <w:rsid w:val="0D324536"/>
    <w:rsid w:val="0D345636"/>
    <w:rsid w:val="0D3B2425"/>
    <w:rsid w:val="0D3B32B5"/>
    <w:rsid w:val="0D3B6F98"/>
    <w:rsid w:val="0D3C1B4B"/>
    <w:rsid w:val="0D3C3A45"/>
    <w:rsid w:val="0D434D4D"/>
    <w:rsid w:val="0D4516E4"/>
    <w:rsid w:val="0D475175"/>
    <w:rsid w:val="0D497C2E"/>
    <w:rsid w:val="0D4D112C"/>
    <w:rsid w:val="0D517B44"/>
    <w:rsid w:val="0D5672FD"/>
    <w:rsid w:val="0D567527"/>
    <w:rsid w:val="0D58079D"/>
    <w:rsid w:val="0D5842E9"/>
    <w:rsid w:val="0D6121BA"/>
    <w:rsid w:val="0D642E83"/>
    <w:rsid w:val="0D657755"/>
    <w:rsid w:val="0D695A80"/>
    <w:rsid w:val="0D6B0B34"/>
    <w:rsid w:val="0D6F1E45"/>
    <w:rsid w:val="0D732F40"/>
    <w:rsid w:val="0D7661F1"/>
    <w:rsid w:val="0D7C0562"/>
    <w:rsid w:val="0D7D7AB3"/>
    <w:rsid w:val="0D7D7E97"/>
    <w:rsid w:val="0D7E65DD"/>
    <w:rsid w:val="0D847C87"/>
    <w:rsid w:val="0D856D0F"/>
    <w:rsid w:val="0D8B483C"/>
    <w:rsid w:val="0D8E100B"/>
    <w:rsid w:val="0D907FA9"/>
    <w:rsid w:val="0D912CD9"/>
    <w:rsid w:val="0D9209DE"/>
    <w:rsid w:val="0D923F78"/>
    <w:rsid w:val="0D99512F"/>
    <w:rsid w:val="0DAC1430"/>
    <w:rsid w:val="0DB376F4"/>
    <w:rsid w:val="0DB812C9"/>
    <w:rsid w:val="0DC245CA"/>
    <w:rsid w:val="0DC64BC6"/>
    <w:rsid w:val="0DC74CCE"/>
    <w:rsid w:val="0DC9254E"/>
    <w:rsid w:val="0DD26806"/>
    <w:rsid w:val="0DD27CAD"/>
    <w:rsid w:val="0DD37C0B"/>
    <w:rsid w:val="0DD85E70"/>
    <w:rsid w:val="0DDF1D10"/>
    <w:rsid w:val="0DE1094B"/>
    <w:rsid w:val="0DED5B57"/>
    <w:rsid w:val="0DF2607D"/>
    <w:rsid w:val="0DF56FCE"/>
    <w:rsid w:val="0DF80D57"/>
    <w:rsid w:val="0E0310B1"/>
    <w:rsid w:val="0E052FDC"/>
    <w:rsid w:val="0E086D88"/>
    <w:rsid w:val="0E0B696B"/>
    <w:rsid w:val="0E0D5F15"/>
    <w:rsid w:val="0E132E56"/>
    <w:rsid w:val="0E13540A"/>
    <w:rsid w:val="0E151EA6"/>
    <w:rsid w:val="0E1753F6"/>
    <w:rsid w:val="0E1A20EB"/>
    <w:rsid w:val="0E1C771F"/>
    <w:rsid w:val="0E1D02F1"/>
    <w:rsid w:val="0E1E1A9A"/>
    <w:rsid w:val="0E200385"/>
    <w:rsid w:val="0E21003D"/>
    <w:rsid w:val="0E267D27"/>
    <w:rsid w:val="0E275017"/>
    <w:rsid w:val="0E28102C"/>
    <w:rsid w:val="0E2B4563"/>
    <w:rsid w:val="0E2B664F"/>
    <w:rsid w:val="0E2C2683"/>
    <w:rsid w:val="0E2D0A00"/>
    <w:rsid w:val="0E304EFA"/>
    <w:rsid w:val="0E320C7D"/>
    <w:rsid w:val="0E4C0728"/>
    <w:rsid w:val="0E527F26"/>
    <w:rsid w:val="0E56066B"/>
    <w:rsid w:val="0E642187"/>
    <w:rsid w:val="0E6C00AF"/>
    <w:rsid w:val="0E715B53"/>
    <w:rsid w:val="0E765D02"/>
    <w:rsid w:val="0E7E7E87"/>
    <w:rsid w:val="0E8037E5"/>
    <w:rsid w:val="0E806C69"/>
    <w:rsid w:val="0E8D2E78"/>
    <w:rsid w:val="0E914EFA"/>
    <w:rsid w:val="0E9E57ED"/>
    <w:rsid w:val="0E9F5F82"/>
    <w:rsid w:val="0EA312CE"/>
    <w:rsid w:val="0EA460DA"/>
    <w:rsid w:val="0EA55EA9"/>
    <w:rsid w:val="0EAA7CFF"/>
    <w:rsid w:val="0EAB2784"/>
    <w:rsid w:val="0EAC2498"/>
    <w:rsid w:val="0EAD7523"/>
    <w:rsid w:val="0EAE7C10"/>
    <w:rsid w:val="0EB6245B"/>
    <w:rsid w:val="0EBE78DF"/>
    <w:rsid w:val="0EC41F0B"/>
    <w:rsid w:val="0ED079A4"/>
    <w:rsid w:val="0EDA3600"/>
    <w:rsid w:val="0EE1113B"/>
    <w:rsid w:val="0EEF51BA"/>
    <w:rsid w:val="0EF97754"/>
    <w:rsid w:val="0EFA3D5F"/>
    <w:rsid w:val="0EFB0682"/>
    <w:rsid w:val="0EFC7F9D"/>
    <w:rsid w:val="0EFF0583"/>
    <w:rsid w:val="0F036EF8"/>
    <w:rsid w:val="0F041014"/>
    <w:rsid w:val="0F0831E4"/>
    <w:rsid w:val="0F08394C"/>
    <w:rsid w:val="0F0E6952"/>
    <w:rsid w:val="0F0F7561"/>
    <w:rsid w:val="0F1072CE"/>
    <w:rsid w:val="0F116DEC"/>
    <w:rsid w:val="0F1326A6"/>
    <w:rsid w:val="0F13744E"/>
    <w:rsid w:val="0F1A000D"/>
    <w:rsid w:val="0F1E21B0"/>
    <w:rsid w:val="0F227650"/>
    <w:rsid w:val="0F245A03"/>
    <w:rsid w:val="0F293512"/>
    <w:rsid w:val="0F2B198E"/>
    <w:rsid w:val="0F2C5FB3"/>
    <w:rsid w:val="0F2E0DE9"/>
    <w:rsid w:val="0F305151"/>
    <w:rsid w:val="0F333BFE"/>
    <w:rsid w:val="0F3B4522"/>
    <w:rsid w:val="0F3C6AB7"/>
    <w:rsid w:val="0F3D7363"/>
    <w:rsid w:val="0F425915"/>
    <w:rsid w:val="0F4B5427"/>
    <w:rsid w:val="0F4D1E70"/>
    <w:rsid w:val="0F4E7B7A"/>
    <w:rsid w:val="0F52101E"/>
    <w:rsid w:val="0F5829CF"/>
    <w:rsid w:val="0F5B25F7"/>
    <w:rsid w:val="0F5D2780"/>
    <w:rsid w:val="0F5D2878"/>
    <w:rsid w:val="0F5E5D05"/>
    <w:rsid w:val="0F624BD6"/>
    <w:rsid w:val="0F681D00"/>
    <w:rsid w:val="0F700ECF"/>
    <w:rsid w:val="0F7253F9"/>
    <w:rsid w:val="0F7320D0"/>
    <w:rsid w:val="0F73351A"/>
    <w:rsid w:val="0F755732"/>
    <w:rsid w:val="0F7A7173"/>
    <w:rsid w:val="0F7B518A"/>
    <w:rsid w:val="0F866EA8"/>
    <w:rsid w:val="0F892192"/>
    <w:rsid w:val="0F8A3950"/>
    <w:rsid w:val="0F8D72D0"/>
    <w:rsid w:val="0F95480E"/>
    <w:rsid w:val="0F970510"/>
    <w:rsid w:val="0F985F7C"/>
    <w:rsid w:val="0F9B7687"/>
    <w:rsid w:val="0F9E5672"/>
    <w:rsid w:val="0F9F7882"/>
    <w:rsid w:val="0FA124F0"/>
    <w:rsid w:val="0FA3651F"/>
    <w:rsid w:val="0FA62469"/>
    <w:rsid w:val="0FB42C54"/>
    <w:rsid w:val="0FC025D7"/>
    <w:rsid w:val="0FC93529"/>
    <w:rsid w:val="0FCA6EBB"/>
    <w:rsid w:val="0FD119DA"/>
    <w:rsid w:val="0FD5292F"/>
    <w:rsid w:val="0FD807C6"/>
    <w:rsid w:val="0FDB0BB9"/>
    <w:rsid w:val="0FDD04E4"/>
    <w:rsid w:val="0FDD4A6E"/>
    <w:rsid w:val="0FDE6004"/>
    <w:rsid w:val="0FE121E2"/>
    <w:rsid w:val="0FE20296"/>
    <w:rsid w:val="0FF57E4A"/>
    <w:rsid w:val="0FF91530"/>
    <w:rsid w:val="0FFB1BBC"/>
    <w:rsid w:val="0FFC5D44"/>
    <w:rsid w:val="1007287A"/>
    <w:rsid w:val="100F4C9E"/>
    <w:rsid w:val="10100B3E"/>
    <w:rsid w:val="10112348"/>
    <w:rsid w:val="10125D08"/>
    <w:rsid w:val="10170582"/>
    <w:rsid w:val="10217EC4"/>
    <w:rsid w:val="10247B0E"/>
    <w:rsid w:val="102A1041"/>
    <w:rsid w:val="102D19A3"/>
    <w:rsid w:val="103860A0"/>
    <w:rsid w:val="10402883"/>
    <w:rsid w:val="104318C9"/>
    <w:rsid w:val="10432708"/>
    <w:rsid w:val="10437D1E"/>
    <w:rsid w:val="10564156"/>
    <w:rsid w:val="105664D7"/>
    <w:rsid w:val="10572E1B"/>
    <w:rsid w:val="105A3DDC"/>
    <w:rsid w:val="105F6D5E"/>
    <w:rsid w:val="10615C6D"/>
    <w:rsid w:val="106441C6"/>
    <w:rsid w:val="106816F9"/>
    <w:rsid w:val="106B592A"/>
    <w:rsid w:val="106B775D"/>
    <w:rsid w:val="106C20A5"/>
    <w:rsid w:val="106D5491"/>
    <w:rsid w:val="106E51F1"/>
    <w:rsid w:val="10766A70"/>
    <w:rsid w:val="107C56ED"/>
    <w:rsid w:val="10801D8F"/>
    <w:rsid w:val="10810FD2"/>
    <w:rsid w:val="108562A2"/>
    <w:rsid w:val="10890922"/>
    <w:rsid w:val="10894C06"/>
    <w:rsid w:val="108A1C8D"/>
    <w:rsid w:val="108D1957"/>
    <w:rsid w:val="108E75AA"/>
    <w:rsid w:val="1092437B"/>
    <w:rsid w:val="10985481"/>
    <w:rsid w:val="10990B77"/>
    <w:rsid w:val="109E423A"/>
    <w:rsid w:val="10A605B8"/>
    <w:rsid w:val="10AD13F0"/>
    <w:rsid w:val="10B47295"/>
    <w:rsid w:val="10BB6B07"/>
    <w:rsid w:val="10BD0AD1"/>
    <w:rsid w:val="10BD2390"/>
    <w:rsid w:val="10C239F5"/>
    <w:rsid w:val="10C83FB1"/>
    <w:rsid w:val="10C956E3"/>
    <w:rsid w:val="10CD4A57"/>
    <w:rsid w:val="10DA40E3"/>
    <w:rsid w:val="10E166BC"/>
    <w:rsid w:val="10E200A8"/>
    <w:rsid w:val="10EC57F0"/>
    <w:rsid w:val="10ED0A6A"/>
    <w:rsid w:val="10F47874"/>
    <w:rsid w:val="10F54EC6"/>
    <w:rsid w:val="10F859F8"/>
    <w:rsid w:val="10FD01AA"/>
    <w:rsid w:val="10FF430C"/>
    <w:rsid w:val="11095AF8"/>
    <w:rsid w:val="1109668F"/>
    <w:rsid w:val="11097385"/>
    <w:rsid w:val="110C6012"/>
    <w:rsid w:val="110D0899"/>
    <w:rsid w:val="111B10A1"/>
    <w:rsid w:val="111C05D9"/>
    <w:rsid w:val="111C1456"/>
    <w:rsid w:val="11202831"/>
    <w:rsid w:val="11265DDB"/>
    <w:rsid w:val="112C42D0"/>
    <w:rsid w:val="11340538"/>
    <w:rsid w:val="113532C7"/>
    <w:rsid w:val="11357C29"/>
    <w:rsid w:val="1137728C"/>
    <w:rsid w:val="11377800"/>
    <w:rsid w:val="11384A22"/>
    <w:rsid w:val="113F1D66"/>
    <w:rsid w:val="11400911"/>
    <w:rsid w:val="114B1049"/>
    <w:rsid w:val="114C6AD5"/>
    <w:rsid w:val="114D58AA"/>
    <w:rsid w:val="114E230E"/>
    <w:rsid w:val="114F1D0A"/>
    <w:rsid w:val="1154661D"/>
    <w:rsid w:val="115B2371"/>
    <w:rsid w:val="11601761"/>
    <w:rsid w:val="11693296"/>
    <w:rsid w:val="116B29D0"/>
    <w:rsid w:val="11755111"/>
    <w:rsid w:val="117574BF"/>
    <w:rsid w:val="117E55F5"/>
    <w:rsid w:val="117F2897"/>
    <w:rsid w:val="1180004C"/>
    <w:rsid w:val="11835523"/>
    <w:rsid w:val="11846DA0"/>
    <w:rsid w:val="11863D7F"/>
    <w:rsid w:val="11871E4D"/>
    <w:rsid w:val="11893436"/>
    <w:rsid w:val="11916CD4"/>
    <w:rsid w:val="11931DC9"/>
    <w:rsid w:val="119F1376"/>
    <w:rsid w:val="11A27632"/>
    <w:rsid w:val="11AC34EA"/>
    <w:rsid w:val="11AF1E2F"/>
    <w:rsid w:val="11BF1116"/>
    <w:rsid w:val="11C4343F"/>
    <w:rsid w:val="11C539E5"/>
    <w:rsid w:val="11C90C47"/>
    <w:rsid w:val="11CC3215"/>
    <w:rsid w:val="11CD250B"/>
    <w:rsid w:val="11CD47C1"/>
    <w:rsid w:val="11D1479C"/>
    <w:rsid w:val="11D22EB8"/>
    <w:rsid w:val="11D77F80"/>
    <w:rsid w:val="11D97F50"/>
    <w:rsid w:val="11DD0609"/>
    <w:rsid w:val="11DD6F36"/>
    <w:rsid w:val="11E32D09"/>
    <w:rsid w:val="11E33CE0"/>
    <w:rsid w:val="11E61F1F"/>
    <w:rsid w:val="11E77405"/>
    <w:rsid w:val="11E905D6"/>
    <w:rsid w:val="11EA7C1E"/>
    <w:rsid w:val="11ED44C1"/>
    <w:rsid w:val="11F178BE"/>
    <w:rsid w:val="12003683"/>
    <w:rsid w:val="12141D2A"/>
    <w:rsid w:val="121855A3"/>
    <w:rsid w:val="121F5915"/>
    <w:rsid w:val="121F61CA"/>
    <w:rsid w:val="12245F0D"/>
    <w:rsid w:val="1225672D"/>
    <w:rsid w:val="122F02B3"/>
    <w:rsid w:val="123039EC"/>
    <w:rsid w:val="12305FB6"/>
    <w:rsid w:val="12334D56"/>
    <w:rsid w:val="12372377"/>
    <w:rsid w:val="12397A40"/>
    <w:rsid w:val="12397F48"/>
    <w:rsid w:val="123E0354"/>
    <w:rsid w:val="12431FA7"/>
    <w:rsid w:val="124B0B48"/>
    <w:rsid w:val="12572114"/>
    <w:rsid w:val="125D44A4"/>
    <w:rsid w:val="12626F24"/>
    <w:rsid w:val="12661D47"/>
    <w:rsid w:val="12671B37"/>
    <w:rsid w:val="126A5997"/>
    <w:rsid w:val="127A3459"/>
    <w:rsid w:val="127F6ADF"/>
    <w:rsid w:val="1282597E"/>
    <w:rsid w:val="128358DF"/>
    <w:rsid w:val="12902149"/>
    <w:rsid w:val="1294513F"/>
    <w:rsid w:val="1295734E"/>
    <w:rsid w:val="12A30396"/>
    <w:rsid w:val="12A925A7"/>
    <w:rsid w:val="12AB3515"/>
    <w:rsid w:val="12AD56F8"/>
    <w:rsid w:val="12AF3EED"/>
    <w:rsid w:val="12B237A6"/>
    <w:rsid w:val="12B47694"/>
    <w:rsid w:val="12BE0281"/>
    <w:rsid w:val="12C631A5"/>
    <w:rsid w:val="12CC3FF8"/>
    <w:rsid w:val="12CE518B"/>
    <w:rsid w:val="12D4177A"/>
    <w:rsid w:val="12D43E15"/>
    <w:rsid w:val="12D44DDA"/>
    <w:rsid w:val="12E60933"/>
    <w:rsid w:val="12E7752C"/>
    <w:rsid w:val="12EA7F25"/>
    <w:rsid w:val="12F03782"/>
    <w:rsid w:val="12F101A8"/>
    <w:rsid w:val="12F1423B"/>
    <w:rsid w:val="12F637C3"/>
    <w:rsid w:val="12FC6B06"/>
    <w:rsid w:val="13004536"/>
    <w:rsid w:val="13036FB8"/>
    <w:rsid w:val="13100DA0"/>
    <w:rsid w:val="13112363"/>
    <w:rsid w:val="131270A1"/>
    <w:rsid w:val="13181ECD"/>
    <w:rsid w:val="131878CE"/>
    <w:rsid w:val="13190413"/>
    <w:rsid w:val="1320224D"/>
    <w:rsid w:val="13253923"/>
    <w:rsid w:val="132762B4"/>
    <w:rsid w:val="13277E8E"/>
    <w:rsid w:val="132A2EE4"/>
    <w:rsid w:val="1330074B"/>
    <w:rsid w:val="13314822"/>
    <w:rsid w:val="13345BA0"/>
    <w:rsid w:val="133C2F7D"/>
    <w:rsid w:val="133D2A75"/>
    <w:rsid w:val="134105B4"/>
    <w:rsid w:val="134B50F0"/>
    <w:rsid w:val="134D3367"/>
    <w:rsid w:val="134F1562"/>
    <w:rsid w:val="13520279"/>
    <w:rsid w:val="1354065C"/>
    <w:rsid w:val="13565C5E"/>
    <w:rsid w:val="135E09C5"/>
    <w:rsid w:val="135F6405"/>
    <w:rsid w:val="13620F7A"/>
    <w:rsid w:val="13715F5B"/>
    <w:rsid w:val="13741796"/>
    <w:rsid w:val="137C6312"/>
    <w:rsid w:val="137D5D0B"/>
    <w:rsid w:val="138060A7"/>
    <w:rsid w:val="13856D07"/>
    <w:rsid w:val="13886799"/>
    <w:rsid w:val="13894A57"/>
    <w:rsid w:val="138D5AF1"/>
    <w:rsid w:val="138F5CB3"/>
    <w:rsid w:val="139B0799"/>
    <w:rsid w:val="139F5809"/>
    <w:rsid w:val="13A81532"/>
    <w:rsid w:val="13AA3BEB"/>
    <w:rsid w:val="13AF6BE8"/>
    <w:rsid w:val="13B13F4F"/>
    <w:rsid w:val="13B14830"/>
    <w:rsid w:val="13B87C67"/>
    <w:rsid w:val="13B902A5"/>
    <w:rsid w:val="13B96B25"/>
    <w:rsid w:val="13BB43EA"/>
    <w:rsid w:val="13BD43E8"/>
    <w:rsid w:val="13C25061"/>
    <w:rsid w:val="13C37A0B"/>
    <w:rsid w:val="13C416E1"/>
    <w:rsid w:val="13CB1630"/>
    <w:rsid w:val="13CC70FC"/>
    <w:rsid w:val="13CD2FC3"/>
    <w:rsid w:val="13CF5782"/>
    <w:rsid w:val="13D22700"/>
    <w:rsid w:val="13E02819"/>
    <w:rsid w:val="13E07632"/>
    <w:rsid w:val="13E24F5D"/>
    <w:rsid w:val="13E55A02"/>
    <w:rsid w:val="13E906E9"/>
    <w:rsid w:val="13EF26C9"/>
    <w:rsid w:val="13F160F8"/>
    <w:rsid w:val="13F329DE"/>
    <w:rsid w:val="13F44FB6"/>
    <w:rsid w:val="13F51D88"/>
    <w:rsid w:val="13F7295E"/>
    <w:rsid w:val="13FF52DF"/>
    <w:rsid w:val="140012EB"/>
    <w:rsid w:val="14033366"/>
    <w:rsid w:val="140B529E"/>
    <w:rsid w:val="141660E4"/>
    <w:rsid w:val="14196625"/>
    <w:rsid w:val="141C2BE2"/>
    <w:rsid w:val="141D56DD"/>
    <w:rsid w:val="141E278C"/>
    <w:rsid w:val="141E3889"/>
    <w:rsid w:val="14250623"/>
    <w:rsid w:val="14261EEA"/>
    <w:rsid w:val="142D0E83"/>
    <w:rsid w:val="143036AD"/>
    <w:rsid w:val="14336F49"/>
    <w:rsid w:val="14363A1F"/>
    <w:rsid w:val="14366DD3"/>
    <w:rsid w:val="143903E2"/>
    <w:rsid w:val="143A70FC"/>
    <w:rsid w:val="143C17A3"/>
    <w:rsid w:val="14420B44"/>
    <w:rsid w:val="14446AD4"/>
    <w:rsid w:val="14451345"/>
    <w:rsid w:val="1446096A"/>
    <w:rsid w:val="14476470"/>
    <w:rsid w:val="144A58E1"/>
    <w:rsid w:val="144B40CB"/>
    <w:rsid w:val="144F5C0B"/>
    <w:rsid w:val="1453777B"/>
    <w:rsid w:val="14622480"/>
    <w:rsid w:val="14640EB2"/>
    <w:rsid w:val="14643BF4"/>
    <w:rsid w:val="14665BA4"/>
    <w:rsid w:val="146930C1"/>
    <w:rsid w:val="1473153E"/>
    <w:rsid w:val="14764E72"/>
    <w:rsid w:val="1479778F"/>
    <w:rsid w:val="147B38D6"/>
    <w:rsid w:val="147F6157"/>
    <w:rsid w:val="14832169"/>
    <w:rsid w:val="14833A00"/>
    <w:rsid w:val="14843ABE"/>
    <w:rsid w:val="14903553"/>
    <w:rsid w:val="149B54B7"/>
    <w:rsid w:val="149B7557"/>
    <w:rsid w:val="149B7EC1"/>
    <w:rsid w:val="149D370D"/>
    <w:rsid w:val="14A44E66"/>
    <w:rsid w:val="14AE4055"/>
    <w:rsid w:val="14AE49D5"/>
    <w:rsid w:val="14B232C4"/>
    <w:rsid w:val="14B65C7F"/>
    <w:rsid w:val="14B85A13"/>
    <w:rsid w:val="14BA6D75"/>
    <w:rsid w:val="14BE7F58"/>
    <w:rsid w:val="14C0476C"/>
    <w:rsid w:val="14C41352"/>
    <w:rsid w:val="14C42F03"/>
    <w:rsid w:val="14C52463"/>
    <w:rsid w:val="14CE43B9"/>
    <w:rsid w:val="14CF62C3"/>
    <w:rsid w:val="14D2682E"/>
    <w:rsid w:val="14D30070"/>
    <w:rsid w:val="14D62A95"/>
    <w:rsid w:val="14DB7B1B"/>
    <w:rsid w:val="14DD3257"/>
    <w:rsid w:val="14DE5056"/>
    <w:rsid w:val="14EB5F3D"/>
    <w:rsid w:val="14FC7191"/>
    <w:rsid w:val="15026B14"/>
    <w:rsid w:val="1504011C"/>
    <w:rsid w:val="15040754"/>
    <w:rsid w:val="15067D6A"/>
    <w:rsid w:val="150765E2"/>
    <w:rsid w:val="15085D61"/>
    <w:rsid w:val="15093997"/>
    <w:rsid w:val="150A5A65"/>
    <w:rsid w:val="150E1156"/>
    <w:rsid w:val="150F5D9A"/>
    <w:rsid w:val="15135716"/>
    <w:rsid w:val="15143164"/>
    <w:rsid w:val="1514540E"/>
    <w:rsid w:val="1520297E"/>
    <w:rsid w:val="1523767A"/>
    <w:rsid w:val="152E082C"/>
    <w:rsid w:val="15316D3E"/>
    <w:rsid w:val="1537139E"/>
    <w:rsid w:val="154365BA"/>
    <w:rsid w:val="1547771E"/>
    <w:rsid w:val="15494ED9"/>
    <w:rsid w:val="154C2026"/>
    <w:rsid w:val="15532708"/>
    <w:rsid w:val="155333AA"/>
    <w:rsid w:val="1553631B"/>
    <w:rsid w:val="15557B16"/>
    <w:rsid w:val="15583846"/>
    <w:rsid w:val="15591472"/>
    <w:rsid w:val="155B4150"/>
    <w:rsid w:val="155F52B1"/>
    <w:rsid w:val="156654E7"/>
    <w:rsid w:val="15695773"/>
    <w:rsid w:val="156C6269"/>
    <w:rsid w:val="156E7F51"/>
    <w:rsid w:val="1570527A"/>
    <w:rsid w:val="15782808"/>
    <w:rsid w:val="157B0A9F"/>
    <w:rsid w:val="157C529F"/>
    <w:rsid w:val="157C7087"/>
    <w:rsid w:val="158075AB"/>
    <w:rsid w:val="158509E6"/>
    <w:rsid w:val="158A2E09"/>
    <w:rsid w:val="159E1B2A"/>
    <w:rsid w:val="15A630B0"/>
    <w:rsid w:val="15A63822"/>
    <w:rsid w:val="15A77F86"/>
    <w:rsid w:val="15B261C2"/>
    <w:rsid w:val="15B27012"/>
    <w:rsid w:val="15B333C0"/>
    <w:rsid w:val="15B6707C"/>
    <w:rsid w:val="15BE0401"/>
    <w:rsid w:val="15C307B7"/>
    <w:rsid w:val="15C7063B"/>
    <w:rsid w:val="15CB63B7"/>
    <w:rsid w:val="15D57683"/>
    <w:rsid w:val="15D93AC0"/>
    <w:rsid w:val="15E4572F"/>
    <w:rsid w:val="15E718F2"/>
    <w:rsid w:val="15E72C11"/>
    <w:rsid w:val="15EC79DC"/>
    <w:rsid w:val="15ED3FBC"/>
    <w:rsid w:val="15EE7793"/>
    <w:rsid w:val="15F66A6D"/>
    <w:rsid w:val="160173AF"/>
    <w:rsid w:val="16020026"/>
    <w:rsid w:val="16022C30"/>
    <w:rsid w:val="16056ECC"/>
    <w:rsid w:val="160A0D05"/>
    <w:rsid w:val="160C0E41"/>
    <w:rsid w:val="160C47BC"/>
    <w:rsid w:val="16107EC8"/>
    <w:rsid w:val="16133007"/>
    <w:rsid w:val="16134611"/>
    <w:rsid w:val="1614328F"/>
    <w:rsid w:val="161705A7"/>
    <w:rsid w:val="161812E4"/>
    <w:rsid w:val="161A2979"/>
    <w:rsid w:val="161B61CD"/>
    <w:rsid w:val="161C3F31"/>
    <w:rsid w:val="161D4E6F"/>
    <w:rsid w:val="161F68A4"/>
    <w:rsid w:val="16306C94"/>
    <w:rsid w:val="163662DB"/>
    <w:rsid w:val="163D3AE3"/>
    <w:rsid w:val="16451DF4"/>
    <w:rsid w:val="164E3743"/>
    <w:rsid w:val="164F7354"/>
    <w:rsid w:val="165059D1"/>
    <w:rsid w:val="16507255"/>
    <w:rsid w:val="165152DF"/>
    <w:rsid w:val="16573463"/>
    <w:rsid w:val="16584028"/>
    <w:rsid w:val="165E74D5"/>
    <w:rsid w:val="166368EA"/>
    <w:rsid w:val="16660AB1"/>
    <w:rsid w:val="16662906"/>
    <w:rsid w:val="16677C90"/>
    <w:rsid w:val="166B4361"/>
    <w:rsid w:val="166E5EC9"/>
    <w:rsid w:val="167204BD"/>
    <w:rsid w:val="167406D1"/>
    <w:rsid w:val="16744DD6"/>
    <w:rsid w:val="16757D8E"/>
    <w:rsid w:val="167F7E57"/>
    <w:rsid w:val="16815C98"/>
    <w:rsid w:val="16895C47"/>
    <w:rsid w:val="168E3600"/>
    <w:rsid w:val="16932F66"/>
    <w:rsid w:val="16943B2A"/>
    <w:rsid w:val="169453A7"/>
    <w:rsid w:val="16985CC6"/>
    <w:rsid w:val="169C7E9C"/>
    <w:rsid w:val="16A01104"/>
    <w:rsid w:val="16A15726"/>
    <w:rsid w:val="16A506AB"/>
    <w:rsid w:val="16BB7ED7"/>
    <w:rsid w:val="16BC7763"/>
    <w:rsid w:val="16BE71A8"/>
    <w:rsid w:val="16C24805"/>
    <w:rsid w:val="16C53D95"/>
    <w:rsid w:val="16C6051D"/>
    <w:rsid w:val="16CB4FB6"/>
    <w:rsid w:val="16D574E6"/>
    <w:rsid w:val="16D91A2A"/>
    <w:rsid w:val="16D921F1"/>
    <w:rsid w:val="16DF4564"/>
    <w:rsid w:val="16DF799D"/>
    <w:rsid w:val="16E201CE"/>
    <w:rsid w:val="16E346F8"/>
    <w:rsid w:val="16EA6E10"/>
    <w:rsid w:val="16F10420"/>
    <w:rsid w:val="16F2756D"/>
    <w:rsid w:val="16F54922"/>
    <w:rsid w:val="16F96083"/>
    <w:rsid w:val="16FE63E0"/>
    <w:rsid w:val="17046AB5"/>
    <w:rsid w:val="17090D06"/>
    <w:rsid w:val="170B2BE8"/>
    <w:rsid w:val="170F7A1A"/>
    <w:rsid w:val="17125D59"/>
    <w:rsid w:val="17272BE0"/>
    <w:rsid w:val="172D2421"/>
    <w:rsid w:val="172E3A0B"/>
    <w:rsid w:val="17317E40"/>
    <w:rsid w:val="17325647"/>
    <w:rsid w:val="17345053"/>
    <w:rsid w:val="173676A9"/>
    <w:rsid w:val="173A0207"/>
    <w:rsid w:val="173E0FEA"/>
    <w:rsid w:val="17404E8F"/>
    <w:rsid w:val="17426C5F"/>
    <w:rsid w:val="17602D8D"/>
    <w:rsid w:val="17617ACA"/>
    <w:rsid w:val="17665D4D"/>
    <w:rsid w:val="176913DF"/>
    <w:rsid w:val="17731942"/>
    <w:rsid w:val="17760025"/>
    <w:rsid w:val="177773B7"/>
    <w:rsid w:val="17861059"/>
    <w:rsid w:val="178867A6"/>
    <w:rsid w:val="179637BB"/>
    <w:rsid w:val="179B4181"/>
    <w:rsid w:val="179C1D14"/>
    <w:rsid w:val="179F231A"/>
    <w:rsid w:val="17A26A02"/>
    <w:rsid w:val="17A90DAA"/>
    <w:rsid w:val="17AB42EB"/>
    <w:rsid w:val="17AB526E"/>
    <w:rsid w:val="17AF63C5"/>
    <w:rsid w:val="17AF6AD7"/>
    <w:rsid w:val="17B20370"/>
    <w:rsid w:val="17B24F33"/>
    <w:rsid w:val="17B52292"/>
    <w:rsid w:val="17B730C5"/>
    <w:rsid w:val="17BA749E"/>
    <w:rsid w:val="17C95ADC"/>
    <w:rsid w:val="17CF1343"/>
    <w:rsid w:val="17D563F1"/>
    <w:rsid w:val="17DA5729"/>
    <w:rsid w:val="17DC0FCE"/>
    <w:rsid w:val="17DF290E"/>
    <w:rsid w:val="17ED6C73"/>
    <w:rsid w:val="17F66959"/>
    <w:rsid w:val="17F701B7"/>
    <w:rsid w:val="17F75725"/>
    <w:rsid w:val="17FE4EDC"/>
    <w:rsid w:val="18042756"/>
    <w:rsid w:val="18077E33"/>
    <w:rsid w:val="1811463D"/>
    <w:rsid w:val="18116983"/>
    <w:rsid w:val="18231300"/>
    <w:rsid w:val="1828653E"/>
    <w:rsid w:val="18293E85"/>
    <w:rsid w:val="18294DD1"/>
    <w:rsid w:val="182A2601"/>
    <w:rsid w:val="182C6CF6"/>
    <w:rsid w:val="182F682F"/>
    <w:rsid w:val="1832773D"/>
    <w:rsid w:val="18334601"/>
    <w:rsid w:val="18363325"/>
    <w:rsid w:val="183A4414"/>
    <w:rsid w:val="183D3AA5"/>
    <w:rsid w:val="184627F0"/>
    <w:rsid w:val="18467A4F"/>
    <w:rsid w:val="184C6252"/>
    <w:rsid w:val="184D50CE"/>
    <w:rsid w:val="184F15E1"/>
    <w:rsid w:val="184F77C2"/>
    <w:rsid w:val="1852524F"/>
    <w:rsid w:val="18541B9C"/>
    <w:rsid w:val="18552C65"/>
    <w:rsid w:val="186074FA"/>
    <w:rsid w:val="18692B68"/>
    <w:rsid w:val="186B522D"/>
    <w:rsid w:val="186C1B10"/>
    <w:rsid w:val="18710A13"/>
    <w:rsid w:val="187148B7"/>
    <w:rsid w:val="18716CD6"/>
    <w:rsid w:val="18790851"/>
    <w:rsid w:val="187E2A70"/>
    <w:rsid w:val="187E5223"/>
    <w:rsid w:val="18847299"/>
    <w:rsid w:val="18851064"/>
    <w:rsid w:val="18873E39"/>
    <w:rsid w:val="188A6C83"/>
    <w:rsid w:val="188F15BA"/>
    <w:rsid w:val="18915CA0"/>
    <w:rsid w:val="18917F2D"/>
    <w:rsid w:val="18952D44"/>
    <w:rsid w:val="189670C0"/>
    <w:rsid w:val="18A2680D"/>
    <w:rsid w:val="18B03BD8"/>
    <w:rsid w:val="18B45D4A"/>
    <w:rsid w:val="18BD28FE"/>
    <w:rsid w:val="18BD3D08"/>
    <w:rsid w:val="18BE0FA4"/>
    <w:rsid w:val="18C07EA2"/>
    <w:rsid w:val="18CD0F2D"/>
    <w:rsid w:val="18D261AC"/>
    <w:rsid w:val="18D41371"/>
    <w:rsid w:val="18DB0829"/>
    <w:rsid w:val="18F47D0D"/>
    <w:rsid w:val="18FA2F62"/>
    <w:rsid w:val="18FB2FE6"/>
    <w:rsid w:val="190E16F6"/>
    <w:rsid w:val="1911646B"/>
    <w:rsid w:val="19127724"/>
    <w:rsid w:val="1915183E"/>
    <w:rsid w:val="191631EA"/>
    <w:rsid w:val="19206415"/>
    <w:rsid w:val="19216471"/>
    <w:rsid w:val="19227170"/>
    <w:rsid w:val="192628CD"/>
    <w:rsid w:val="19274857"/>
    <w:rsid w:val="19276E3B"/>
    <w:rsid w:val="192A74FA"/>
    <w:rsid w:val="19314D09"/>
    <w:rsid w:val="19324ABB"/>
    <w:rsid w:val="19360A5F"/>
    <w:rsid w:val="19373F7D"/>
    <w:rsid w:val="193B05B9"/>
    <w:rsid w:val="193C2715"/>
    <w:rsid w:val="19405DE4"/>
    <w:rsid w:val="194C5F46"/>
    <w:rsid w:val="195B6C3F"/>
    <w:rsid w:val="19605F98"/>
    <w:rsid w:val="19632878"/>
    <w:rsid w:val="19684EFD"/>
    <w:rsid w:val="196A2F7E"/>
    <w:rsid w:val="196E0774"/>
    <w:rsid w:val="196E0C8A"/>
    <w:rsid w:val="19760B2C"/>
    <w:rsid w:val="19795EE5"/>
    <w:rsid w:val="1985602A"/>
    <w:rsid w:val="198B4025"/>
    <w:rsid w:val="19937BA9"/>
    <w:rsid w:val="19965341"/>
    <w:rsid w:val="19A32F90"/>
    <w:rsid w:val="19A972F5"/>
    <w:rsid w:val="19AD020C"/>
    <w:rsid w:val="19AD038F"/>
    <w:rsid w:val="19AF00D5"/>
    <w:rsid w:val="19B30894"/>
    <w:rsid w:val="19B740BD"/>
    <w:rsid w:val="19B7645A"/>
    <w:rsid w:val="19C04474"/>
    <w:rsid w:val="19C06C84"/>
    <w:rsid w:val="19C1429D"/>
    <w:rsid w:val="19C26DA7"/>
    <w:rsid w:val="19C27292"/>
    <w:rsid w:val="19C320A3"/>
    <w:rsid w:val="19D61616"/>
    <w:rsid w:val="19D64BE1"/>
    <w:rsid w:val="19D80D11"/>
    <w:rsid w:val="19DA713C"/>
    <w:rsid w:val="19DE70F9"/>
    <w:rsid w:val="19E05A06"/>
    <w:rsid w:val="19E85BCA"/>
    <w:rsid w:val="19ED0CBD"/>
    <w:rsid w:val="19EE5C0D"/>
    <w:rsid w:val="19F57BE5"/>
    <w:rsid w:val="19F92DCF"/>
    <w:rsid w:val="19FB20C3"/>
    <w:rsid w:val="19FC367D"/>
    <w:rsid w:val="19FC4ACC"/>
    <w:rsid w:val="19FD39C6"/>
    <w:rsid w:val="1A08179A"/>
    <w:rsid w:val="1A081994"/>
    <w:rsid w:val="1A140689"/>
    <w:rsid w:val="1A144CF5"/>
    <w:rsid w:val="1A164CE2"/>
    <w:rsid w:val="1A1F177D"/>
    <w:rsid w:val="1A205934"/>
    <w:rsid w:val="1A2A3674"/>
    <w:rsid w:val="1A3D6E9E"/>
    <w:rsid w:val="1A4002E2"/>
    <w:rsid w:val="1A403208"/>
    <w:rsid w:val="1A4326F6"/>
    <w:rsid w:val="1A4469E2"/>
    <w:rsid w:val="1A45748C"/>
    <w:rsid w:val="1A4D612B"/>
    <w:rsid w:val="1A4F3D48"/>
    <w:rsid w:val="1A5108CE"/>
    <w:rsid w:val="1A5B3C34"/>
    <w:rsid w:val="1A6577C0"/>
    <w:rsid w:val="1A6A32B4"/>
    <w:rsid w:val="1A6B5FD0"/>
    <w:rsid w:val="1A785D6F"/>
    <w:rsid w:val="1A7E039C"/>
    <w:rsid w:val="1A7E36A1"/>
    <w:rsid w:val="1A8259CE"/>
    <w:rsid w:val="1A843501"/>
    <w:rsid w:val="1A8736EB"/>
    <w:rsid w:val="1A8763B0"/>
    <w:rsid w:val="1A887049"/>
    <w:rsid w:val="1A8B0158"/>
    <w:rsid w:val="1A8C3458"/>
    <w:rsid w:val="1A8D0F38"/>
    <w:rsid w:val="1A8F0206"/>
    <w:rsid w:val="1A9C2C24"/>
    <w:rsid w:val="1AA34202"/>
    <w:rsid w:val="1AA35C0E"/>
    <w:rsid w:val="1AA9384A"/>
    <w:rsid w:val="1AB66EDD"/>
    <w:rsid w:val="1AB71550"/>
    <w:rsid w:val="1AB74EF3"/>
    <w:rsid w:val="1ABC4108"/>
    <w:rsid w:val="1ABC73EB"/>
    <w:rsid w:val="1ABD062F"/>
    <w:rsid w:val="1AC11958"/>
    <w:rsid w:val="1AC2318E"/>
    <w:rsid w:val="1AC7419E"/>
    <w:rsid w:val="1AC879A9"/>
    <w:rsid w:val="1AD01E3D"/>
    <w:rsid w:val="1AD77D92"/>
    <w:rsid w:val="1AD84C47"/>
    <w:rsid w:val="1AE177B4"/>
    <w:rsid w:val="1AE3653D"/>
    <w:rsid w:val="1AE3674E"/>
    <w:rsid w:val="1AE62090"/>
    <w:rsid w:val="1AE82082"/>
    <w:rsid w:val="1AED426D"/>
    <w:rsid w:val="1AF7716E"/>
    <w:rsid w:val="1AFB6DF0"/>
    <w:rsid w:val="1B0426C2"/>
    <w:rsid w:val="1B074BD5"/>
    <w:rsid w:val="1B09165B"/>
    <w:rsid w:val="1B093128"/>
    <w:rsid w:val="1B0A05D8"/>
    <w:rsid w:val="1B1452D2"/>
    <w:rsid w:val="1B150439"/>
    <w:rsid w:val="1B182C62"/>
    <w:rsid w:val="1B192C37"/>
    <w:rsid w:val="1B1D373E"/>
    <w:rsid w:val="1B1D429D"/>
    <w:rsid w:val="1B1F6F20"/>
    <w:rsid w:val="1B2A2BE2"/>
    <w:rsid w:val="1B3576B2"/>
    <w:rsid w:val="1B3579D5"/>
    <w:rsid w:val="1B3A0759"/>
    <w:rsid w:val="1B4072B4"/>
    <w:rsid w:val="1B477E1B"/>
    <w:rsid w:val="1B4D3E54"/>
    <w:rsid w:val="1B5A57E7"/>
    <w:rsid w:val="1B5B29ED"/>
    <w:rsid w:val="1B5B702E"/>
    <w:rsid w:val="1B6018CF"/>
    <w:rsid w:val="1B6331A6"/>
    <w:rsid w:val="1B6B06BD"/>
    <w:rsid w:val="1B6E2049"/>
    <w:rsid w:val="1B703288"/>
    <w:rsid w:val="1B746793"/>
    <w:rsid w:val="1B756DED"/>
    <w:rsid w:val="1B7A20E6"/>
    <w:rsid w:val="1B89497E"/>
    <w:rsid w:val="1B897655"/>
    <w:rsid w:val="1B8C5B6B"/>
    <w:rsid w:val="1B8F5EAB"/>
    <w:rsid w:val="1B9307CB"/>
    <w:rsid w:val="1BAA31E2"/>
    <w:rsid w:val="1BB12838"/>
    <w:rsid w:val="1BB218D2"/>
    <w:rsid w:val="1BB22551"/>
    <w:rsid w:val="1BB568F0"/>
    <w:rsid w:val="1BCF50D1"/>
    <w:rsid w:val="1BD13F8C"/>
    <w:rsid w:val="1BD463FF"/>
    <w:rsid w:val="1BDB7736"/>
    <w:rsid w:val="1BDE524F"/>
    <w:rsid w:val="1BE31AF1"/>
    <w:rsid w:val="1BE3484A"/>
    <w:rsid w:val="1BE8283A"/>
    <w:rsid w:val="1BEC7F39"/>
    <w:rsid w:val="1BF02021"/>
    <w:rsid w:val="1BF0475A"/>
    <w:rsid w:val="1BF30338"/>
    <w:rsid w:val="1BF51367"/>
    <w:rsid w:val="1BF5683F"/>
    <w:rsid w:val="1BFD2557"/>
    <w:rsid w:val="1BFF69E4"/>
    <w:rsid w:val="1C0009EA"/>
    <w:rsid w:val="1C0754E0"/>
    <w:rsid w:val="1C0A161E"/>
    <w:rsid w:val="1C0F0423"/>
    <w:rsid w:val="1C1018AA"/>
    <w:rsid w:val="1C1A0B3C"/>
    <w:rsid w:val="1C1B46E7"/>
    <w:rsid w:val="1C1E7AA6"/>
    <w:rsid w:val="1C1F5FCF"/>
    <w:rsid w:val="1C246018"/>
    <w:rsid w:val="1C2715F3"/>
    <w:rsid w:val="1C275713"/>
    <w:rsid w:val="1C2B4079"/>
    <w:rsid w:val="1C331D42"/>
    <w:rsid w:val="1C386C71"/>
    <w:rsid w:val="1C3A5519"/>
    <w:rsid w:val="1C3C335F"/>
    <w:rsid w:val="1C3C5DA3"/>
    <w:rsid w:val="1C3F5797"/>
    <w:rsid w:val="1C4422A8"/>
    <w:rsid w:val="1C4F6E91"/>
    <w:rsid w:val="1C5D237D"/>
    <w:rsid w:val="1C5E115A"/>
    <w:rsid w:val="1C5F209F"/>
    <w:rsid w:val="1C622B58"/>
    <w:rsid w:val="1C6A26EA"/>
    <w:rsid w:val="1C726622"/>
    <w:rsid w:val="1C743B4C"/>
    <w:rsid w:val="1C780499"/>
    <w:rsid w:val="1C7C09C5"/>
    <w:rsid w:val="1C7F1D9C"/>
    <w:rsid w:val="1C810E4C"/>
    <w:rsid w:val="1C8362D3"/>
    <w:rsid w:val="1C855CF4"/>
    <w:rsid w:val="1C877830"/>
    <w:rsid w:val="1C8B3473"/>
    <w:rsid w:val="1C8D374C"/>
    <w:rsid w:val="1C8E3566"/>
    <w:rsid w:val="1C91719F"/>
    <w:rsid w:val="1C927900"/>
    <w:rsid w:val="1C973A00"/>
    <w:rsid w:val="1C980333"/>
    <w:rsid w:val="1C991A90"/>
    <w:rsid w:val="1CA96EA0"/>
    <w:rsid w:val="1CAA3CF5"/>
    <w:rsid w:val="1CAA66EE"/>
    <w:rsid w:val="1CB23A00"/>
    <w:rsid w:val="1CB275ED"/>
    <w:rsid w:val="1CB7076D"/>
    <w:rsid w:val="1CBA6517"/>
    <w:rsid w:val="1CBF0662"/>
    <w:rsid w:val="1CC6531D"/>
    <w:rsid w:val="1CCA6711"/>
    <w:rsid w:val="1CD07761"/>
    <w:rsid w:val="1CD23926"/>
    <w:rsid w:val="1CD60362"/>
    <w:rsid w:val="1CDB5017"/>
    <w:rsid w:val="1CDC4B46"/>
    <w:rsid w:val="1CDF6D32"/>
    <w:rsid w:val="1CE27FF9"/>
    <w:rsid w:val="1CE9706E"/>
    <w:rsid w:val="1CED6F7E"/>
    <w:rsid w:val="1CF57CFE"/>
    <w:rsid w:val="1CF820F2"/>
    <w:rsid w:val="1CFB337B"/>
    <w:rsid w:val="1CFC2FF7"/>
    <w:rsid w:val="1D002077"/>
    <w:rsid w:val="1D00558B"/>
    <w:rsid w:val="1D0B0493"/>
    <w:rsid w:val="1D0F2419"/>
    <w:rsid w:val="1D141CA6"/>
    <w:rsid w:val="1D150EDF"/>
    <w:rsid w:val="1D2778C8"/>
    <w:rsid w:val="1D280D46"/>
    <w:rsid w:val="1D2D7E09"/>
    <w:rsid w:val="1D316E5E"/>
    <w:rsid w:val="1D33103A"/>
    <w:rsid w:val="1D3850BE"/>
    <w:rsid w:val="1D3A0D24"/>
    <w:rsid w:val="1D3D39E5"/>
    <w:rsid w:val="1D3F56E4"/>
    <w:rsid w:val="1D43327F"/>
    <w:rsid w:val="1D4415BC"/>
    <w:rsid w:val="1D4804DE"/>
    <w:rsid w:val="1D49193E"/>
    <w:rsid w:val="1D4D1FF6"/>
    <w:rsid w:val="1D4D4AE1"/>
    <w:rsid w:val="1D4F2EBB"/>
    <w:rsid w:val="1D512A54"/>
    <w:rsid w:val="1D520DEA"/>
    <w:rsid w:val="1D555B15"/>
    <w:rsid w:val="1D566B87"/>
    <w:rsid w:val="1D5844E1"/>
    <w:rsid w:val="1D586B6C"/>
    <w:rsid w:val="1D5B7473"/>
    <w:rsid w:val="1D5C23B5"/>
    <w:rsid w:val="1D600650"/>
    <w:rsid w:val="1D603169"/>
    <w:rsid w:val="1D60709E"/>
    <w:rsid w:val="1D620B51"/>
    <w:rsid w:val="1D672CD4"/>
    <w:rsid w:val="1D6D1C79"/>
    <w:rsid w:val="1D76310F"/>
    <w:rsid w:val="1D770A8C"/>
    <w:rsid w:val="1D7722D5"/>
    <w:rsid w:val="1D7B7562"/>
    <w:rsid w:val="1D7C5A09"/>
    <w:rsid w:val="1D7D636A"/>
    <w:rsid w:val="1D7F4BC3"/>
    <w:rsid w:val="1D864604"/>
    <w:rsid w:val="1D902E82"/>
    <w:rsid w:val="1D9517A0"/>
    <w:rsid w:val="1D975CD7"/>
    <w:rsid w:val="1D980E53"/>
    <w:rsid w:val="1D997CDC"/>
    <w:rsid w:val="1D9D414E"/>
    <w:rsid w:val="1DA535CD"/>
    <w:rsid w:val="1DA55B8F"/>
    <w:rsid w:val="1DA674CD"/>
    <w:rsid w:val="1DA7643E"/>
    <w:rsid w:val="1DA97AE3"/>
    <w:rsid w:val="1DAB3A77"/>
    <w:rsid w:val="1DAF6961"/>
    <w:rsid w:val="1DC21826"/>
    <w:rsid w:val="1DC305BD"/>
    <w:rsid w:val="1DCA6296"/>
    <w:rsid w:val="1DD05D2B"/>
    <w:rsid w:val="1DD33641"/>
    <w:rsid w:val="1DD545A2"/>
    <w:rsid w:val="1DD92F56"/>
    <w:rsid w:val="1DDB49C8"/>
    <w:rsid w:val="1DE152DD"/>
    <w:rsid w:val="1DEA2264"/>
    <w:rsid w:val="1DEB7D5D"/>
    <w:rsid w:val="1DEC3275"/>
    <w:rsid w:val="1DEC7AF5"/>
    <w:rsid w:val="1DED4020"/>
    <w:rsid w:val="1DF02B71"/>
    <w:rsid w:val="1DF12483"/>
    <w:rsid w:val="1DFD68F4"/>
    <w:rsid w:val="1E1126C8"/>
    <w:rsid w:val="1E132201"/>
    <w:rsid w:val="1E1552C8"/>
    <w:rsid w:val="1E170F59"/>
    <w:rsid w:val="1E1901EF"/>
    <w:rsid w:val="1E1E6EC3"/>
    <w:rsid w:val="1E2E3F71"/>
    <w:rsid w:val="1E321697"/>
    <w:rsid w:val="1E436D9F"/>
    <w:rsid w:val="1E453784"/>
    <w:rsid w:val="1E4B54B0"/>
    <w:rsid w:val="1E503A1A"/>
    <w:rsid w:val="1E503A3B"/>
    <w:rsid w:val="1E525A07"/>
    <w:rsid w:val="1E5346A7"/>
    <w:rsid w:val="1E593B17"/>
    <w:rsid w:val="1E5A1CCF"/>
    <w:rsid w:val="1E6031E6"/>
    <w:rsid w:val="1E670D4E"/>
    <w:rsid w:val="1E6B5B8F"/>
    <w:rsid w:val="1E721A3D"/>
    <w:rsid w:val="1E7632F6"/>
    <w:rsid w:val="1E792CF5"/>
    <w:rsid w:val="1E812652"/>
    <w:rsid w:val="1E8B7037"/>
    <w:rsid w:val="1E91177C"/>
    <w:rsid w:val="1E991E75"/>
    <w:rsid w:val="1E996904"/>
    <w:rsid w:val="1E9B4276"/>
    <w:rsid w:val="1E9C0A53"/>
    <w:rsid w:val="1E9D6901"/>
    <w:rsid w:val="1EA02835"/>
    <w:rsid w:val="1EA83B74"/>
    <w:rsid w:val="1EA95A53"/>
    <w:rsid w:val="1EAB5E53"/>
    <w:rsid w:val="1EAC0275"/>
    <w:rsid w:val="1EAE2702"/>
    <w:rsid w:val="1EAE7824"/>
    <w:rsid w:val="1EB00860"/>
    <w:rsid w:val="1EB02CC8"/>
    <w:rsid w:val="1EB04A4A"/>
    <w:rsid w:val="1EB73F9A"/>
    <w:rsid w:val="1EBE1CE9"/>
    <w:rsid w:val="1EBF224C"/>
    <w:rsid w:val="1EC04104"/>
    <w:rsid w:val="1EC11992"/>
    <w:rsid w:val="1EC30BEA"/>
    <w:rsid w:val="1EC41087"/>
    <w:rsid w:val="1ECE4985"/>
    <w:rsid w:val="1ED16555"/>
    <w:rsid w:val="1ED21003"/>
    <w:rsid w:val="1ED26F3D"/>
    <w:rsid w:val="1EDD6197"/>
    <w:rsid w:val="1EE1375B"/>
    <w:rsid w:val="1EE16C24"/>
    <w:rsid w:val="1EE21E25"/>
    <w:rsid w:val="1EEA69EC"/>
    <w:rsid w:val="1EEC418C"/>
    <w:rsid w:val="1EED774F"/>
    <w:rsid w:val="1F010D92"/>
    <w:rsid w:val="1F0520FA"/>
    <w:rsid w:val="1F1B70EB"/>
    <w:rsid w:val="1F2450AF"/>
    <w:rsid w:val="1F2C4DFC"/>
    <w:rsid w:val="1F362D47"/>
    <w:rsid w:val="1F4201A8"/>
    <w:rsid w:val="1F423651"/>
    <w:rsid w:val="1F431E6D"/>
    <w:rsid w:val="1F466CEE"/>
    <w:rsid w:val="1F4D1647"/>
    <w:rsid w:val="1F4E3160"/>
    <w:rsid w:val="1F5054C6"/>
    <w:rsid w:val="1F506C6E"/>
    <w:rsid w:val="1F515883"/>
    <w:rsid w:val="1F516677"/>
    <w:rsid w:val="1F541EEF"/>
    <w:rsid w:val="1F5577DB"/>
    <w:rsid w:val="1F561493"/>
    <w:rsid w:val="1F5B7C2D"/>
    <w:rsid w:val="1F6912EA"/>
    <w:rsid w:val="1F6A7B28"/>
    <w:rsid w:val="1F6F2588"/>
    <w:rsid w:val="1F725BC1"/>
    <w:rsid w:val="1F7E6BF5"/>
    <w:rsid w:val="1F836424"/>
    <w:rsid w:val="1F846D20"/>
    <w:rsid w:val="1F88113F"/>
    <w:rsid w:val="1F8D4367"/>
    <w:rsid w:val="1F8F746F"/>
    <w:rsid w:val="1F910E37"/>
    <w:rsid w:val="1F95616D"/>
    <w:rsid w:val="1F9874EA"/>
    <w:rsid w:val="1F9F46B3"/>
    <w:rsid w:val="1FAA0941"/>
    <w:rsid w:val="1FB74D02"/>
    <w:rsid w:val="1FBE5412"/>
    <w:rsid w:val="1FCB16F7"/>
    <w:rsid w:val="1FCC49F0"/>
    <w:rsid w:val="1FCD75AE"/>
    <w:rsid w:val="1FCF3726"/>
    <w:rsid w:val="1FD050E9"/>
    <w:rsid w:val="1FD5520D"/>
    <w:rsid w:val="1FD653FD"/>
    <w:rsid w:val="1FDF3BD5"/>
    <w:rsid w:val="1FE11BD8"/>
    <w:rsid w:val="1FE2052C"/>
    <w:rsid w:val="1FE5408E"/>
    <w:rsid w:val="1FE56181"/>
    <w:rsid w:val="1FE56EC5"/>
    <w:rsid w:val="1FE6624B"/>
    <w:rsid w:val="1FED02FA"/>
    <w:rsid w:val="1FF02AAA"/>
    <w:rsid w:val="1FF53C8F"/>
    <w:rsid w:val="1FF6140E"/>
    <w:rsid w:val="1FF8023B"/>
    <w:rsid w:val="1FFD10FC"/>
    <w:rsid w:val="1FFD62F7"/>
    <w:rsid w:val="20023863"/>
    <w:rsid w:val="200356DF"/>
    <w:rsid w:val="20066B5B"/>
    <w:rsid w:val="200B1CEE"/>
    <w:rsid w:val="200C2C99"/>
    <w:rsid w:val="200C6816"/>
    <w:rsid w:val="200E56C6"/>
    <w:rsid w:val="200E6BFB"/>
    <w:rsid w:val="201668A3"/>
    <w:rsid w:val="20182D2D"/>
    <w:rsid w:val="201A06FE"/>
    <w:rsid w:val="201C5A1F"/>
    <w:rsid w:val="20233A9B"/>
    <w:rsid w:val="202605DC"/>
    <w:rsid w:val="202F14B1"/>
    <w:rsid w:val="2030156C"/>
    <w:rsid w:val="20376005"/>
    <w:rsid w:val="20380AB4"/>
    <w:rsid w:val="2039337A"/>
    <w:rsid w:val="203F3C8D"/>
    <w:rsid w:val="2040553E"/>
    <w:rsid w:val="20486984"/>
    <w:rsid w:val="204D314F"/>
    <w:rsid w:val="205004FF"/>
    <w:rsid w:val="205145FD"/>
    <w:rsid w:val="20515B24"/>
    <w:rsid w:val="20624FAE"/>
    <w:rsid w:val="206A491A"/>
    <w:rsid w:val="206B05CD"/>
    <w:rsid w:val="206F4B06"/>
    <w:rsid w:val="207360D2"/>
    <w:rsid w:val="20737E71"/>
    <w:rsid w:val="20750FBD"/>
    <w:rsid w:val="207F6C38"/>
    <w:rsid w:val="208B5A14"/>
    <w:rsid w:val="20903AAD"/>
    <w:rsid w:val="20940B63"/>
    <w:rsid w:val="209B5271"/>
    <w:rsid w:val="209C291B"/>
    <w:rsid w:val="20AB1B83"/>
    <w:rsid w:val="20AC095C"/>
    <w:rsid w:val="20BF3ED9"/>
    <w:rsid w:val="20BF7D1E"/>
    <w:rsid w:val="20C15438"/>
    <w:rsid w:val="20C155C9"/>
    <w:rsid w:val="20C245F3"/>
    <w:rsid w:val="20C5314A"/>
    <w:rsid w:val="20C54681"/>
    <w:rsid w:val="20C67D50"/>
    <w:rsid w:val="20D174B0"/>
    <w:rsid w:val="20D3139E"/>
    <w:rsid w:val="20D615FF"/>
    <w:rsid w:val="20D61683"/>
    <w:rsid w:val="20D87490"/>
    <w:rsid w:val="20D97822"/>
    <w:rsid w:val="20DF37C8"/>
    <w:rsid w:val="20E650E5"/>
    <w:rsid w:val="20E8756B"/>
    <w:rsid w:val="20E9709D"/>
    <w:rsid w:val="20EE3952"/>
    <w:rsid w:val="20F136E1"/>
    <w:rsid w:val="20F4314F"/>
    <w:rsid w:val="20F47451"/>
    <w:rsid w:val="20F5358E"/>
    <w:rsid w:val="20F90B4A"/>
    <w:rsid w:val="21042B7C"/>
    <w:rsid w:val="21044255"/>
    <w:rsid w:val="21072BBA"/>
    <w:rsid w:val="2111660A"/>
    <w:rsid w:val="21142F88"/>
    <w:rsid w:val="211C59A3"/>
    <w:rsid w:val="211D5431"/>
    <w:rsid w:val="21227094"/>
    <w:rsid w:val="21296544"/>
    <w:rsid w:val="212D68ED"/>
    <w:rsid w:val="213263E7"/>
    <w:rsid w:val="21373E4C"/>
    <w:rsid w:val="213A0C62"/>
    <w:rsid w:val="213E432F"/>
    <w:rsid w:val="214E4EA0"/>
    <w:rsid w:val="2150479C"/>
    <w:rsid w:val="21530F61"/>
    <w:rsid w:val="21606A43"/>
    <w:rsid w:val="216279DD"/>
    <w:rsid w:val="216A0F2E"/>
    <w:rsid w:val="216F3311"/>
    <w:rsid w:val="217203CB"/>
    <w:rsid w:val="21782805"/>
    <w:rsid w:val="21791635"/>
    <w:rsid w:val="217C4F60"/>
    <w:rsid w:val="21811E63"/>
    <w:rsid w:val="21853A22"/>
    <w:rsid w:val="218978FF"/>
    <w:rsid w:val="218C3300"/>
    <w:rsid w:val="218E7F14"/>
    <w:rsid w:val="21961EAF"/>
    <w:rsid w:val="219D7AB0"/>
    <w:rsid w:val="21A4744F"/>
    <w:rsid w:val="21AF0464"/>
    <w:rsid w:val="21AF45E1"/>
    <w:rsid w:val="21B067B4"/>
    <w:rsid w:val="21B500A4"/>
    <w:rsid w:val="21BC6476"/>
    <w:rsid w:val="21BD42B4"/>
    <w:rsid w:val="21C13238"/>
    <w:rsid w:val="21C669E0"/>
    <w:rsid w:val="21C66B99"/>
    <w:rsid w:val="21C821F4"/>
    <w:rsid w:val="21C969FB"/>
    <w:rsid w:val="21CE5930"/>
    <w:rsid w:val="21D11C41"/>
    <w:rsid w:val="21D14AE3"/>
    <w:rsid w:val="21D75B7B"/>
    <w:rsid w:val="21D75CF4"/>
    <w:rsid w:val="21DC320A"/>
    <w:rsid w:val="21DD6C97"/>
    <w:rsid w:val="21DE3B3C"/>
    <w:rsid w:val="21E40024"/>
    <w:rsid w:val="21EE5211"/>
    <w:rsid w:val="21EE660C"/>
    <w:rsid w:val="21EF02BE"/>
    <w:rsid w:val="21EF5B9D"/>
    <w:rsid w:val="21F7027D"/>
    <w:rsid w:val="21F73793"/>
    <w:rsid w:val="21FD1C3F"/>
    <w:rsid w:val="22020E4A"/>
    <w:rsid w:val="22031727"/>
    <w:rsid w:val="220C0754"/>
    <w:rsid w:val="221362BB"/>
    <w:rsid w:val="2216639A"/>
    <w:rsid w:val="221A792F"/>
    <w:rsid w:val="221D4D31"/>
    <w:rsid w:val="221F2DB1"/>
    <w:rsid w:val="2228602A"/>
    <w:rsid w:val="222B508C"/>
    <w:rsid w:val="222B77B1"/>
    <w:rsid w:val="223B4CBD"/>
    <w:rsid w:val="223C0C3E"/>
    <w:rsid w:val="22466DF7"/>
    <w:rsid w:val="224C5A81"/>
    <w:rsid w:val="224F435B"/>
    <w:rsid w:val="22532BD7"/>
    <w:rsid w:val="225B5E36"/>
    <w:rsid w:val="22744935"/>
    <w:rsid w:val="22782E9C"/>
    <w:rsid w:val="227E6CC1"/>
    <w:rsid w:val="228749BF"/>
    <w:rsid w:val="2293122A"/>
    <w:rsid w:val="22961BC6"/>
    <w:rsid w:val="22970806"/>
    <w:rsid w:val="22984266"/>
    <w:rsid w:val="229868BC"/>
    <w:rsid w:val="22A246E7"/>
    <w:rsid w:val="22A3720C"/>
    <w:rsid w:val="22A700D0"/>
    <w:rsid w:val="22B37552"/>
    <w:rsid w:val="22B52D37"/>
    <w:rsid w:val="22B644C9"/>
    <w:rsid w:val="22B70EBD"/>
    <w:rsid w:val="22B8357B"/>
    <w:rsid w:val="22BA37FF"/>
    <w:rsid w:val="22BE17FF"/>
    <w:rsid w:val="22BE3A45"/>
    <w:rsid w:val="22C410DB"/>
    <w:rsid w:val="22CC54CD"/>
    <w:rsid w:val="22CD1D6D"/>
    <w:rsid w:val="22DD1A1E"/>
    <w:rsid w:val="22E86952"/>
    <w:rsid w:val="22E91882"/>
    <w:rsid w:val="22EF3BA1"/>
    <w:rsid w:val="22F5495D"/>
    <w:rsid w:val="22F56054"/>
    <w:rsid w:val="23125C13"/>
    <w:rsid w:val="23132550"/>
    <w:rsid w:val="2315503F"/>
    <w:rsid w:val="23156543"/>
    <w:rsid w:val="231A070F"/>
    <w:rsid w:val="2320425D"/>
    <w:rsid w:val="23235E57"/>
    <w:rsid w:val="23273691"/>
    <w:rsid w:val="232909CE"/>
    <w:rsid w:val="232C1509"/>
    <w:rsid w:val="232F665A"/>
    <w:rsid w:val="23335467"/>
    <w:rsid w:val="233862A6"/>
    <w:rsid w:val="233A3607"/>
    <w:rsid w:val="233D62F1"/>
    <w:rsid w:val="233E03FF"/>
    <w:rsid w:val="2342314F"/>
    <w:rsid w:val="2346475E"/>
    <w:rsid w:val="23487DCB"/>
    <w:rsid w:val="234D24E2"/>
    <w:rsid w:val="23510FF6"/>
    <w:rsid w:val="2352381A"/>
    <w:rsid w:val="235C50E5"/>
    <w:rsid w:val="235D1253"/>
    <w:rsid w:val="235F4549"/>
    <w:rsid w:val="235F79ED"/>
    <w:rsid w:val="23603196"/>
    <w:rsid w:val="23681507"/>
    <w:rsid w:val="237C5641"/>
    <w:rsid w:val="237C7121"/>
    <w:rsid w:val="237D1DF7"/>
    <w:rsid w:val="237E4359"/>
    <w:rsid w:val="2383327E"/>
    <w:rsid w:val="238C17A2"/>
    <w:rsid w:val="238C7192"/>
    <w:rsid w:val="238E1610"/>
    <w:rsid w:val="23901A17"/>
    <w:rsid w:val="23910CFA"/>
    <w:rsid w:val="239336CE"/>
    <w:rsid w:val="239337D8"/>
    <w:rsid w:val="2393595B"/>
    <w:rsid w:val="239609C5"/>
    <w:rsid w:val="239926FB"/>
    <w:rsid w:val="239B461A"/>
    <w:rsid w:val="239C2690"/>
    <w:rsid w:val="239F593D"/>
    <w:rsid w:val="23AB49E1"/>
    <w:rsid w:val="23B02A25"/>
    <w:rsid w:val="23B265BF"/>
    <w:rsid w:val="23BC1420"/>
    <w:rsid w:val="23BD1CAD"/>
    <w:rsid w:val="23D05A91"/>
    <w:rsid w:val="23D21BD0"/>
    <w:rsid w:val="23D84911"/>
    <w:rsid w:val="23DB2655"/>
    <w:rsid w:val="23DF21CD"/>
    <w:rsid w:val="23E21DE7"/>
    <w:rsid w:val="23EA3923"/>
    <w:rsid w:val="23EF62E7"/>
    <w:rsid w:val="23F523E0"/>
    <w:rsid w:val="23FA4358"/>
    <w:rsid w:val="23FB3241"/>
    <w:rsid w:val="24054F77"/>
    <w:rsid w:val="24057952"/>
    <w:rsid w:val="24093F2C"/>
    <w:rsid w:val="24096ACF"/>
    <w:rsid w:val="24130084"/>
    <w:rsid w:val="24135A21"/>
    <w:rsid w:val="241454E6"/>
    <w:rsid w:val="242401C2"/>
    <w:rsid w:val="242419A3"/>
    <w:rsid w:val="243350D6"/>
    <w:rsid w:val="24357197"/>
    <w:rsid w:val="244007D0"/>
    <w:rsid w:val="2442334F"/>
    <w:rsid w:val="24452465"/>
    <w:rsid w:val="24470701"/>
    <w:rsid w:val="244A2921"/>
    <w:rsid w:val="244F4173"/>
    <w:rsid w:val="244F4C26"/>
    <w:rsid w:val="24531B52"/>
    <w:rsid w:val="245805E9"/>
    <w:rsid w:val="24580C99"/>
    <w:rsid w:val="245A14FE"/>
    <w:rsid w:val="245E5BB8"/>
    <w:rsid w:val="246841DB"/>
    <w:rsid w:val="246D27D3"/>
    <w:rsid w:val="24711FF0"/>
    <w:rsid w:val="247741F0"/>
    <w:rsid w:val="247E5198"/>
    <w:rsid w:val="248E1EDF"/>
    <w:rsid w:val="24906159"/>
    <w:rsid w:val="24917A49"/>
    <w:rsid w:val="249B03DD"/>
    <w:rsid w:val="249C22F2"/>
    <w:rsid w:val="249C5709"/>
    <w:rsid w:val="24A011EA"/>
    <w:rsid w:val="24A046EB"/>
    <w:rsid w:val="24A24C4F"/>
    <w:rsid w:val="24A357A3"/>
    <w:rsid w:val="24AF4AB2"/>
    <w:rsid w:val="24B0730B"/>
    <w:rsid w:val="24B91DBA"/>
    <w:rsid w:val="24C11CE2"/>
    <w:rsid w:val="24CB61EF"/>
    <w:rsid w:val="24CC06C4"/>
    <w:rsid w:val="24D32421"/>
    <w:rsid w:val="24D9334E"/>
    <w:rsid w:val="24D94193"/>
    <w:rsid w:val="24DB25E5"/>
    <w:rsid w:val="24DD58A0"/>
    <w:rsid w:val="24EA64A3"/>
    <w:rsid w:val="24ED7984"/>
    <w:rsid w:val="24F3016F"/>
    <w:rsid w:val="24F47844"/>
    <w:rsid w:val="24FB5721"/>
    <w:rsid w:val="25087154"/>
    <w:rsid w:val="25090DF2"/>
    <w:rsid w:val="250A1A1A"/>
    <w:rsid w:val="250B6D76"/>
    <w:rsid w:val="25126760"/>
    <w:rsid w:val="25186007"/>
    <w:rsid w:val="2521441A"/>
    <w:rsid w:val="252374D2"/>
    <w:rsid w:val="25267EAF"/>
    <w:rsid w:val="252B3D43"/>
    <w:rsid w:val="252B42B0"/>
    <w:rsid w:val="252C6BB7"/>
    <w:rsid w:val="2531617C"/>
    <w:rsid w:val="25384C9E"/>
    <w:rsid w:val="253936DE"/>
    <w:rsid w:val="25413543"/>
    <w:rsid w:val="254202D6"/>
    <w:rsid w:val="254C6C7C"/>
    <w:rsid w:val="2555739F"/>
    <w:rsid w:val="255D1428"/>
    <w:rsid w:val="255E0383"/>
    <w:rsid w:val="255F44C7"/>
    <w:rsid w:val="25690721"/>
    <w:rsid w:val="2570484E"/>
    <w:rsid w:val="2574756C"/>
    <w:rsid w:val="257C13F6"/>
    <w:rsid w:val="257E038C"/>
    <w:rsid w:val="2584221F"/>
    <w:rsid w:val="25850ACF"/>
    <w:rsid w:val="2589191D"/>
    <w:rsid w:val="258B4255"/>
    <w:rsid w:val="258C4CEB"/>
    <w:rsid w:val="258F3462"/>
    <w:rsid w:val="259303AA"/>
    <w:rsid w:val="259758A0"/>
    <w:rsid w:val="25977B81"/>
    <w:rsid w:val="25982A38"/>
    <w:rsid w:val="259A0C7F"/>
    <w:rsid w:val="259B75A0"/>
    <w:rsid w:val="259D4E9E"/>
    <w:rsid w:val="259F40CE"/>
    <w:rsid w:val="25A223F7"/>
    <w:rsid w:val="25A50BC6"/>
    <w:rsid w:val="25AF11C8"/>
    <w:rsid w:val="25B15DAA"/>
    <w:rsid w:val="25B53242"/>
    <w:rsid w:val="25BC273C"/>
    <w:rsid w:val="25BF41E8"/>
    <w:rsid w:val="25C40F68"/>
    <w:rsid w:val="25C668B2"/>
    <w:rsid w:val="25CC5A06"/>
    <w:rsid w:val="25CD359F"/>
    <w:rsid w:val="25D07500"/>
    <w:rsid w:val="25D53CD7"/>
    <w:rsid w:val="25D73E26"/>
    <w:rsid w:val="25DB633E"/>
    <w:rsid w:val="25DD4431"/>
    <w:rsid w:val="25DD58BA"/>
    <w:rsid w:val="25DF402C"/>
    <w:rsid w:val="25E33D7C"/>
    <w:rsid w:val="25E51164"/>
    <w:rsid w:val="25E54E73"/>
    <w:rsid w:val="25EE0359"/>
    <w:rsid w:val="25F3755D"/>
    <w:rsid w:val="25F85255"/>
    <w:rsid w:val="26005439"/>
    <w:rsid w:val="26080F04"/>
    <w:rsid w:val="26121073"/>
    <w:rsid w:val="26150C8E"/>
    <w:rsid w:val="261A2AA2"/>
    <w:rsid w:val="261B3BC4"/>
    <w:rsid w:val="261D06F9"/>
    <w:rsid w:val="26200917"/>
    <w:rsid w:val="26230A0E"/>
    <w:rsid w:val="262B52B5"/>
    <w:rsid w:val="262B7D51"/>
    <w:rsid w:val="2636550D"/>
    <w:rsid w:val="263A185A"/>
    <w:rsid w:val="2646651D"/>
    <w:rsid w:val="2648303B"/>
    <w:rsid w:val="26485548"/>
    <w:rsid w:val="265201EC"/>
    <w:rsid w:val="2656262F"/>
    <w:rsid w:val="265737C7"/>
    <w:rsid w:val="265B5DEE"/>
    <w:rsid w:val="265D5464"/>
    <w:rsid w:val="265E0CD7"/>
    <w:rsid w:val="26692CC2"/>
    <w:rsid w:val="26697D8F"/>
    <w:rsid w:val="266A6121"/>
    <w:rsid w:val="26744054"/>
    <w:rsid w:val="26790BF1"/>
    <w:rsid w:val="267C54C5"/>
    <w:rsid w:val="268358AE"/>
    <w:rsid w:val="26884EEA"/>
    <w:rsid w:val="268E1731"/>
    <w:rsid w:val="269007A1"/>
    <w:rsid w:val="26907418"/>
    <w:rsid w:val="26962D44"/>
    <w:rsid w:val="26963523"/>
    <w:rsid w:val="26974882"/>
    <w:rsid w:val="269A0F20"/>
    <w:rsid w:val="269D41C5"/>
    <w:rsid w:val="269E3306"/>
    <w:rsid w:val="26A4232D"/>
    <w:rsid w:val="26AA7F36"/>
    <w:rsid w:val="26B02BFA"/>
    <w:rsid w:val="26B1004D"/>
    <w:rsid w:val="26B479AA"/>
    <w:rsid w:val="26BB781B"/>
    <w:rsid w:val="26BC5496"/>
    <w:rsid w:val="26C50D28"/>
    <w:rsid w:val="26C81000"/>
    <w:rsid w:val="26CE443C"/>
    <w:rsid w:val="26CE48C5"/>
    <w:rsid w:val="26E21DC7"/>
    <w:rsid w:val="26E532F1"/>
    <w:rsid w:val="26F44A74"/>
    <w:rsid w:val="26F61590"/>
    <w:rsid w:val="26F71A20"/>
    <w:rsid w:val="26F728BD"/>
    <w:rsid w:val="26FE33DA"/>
    <w:rsid w:val="27017DA3"/>
    <w:rsid w:val="27020593"/>
    <w:rsid w:val="27071815"/>
    <w:rsid w:val="270A0CDF"/>
    <w:rsid w:val="270C2E76"/>
    <w:rsid w:val="270D1707"/>
    <w:rsid w:val="27121982"/>
    <w:rsid w:val="27197A8B"/>
    <w:rsid w:val="271B3083"/>
    <w:rsid w:val="2723017C"/>
    <w:rsid w:val="27287E97"/>
    <w:rsid w:val="27293510"/>
    <w:rsid w:val="272B650F"/>
    <w:rsid w:val="272B6629"/>
    <w:rsid w:val="272F47B9"/>
    <w:rsid w:val="2736249B"/>
    <w:rsid w:val="27386CE1"/>
    <w:rsid w:val="27392207"/>
    <w:rsid w:val="273E3DE1"/>
    <w:rsid w:val="274471A8"/>
    <w:rsid w:val="27461106"/>
    <w:rsid w:val="2748128C"/>
    <w:rsid w:val="274D2316"/>
    <w:rsid w:val="27517A1C"/>
    <w:rsid w:val="27576A2C"/>
    <w:rsid w:val="27642D8B"/>
    <w:rsid w:val="27643624"/>
    <w:rsid w:val="27773EA3"/>
    <w:rsid w:val="277B732C"/>
    <w:rsid w:val="277C5203"/>
    <w:rsid w:val="277F59CB"/>
    <w:rsid w:val="27806D14"/>
    <w:rsid w:val="27866346"/>
    <w:rsid w:val="27867AF4"/>
    <w:rsid w:val="279268A7"/>
    <w:rsid w:val="2796420D"/>
    <w:rsid w:val="2798296D"/>
    <w:rsid w:val="279E1883"/>
    <w:rsid w:val="27A524F3"/>
    <w:rsid w:val="27A76508"/>
    <w:rsid w:val="27AA73DB"/>
    <w:rsid w:val="27AD1231"/>
    <w:rsid w:val="27B02BBA"/>
    <w:rsid w:val="27B1305B"/>
    <w:rsid w:val="27B71198"/>
    <w:rsid w:val="27B80001"/>
    <w:rsid w:val="27B920BC"/>
    <w:rsid w:val="27BA473D"/>
    <w:rsid w:val="27C226B6"/>
    <w:rsid w:val="27C26FA6"/>
    <w:rsid w:val="27C3468F"/>
    <w:rsid w:val="27C87F0B"/>
    <w:rsid w:val="27C91C0B"/>
    <w:rsid w:val="27DD2CD9"/>
    <w:rsid w:val="27E1158C"/>
    <w:rsid w:val="27E249A0"/>
    <w:rsid w:val="27E26D6C"/>
    <w:rsid w:val="27E444E9"/>
    <w:rsid w:val="27E66F99"/>
    <w:rsid w:val="27F14B31"/>
    <w:rsid w:val="27FE6068"/>
    <w:rsid w:val="2805632B"/>
    <w:rsid w:val="282B64F2"/>
    <w:rsid w:val="28307FE1"/>
    <w:rsid w:val="28381DE1"/>
    <w:rsid w:val="28391BC6"/>
    <w:rsid w:val="283A6672"/>
    <w:rsid w:val="283D51F7"/>
    <w:rsid w:val="284221F1"/>
    <w:rsid w:val="284337E0"/>
    <w:rsid w:val="28487AD2"/>
    <w:rsid w:val="284A322F"/>
    <w:rsid w:val="284D0822"/>
    <w:rsid w:val="28530769"/>
    <w:rsid w:val="28532814"/>
    <w:rsid w:val="286A7363"/>
    <w:rsid w:val="28720A81"/>
    <w:rsid w:val="287A10BC"/>
    <w:rsid w:val="287D2ACB"/>
    <w:rsid w:val="287D5148"/>
    <w:rsid w:val="287E60AA"/>
    <w:rsid w:val="2880007C"/>
    <w:rsid w:val="28810E9D"/>
    <w:rsid w:val="28821AC4"/>
    <w:rsid w:val="288400C7"/>
    <w:rsid w:val="28910CDE"/>
    <w:rsid w:val="289C3206"/>
    <w:rsid w:val="28A02F2A"/>
    <w:rsid w:val="28A13332"/>
    <w:rsid w:val="28A34EF4"/>
    <w:rsid w:val="28A84515"/>
    <w:rsid w:val="28AC1E3D"/>
    <w:rsid w:val="28AC7BDC"/>
    <w:rsid w:val="28AE22FF"/>
    <w:rsid w:val="28C522B4"/>
    <w:rsid w:val="28C62B24"/>
    <w:rsid w:val="28CB1958"/>
    <w:rsid w:val="28D208D1"/>
    <w:rsid w:val="28D84442"/>
    <w:rsid w:val="28D97D78"/>
    <w:rsid w:val="28DA0910"/>
    <w:rsid w:val="28DA7F33"/>
    <w:rsid w:val="28F107DD"/>
    <w:rsid w:val="28F20948"/>
    <w:rsid w:val="28F26ED5"/>
    <w:rsid w:val="28F37071"/>
    <w:rsid w:val="28FE234F"/>
    <w:rsid w:val="29002C8B"/>
    <w:rsid w:val="29022572"/>
    <w:rsid w:val="290632B0"/>
    <w:rsid w:val="29086724"/>
    <w:rsid w:val="290A6B41"/>
    <w:rsid w:val="29106EC9"/>
    <w:rsid w:val="29111EEA"/>
    <w:rsid w:val="291608FD"/>
    <w:rsid w:val="29181FFF"/>
    <w:rsid w:val="291971C1"/>
    <w:rsid w:val="291B727B"/>
    <w:rsid w:val="291D116D"/>
    <w:rsid w:val="291E39B5"/>
    <w:rsid w:val="29255C95"/>
    <w:rsid w:val="292A2078"/>
    <w:rsid w:val="293A1323"/>
    <w:rsid w:val="29407255"/>
    <w:rsid w:val="29414BEE"/>
    <w:rsid w:val="29421243"/>
    <w:rsid w:val="29465AE4"/>
    <w:rsid w:val="294721E7"/>
    <w:rsid w:val="294C11A7"/>
    <w:rsid w:val="294F38CB"/>
    <w:rsid w:val="29516B01"/>
    <w:rsid w:val="29536A06"/>
    <w:rsid w:val="295B2CB3"/>
    <w:rsid w:val="295C7749"/>
    <w:rsid w:val="295D1734"/>
    <w:rsid w:val="295D5959"/>
    <w:rsid w:val="295F0736"/>
    <w:rsid w:val="296431BB"/>
    <w:rsid w:val="296D2C7C"/>
    <w:rsid w:val="29712AF5"/>
    <w:rsid w:val="29732A5F"/>
    <w:rsid w:val="297B2850"/>
    <w:rsid w:val="297F292E"/>
    <w:rsid w:val="297F64AB"/>
    <w:rsid w:val="29804B4F"/>
    <w:rsid w:val="298368DB"/>
    <w:rsid w:val="298F7E74"/>
    <w:rsid w:val="299710CF"/>
    <w:rsid w:val="299A3A9D"/>
    <w:rsid w:val="299C017A"/>
    <w:rsid w:val="29A01A81"/>
    <w:rsid w:val="29A0760C"/>
    <w:rsid w:val="29A44456"/>
    <w:rsid w:val="29A90AF8"/>
    <w:rsid w:val="29AC3081"/>
    <w:rsid w:val="29B07220"/>
    <w:rsid w:val="29B4216C"/>
    <w:rsid w:val="29B7113A"/>
    <w:rsid w:val="29BB423F"/>
    <w:rsid w:val="29BD17D4"/>
    <w:rsid w:val="29BE4FCD"/>
    <w:rsid w:val="29C1751E"/>
    <w:rsid w:val="29C32093"/>
    <w:rsid w:val="29CA3466"/>
    <w:rsid w:val="29CD1137"/>
    <w:rsid w:val="29D32E03"/>
    <w:rsid w:val="29D65233"/>
    <w:rsid w:val="29D95A19"/>
    <w:rsid w:val="29DC3543"/>
    <w:rsid w:val="29DF613B"/>
    <w:rsid w:val="29E05B83"/>
    <w:rsid w:val="29E510F0"/>
    <w:rsid w:val="29E706D0"/>
    <w:rsid w:val="29E81F05"/>
    <w:rsid w:val="29E96718"/>
    <w:rsid w:val="29EA01A1"/>
    <w:rsid w:val="29EE0702"/>
    <w:rsid w:val="29F510C9"/>
    <w:rsid w:val="29FE7F01"/>
    <w:rsid w:val="2A066B54"/>
    <w:rsid w:val="2A090C72"/>
    <w:rsid w:val="2A0C2B6C"/>
    <w:rsid w:val="2A0D7C91"/>
    <w:rsid w:val="2A0E6AE3"/>
    <w:rsid w:val="2A0E717C"/>
    <w:rsid w:val="2A15388A"/>
    <w:rsid w:val="2A1572EC"/>
    <w:rsid w:val="2A1943AD"/>
    <w:rsid w:val="2A194FC2"/>
    <w:rsid w:val="2A1B6F69"/>
    <w:rsid w:val="2A1C536B"/>
    <w:rsid w:val="2A1E4A7C"/>
    <w:rsid w:val="2A200711"/>
    <w:rsid w:val="2A234F89"/>
    <w:rsid w:val="2A2835CE"/>
    <w:rsid w:val="2A2F4D8C"/>
    <w:rsid w:val="2A331B10"/>
    <w:rsid w:val="2A384273"/>
    <w:rsid w:val="2A3D5882"/>
    <w:rsid w:val="2A417E46"/>
    <w:rsid w:val="2A427CBE"/>
    <w:rsid w:val="2A441A61"/>
    <w:rsid w:val="2A453254"/>
    <w:rsid w:val="2A545765"/>
    <w:rsid w:val="2A582A1C"/>
    <w:rsid w:val="2A5B320C"/>
    <w:rsid w:val="2A60562E"/>
    <w:rsid w:val="2A6955F7"/>
    <w:rsid w:val="2A6D164B"/>
    <w:rsid w:val="2A6E28BB"/>
    <w:rsid w:val="2A6E4004"/>
    <w:rsid w:val="2A7B24AD"/>
    <w:rsid w:val="2A7F0A74"/>
    <w:rsid w:val="2A7F15D2"/>
    <w:rsid w:val="2A840FE9"/>
    <w:rsid w:val="2A8635CE"/>
    <w:rsid w:val="2A89024F"/>
    <w:rsid w:val="2A8918EE"/>
    <w:rsid w:val="2AA05588"/>
    <w:rsid w:val="2AA202C8"/>
    <w:rsid w:val="2AA65AFD"/>
    <w:rsid w:val="2AAA4707"/>
    <w:rsid w:val="2AB033DF"/>
    <w:rsid w:val="2AB139E8"/>
    <w:rsid w:val="2AB25B14"/>
    <w:rsid w:val="2AB345FC"/>
    <w:rsid w:val="2ABC4FE0"/>
    <w:rsid w:val="2AC35F84"/>
    <w:rsid w:val="2ACF3D78"/>
    <w:rsid w:val="2AD21285"/>
    <w:rsid w:val="2AD21843"/>
    <w:rsid w:val="2AD42E39"/>
    <w:rsid w:val="2AD95A4D"/>
    <w:rsid w:val="2AE23711"/>
    <w:rsid w:val="2AE72370"/>
    <w:rsid w:val="2AEB2B19"/>
    <w:rsid w:val="2AEB5626"/>
    <w:rsid w:val="2AF01343"/>
    <w:rsid w:val="2AF43CC7"/>
    <w:rsid w:val="2AF86BC1"/>
    <w:rsid w:val="2AFB4AC1"/>
    <w:rsid w:val="2AFD0BCB"/>
    <w:rsid w:val="2AFE49DE"/>
    <w:rsid w:val="2AFF6F5D"/>
    <w:rsid w:val="2B04145B"/>
    <w:rsid w:val="2B1327AC"/>
    <w:rsid w:val="2B1465D9"/>
    <w:rsid w:val="2B157B67"/>
    <w:rsid w:val="2B1F60F5"/>
    <w:rsid w:val="2B2637CB"/>
    <w:rsid w:val="2B267967"/>
    <w:rsid w:val="2B3067F7"/>
    <w:rsid w:val="2B3104F0"/>
    <w:rsid w:val="2B314E74"/>
    <w:rsid w:val="2B391326"/>
    <w:rsid w:val="2B397722"/>
    <w:rsid w:val="2B3C323E"/>
    <w:rsid w:val="2B47752E"/>
    <w:rsid w:val="2B495CA1"/>
    <w:rsid w:val="2B4F01EF"/>
    <w:rsid w:val="2B544BCC"/>
    <w:rsid w:val="2B5709BD"/>
    <w:rsid w:val="2B5B2515"/>
    <w:rsid w:val="2B5B4B77"/>
    <w:rsid w:val="2B5E75E7"/>
    <w:rsid w:val="2B603AB6"/>
    <w:rsid w:val="2B6050C0"/>
    <w:rsid w:val="2B71257D"/>
    <w:rsid w:val="2B740668"/>
    <w:rsid w:val="2B7A6966"/>
    <w:rsid w:val="2B7F178C"/>
    <w:rsid w:val="2B871BDD"/>
    <w:rsid w:val="2B8817B8"/>
    <w:rsid w:val="2B883F86"/>
    <w:rsid w:val="2B8919A3"/>
    <w:rsid w:val="2B8B4212"/>
    <w:rsid w:val="2B9603A2"/>
    <w:rsid w:val="2B9662B3"/>
    <w:rsid w:val="2B9C03E9"/>
    <w:rsid w:val="2B9D15A8"/>
    <w:rsid w:val="2BA85400"/>
    <w:rsid w:val="2BB270D4"/>
    <w:rsid w:val="2BB34C4D"/>
    <w:rsid w:val="2BB71542"/>
    <w:rsid w:val="2BB77C0C"/>
    <w:rsid w:val="2BC0494A"/>
    <w:rsid w:val="2BC208E4"/>
    <w:rsid w:val="2BC81A6A"/>
    <w:rsid w:val="2BCA0120"/>
    <w:rsid w:val="2BCC50C1"/>
    <w:rsid w:val="2BD268C9"/>
    <w:rsid w:val="2BD27510"/>
    <w:rsid w:val="2BD31657"/>
    <w:rsid w:val="2BD3305C"/>
    <w:rsid w:val="2BD361F5"/>
    <w:rsid w:val="2BD84CA0"/>
    <w:rsid w:val="2BDA3280"/>
    <w:rsid w:val="2BDF0F2E"/>
    <w:rsid w:val="2BDF1C78"/>
    <w:rsid w:val="2BE711C8"/>
    <w:rsid w:val="2BE87E94"/>
    <w:rsid w:val="2BEF02E7"/>
    <w:rsid w:val="2BEF4297"/>
    <w:rsid w:val="2BEF524B"/>
    <w:rsid w:val="2BF26C4C"/>
    <w:rsid w:val="2BF44A20"/>
    <w:rsid w:val="2BF647E9"/>
    <w:rsid w:val="2BFA2053"/>
    <w:rsid w:val="2BFF44AA"/>
    <w:rsid w:val="2C04550F"/>
    <w:rsid w:val="2C052FC6"/>
    <w:rsid w:val="2C07305D"/>
    <w:rsid w:val="2C083F0D"/>
    <w:rsid w:val="2C20649B"/>
    <w:rsid w:val="2C2509BE"/>
    <w:rsid w:val="2C265E75"/>
    <w:rsid w:val="2C2A16B7"/>
    <w:rsid w:val="2C2F7F19"/>
    <w:rsid w:val="2C351D00"/>
    <w:rsid w:val="2C393AC2"/>
    <w:rsid w:val="2C462B1E"/>
    <w:rsid w:val="2C473D2A"/>
    <w:rsid w:val="2C4D3EC1"/>
    <w:rsid w:val="2C4D5446"/>
    <w:rsid w:val="2C53386B"/>
    <w:rsid w:val="2C54131C"/>
    <w:rsid w:val="2C55630E"/>
    <w:rsid w:val="2C5A2ACB"/>
    <w:rsid w:val="2C602DFC"/>
    <w:rsid w:val="2C69321B"/>
    <w:rsid w:val="2C742EBE"/>
    <w:rsid w:val="2C7F502C"/>
    <w:rsid w:val="2C805576"/>
    <w:rsid w:val="2C830940"/>
    <w:rsid w:val="2C844185"/>
    <w:rsid w:val="2C85243D"/>
    <w:rsid w:val="2C860E86"/>
    <w:rsid w:val="2C8827C8"/>
    <w:rsid w:val="2C8C7048"/>
    <w:rsid w:val="2C957313"/>
    <w:rsid w:val="2C981080"/>
    <w:rsid w:val="2C98594E"/>
    <w:rsid w:val="2C99362B"/>
    <w:rsid w:val="2CA4674A"/>
    <w:rsid w:val="2CA8172D"/>
    <w:rsid w:val="2CA86A1B"/>
    <w:rsid w:val="2CAB7745"/>
    <w:rsid w:val="2CAF1F6B"/>
    <w:rsid w:val="2CAF4E3F"/>
    <w:rsid w:val="2CB51EF1"/>
    <w:rsid w:val="2CC00F08"/>
    <w:rsid w:val="2CC174AD"/>
    <w:rsid w:val="2CC5083E"/>
    <w:rsid w:val="2CC5295F"/>
    <w:rsid w:val="2CC64686"/>
    <w:rsid w:val="2CCE17E9"/>
    <w:rsid w:val="2CCE30BE"/>
    <w:rsid w:val="2CD107D5"/>
    <w:rsid w:val="2CD15922"/>
    <w:rsid w:val="2CD23ADD"/>
    <w:rsid w:val="2CD6208E"/>
    <w:rsid w:val="2CDA313A"/>
    <w:rsid w:val="2CE2161B"/>
    <w:rsid w:val="2CE93E56"/>
    <w:rsid w:val="2CF1575B"/>
    <w:rsid w:val="2CF54840"/>
    <w:rsid w:val="2CF83A36"/>
    <w:rsid w:val="2D001263"/>
    <w:rsid w:val="2D0E256F"/>
    <w:rsid w:val="2D0E62B2"/>
    <w:rsid w:val="2D1B0E58"/>
    <w:rsid w:val="2D1B2B24"/>
    <w:rsid w:val="2D1E39D6"/>
    <w:rsid w:val="2D225FD1"/>
    <w:rsid w:val="2D230B4F"/>
    <w:rsid w:val="2D28004F"/>
    <w:rsid w:val="2D28019A"/>
    <w:rsid w:val="2D2A5964"/>
    <w:rsid w:val="2D2C2800"/>
    <w:rsid w:val="2D2D0D32"/>
    <w:rsid w:val="2D2D78E0"/>
    <w:rsid w:val="2D2F3609"/>
    <w:rsid w:val="2D34525F"/>
    <w:rsid w:val="2D351DDE"/>
    <w:rsid w:val="2D3D7163"/>
    <w:rsid w:val="2D3F2800"/>
    <w:rsid w:val="2D4A21ED"/>
    <w:rsid w:val="2D503C6E"/>
    <w:rsid w:val="2D5269B6"/>
    <w:rsid w:val="2D556EB1"/>
    <w:rsid w:val="2D5D1934"/>
    <w:rsid w:val="2D5E1572"/>
    <w:rsid w:val="2D692427"/>
    <w:rsid w:val="2D7A6399"/>
    <w:rsid w:val="2D854725"/>
    <w:rsid w:val="2D854DCC"/>
    <w:rsid w:val="2D8B482D"/>
    <w:rsid w:val="2D8C7C7E"/>
    <w:rsid w:val="2D9057A6"/>
    <w:rsid w:val="2D952F6E"/>
    <w:rsid w:val="2D967446"/>
    <w:rsid w:val="2D9715AC"/>
    <w:rsid w:val="2D995600"/>
    <w:rsid w:val="2DA66732"/>
    <w:rsid w:val="2DAE3793"/>
    <w:rsid w:val="2DAF2C41"/>
    <w:rsid w:val="2DAF2CA4"/>
    <w:rsid w:val="2DB37AE7"/>
    <w:rsid w:val="2DB7323C"/>
    <w:rsid w:val="2DB777D8"/>
    <w:rsid w:val="2DB95903"/>
    <w:rsid w:val="2DBD51E8"/>
    <w:rsid w:val="2DBE1D86"/>
    <w:rsid w:val="2DC0741E"/>
    <w:rsid w:val="2DCE5A0D"/>
    <w:rsid w:val="2DD921A6"/>
    <w:rsid w:val="2DE22877"/>
    <w:rsid w:val="2DE54EDC"/>
    <w:rsid w:val="2DE6385E"/>
    <w:rsid w:val="2DE70561"/>
    <w:rsid w:val="2DEA7345"/>
    <w:rsid w:val="2DEE3BFD"/>
    <w:rsid w:val="2DFA1599"/>
    <w:rsid w:val="2DFB3511"/>
    <w:rsid w:val="2DFC203B"/>
    <w:rsid w:val="2E035E56"/>
    <w:rsid w:val="2E0C74A0"/>
    <w:rsid w:val="2E0E4D87"/>
    <w:rsid w:val="2E0F7964"/>
    <w:rsid w:val="2E1150C1"/>
    <w:rsid w:val="2E197FF6"/>
    <w:rsid w:val="2E1A6965"/>
    <w:rsid w:val="2E1A6DEE"/>
    <w:rsid w:val="2E1B6603"/>
    <w:rsid w:val="2E2423DF"/>
    <w:rsid w:val="2E282B45"/>
    <w:rsid w:val="2E2C1E1F"/>
    <w:rsid w:val="2E31119D"/>
    <w:rsid w:val="2E313F95"/>
    <w:rsid w:val="2E3543BC"/>
    <w:rsid w:val="2E3731FE"/>
    <w:rsid w:val="2E3A7DB4"/>
    <w:rsid w:val="2E3B65B0"/>
    <w:rsid w:val="2E414262"/>
    <w:rsid w:val="2E4B049A"/>
    <w:rsid w:val="2E4C02B4"/>
    <w:rsid w:val="2E4D7FB9"/>
    <w:rsid w:val="2E4F54BE"/>
    <w:rsid w:val="2E506FB2"/>
    <w:rsid w:val="2E5348C4"/>
    <w:rsid w:val="2E541CB1"/>
    <w:rsid w:val="2E625DD7"/>
    <w:rsid w:val="2E6450EF"/>
    <w:rsid w:val="2E7074D6"/>
    <w:rsid w:val="2E813A33"/>
    <w:rsid w:val="2E8416B9"/>
    <w:rsid w:val="2E8419F2"/>
    <w:rsid w:val="2E84707C"/>
    <w:rsid w:val="2E852124"/>
    <w:rsid w:val="2E910A06"/>
    <w:rsid w:val="2E923EF9"/>
    <w:rsid w:val="2E942529"/>
    <w:rsid w:val="2E955108"/>
    <w:rsid w:val="2E987167"/>
    <w:rsid w:val="2E9B61C8"/>
    <w:rsid w:val="2EA53562"/>
    <w:rsid w:val="2EA751EF"/>
    <w:rsid w:val="2EAD5548"/>
    <w:rsid w:val="2EAD5A27"/>
    <w:rsid w:val="2EAE66E3"/>
    <w:rsid w:val="2EB97EE9"/>
    <w:rsid w:val="2EC04E0F"/>
    <w:rsid w:val="2EC338F0"/>
    <w:rsid w:val="2EC553CA"/>
    <w:rsid w:val="2EC62A29"/>
    <w:rsid w:val="2EC73542"/>
    <w:rsid w:val="2ECD316B"/>
    <w:rsid w:val="2ECE78E6"/>
    <w:rsid w:val="2ECF2B66"/>
    <w:rsid w:val="2ED0140C"/>
    <w:rsid w:val="2ED16C67"/>
    <w:rsid w:val="2ED207BB"/>
    <w:rsid w:val="2ED42C06"/>
    <w:rsid w:val="2ED8712D"/>
    <w:rsid w:val="2ED874E6"/>
    <w:rsid w:val="2EE40287"/>
    <w:rsid w:val="2EE724B6"/>
    <w:rsid w:val="2EE77311"/>
    <w:rsid w:val="2EFD54F0"/>
    <w:rsid w:val="2EFE68A2"/>
    <w:rsid w:val="2F0129B6"/>
    <w:rsid w:val="2F037DD2"/>
    <w:rsid w:val="2F077BFB"/>
    <w:rsid w:val="2F0A175F"/>
    <w:rsid w:val="2F106C34"/>
    <w:rsid w:val="2F1543BF"/>
    <w:rsid w:val="2F19409C"/>
    <w:rsid w:val="2F1C1C78"/>
    <w:rsid w:val="2F1E49E7"/>
    <w:rsid w:val="2F307D5E"/>
    <w:rsid w:val="2F3F19BB"/>
    <w:rsid w:val="2F3F50D0"/>
    <w:rsid w:val="2F412113"/>
    <w:rsid w:val="2F5029EF"/>
    <w:rsid w:val="2F582648"/>
    <w:rsid w:val="2F59201D"/>
    <w:rsid w:val="2F5C55F5"/>
    <w:rsid w:val="2F5E5808"/>
    <w:rsid w:val="2F6562FC"/>
    <w:rsid w:val="2F682427"/>
    <w:rsid w:val="2F69017D"/>
    <w:rsid w:val="2F6D3693"/>
    <w:rsid w:val="2F722ECE"/>
    <w:rsid w:val="2F73223B"/>
    <w:rsid w:val="2F732E16"/>
    <w:rsid w:val="2F7340FC"/>
    <w:rsid w:val="2F7C4600"/>
    <w:rsid w:val="2F7D36C2"/>
    <w:rsid w:val="2F7E3331"/>
    <w:rsid w:val="2F7F7199"/>
    <w:rsid w:val="2F8072C5"/>
    <w:rsid w:val="2F8127A0"/>
    <w:rsid w:val="2F893630"/>
    <w:rsid w:val="2F8F46B7"/>
    <w:rsid w:val="2F940B7F"/>
    <w:rsid w:val="2F9671AC"/>
    <w:rsid w:val="2F98422F"/>
    <w:rsid w:val="2F9B6690"/>
    <w:rsid w:val="2FA727CD"/>
    <w:rsid w:val="2FA85A6F"/>
    <w:rsid w:val="2FAC600E"/>
    <w:rsid w:val="2FAF3173"/>
    <w:rsid w:val="2FAF519C"/>
    <w:rsid w:val="2FB46118"/>
    <w:rsid w:val="2FC40812"/>
    <w:rsid w:val="2FC5133B"/>
    <w:rsid w:val="2FCA08AC"/>
    <w:rsid w:val="2FCA3379"/>
    <w:rsid w:val="2FCB2E94"/>
    <w:rsid w:val="2FCF3D90"/>
    <w:rsid w:val="2FD05650"/>
    <w:rsid w:val="2FD23672"/>
    <w:rsid w:val="2FD40BF7"/>
    <w:rsid w:val="2FDF3C2D"/>
    <w:rsid w:val="2FE05AF6"/>
    <w:rsid w:val="2FE1686B"/>
    <w:rsid w:val="2FE679E8"/>
    <w:rsid w:val="2FE7015B"/>
    <w:rsid w:val="2FE9609A"/>
    <w:rsid w:val="2FF707B0"/>
    <w:rsid w:val="2FFA222B"/>
    <w:rsid w:val="2FFB7149"/>
    <w:rsid w:val="3008625E"/>
    <w:rsid w:val="300C394E"/>
    <w:rsid w:val="30125D21"/>
    <w:rsid w:val="30143443"/>
    <w:rsid w:val="301D759B"/>
    <w:rsid w:val="302055A4"/>
    <w:rsid w:val="30312932"/>
    <w:rsid w:val="303333A1"/>
    <w:rsid w:val="30336678"/>
    <w:rsid w:val="30354FD2"/>
    <w:rsid w:val="303C3A3A"/>
    <w:rsid w:val="303E2B66"/>
    <w:rsid w:val="30403B44"/>
    <w:rsid w:val="30423407"/>
    <w:rsid w:val="304321AE"/>
    <w:rsid w:val="304432B3"/>
    <w:rsid w:val="30487D60"/>
    <w:rsid w:val="304E5AD4"/>
    <w:rsid w:val="30517537"/>
    <w:rsid w:val="3053245D"/>
    <w:rsid w:val="30534A7A"/>
    <w:rsid w:val="305B2DC4"/>
    <w:rsid w:val="305F1A3E"/>
    <w:rsid w:val="30664378"/>
    <w:rsid w:val="30666EBC"/>
    <w:rsid w:val="30685DA7"/>
    <w:rsid w:val="3070000F"/>
    <w:rsid w:val="30740967"/>
    <w:rsid w:val="30744072"/>
    <w:rsid w:val="30747914"/>
    <w:rsid w:val="307919ED"/>
    <w:rsid w:val="307A18F4"/>
    <w:rsid w:val="307D6A65"/>
    <w:rsid w:val="308446AB"/>
    <w:rsid w:val="308A628B"/>
    <w:rsid w:val="308C0F63"/>
    <w:rsid w:val="3090613F"/>
    <w:rsid w:val="309778C2"/>
    <w:rsid w:val="30A01C07"/>
    <w:rsid w:val="30A3097D"/>
    <w:rsid w:val="30A438BD"/>
    <w:rsid w:val="30A55CCE"/>
    <w:rsid w:val="30A71DD8"/>
    <w:rsid w:val="30AE53CE"/>
    <w:rsid w:val="30B45996"/>
    <w:rsid w:val="30B62C4B"/>
    <w:rsid w:val="30B82CB6"/>
    <w:rsid w:val="30BA2158"/>
    <w:rsid w:val="30BB3242"/>
    <w:rsid w:val="30BE2794"/>
    <w:rsid w:val="30C45650"/>
    <w:rsid w:val="30C93804"/>
    <w:rsid w:val="30CF6ECF"/>
    <w:rsid w:val="30D47B85"/>
    <w:rsid w:val="30D81E74"/>
    <w:rsid w:val="30D90370"/>
    <w:rsid w:val="30E0767E"/>
    <w:rsid w:val="30E90C5C"/>
    <w:rsid w:val="30E91F4F"/>
    <w:rsid w:val="30F12FBB"/>
    <w:rsid w:val="30FB157D"/>
    <w:rsid w:val="30FD5DD5"/>
    <w:rsid w:val="30FF6018"/>
    <w:rsid w:val="31037738"/>
    <w:rsid w:val="310A5E36"/>
    <w:rsid w:val="310B42DC"/>
    <w:rsid w:val="310F738B"/>
    <w:rsid w:val="31141175"/>
    <w:rsid w:val="311531EB"/>
    <w:rsid w:val="311569AF"/>
    <w:rsid w:val="31157494"/>
    <w:rsid w:val="31160AF2"/>
    <w:rsid w:val="311813C1"/>
    <w:rsid w:val="31202AE5"/>
    <w:rsid w:val="31252CE0"/>
    <w:rsid w:val="3125619A"/>
    <w:rsid w:val="31273003"/>
    <w:rsid w:val="31292331"/>
    <w:rsid w:val="3129395D"/>
    <w:rsid w:val="312B38BD"/>
    <w:rsid w:val="31315688"/>
    <w:rsid w:val="313A3029"/>
    <w:rsid w:val="313F0831"/>
    <w:rsid w:val="31497010"/>
    <w:rsid w:val="314B1EAD"/>
    <w:rsid w:val="314E415D"/>
    <w:rsid w:val="314F2710"/>
    <w:rsid w:val="31533677"/>
    <w:rsid w:val="31552E4A"/>
    <w:rsid w:val="31592E24"/>
    <w:rsid w:val="315A624D"/>
    <w:rsid w:val="315B324D"/>
    <w:rsid w:val="315B47AC"/>
    <w:rsid w:val="3167302F"/>
    <w:rsid w:val="316C1E80"/>
    <w:rsid w:val="31705CA5"/>
    <w:rsid w:val="31707A2B"/>
    <w:rsid w:val="317B0A79"/>
    <w:rsid w:val="317E7000"/>
    <w:rsid w:val="317F0055"/>
    <w:rsid w:val="31854DC3"/>
    <w:rsid w:val="31877F24"/>
    <w:rsid w:val="31894EDA"/>
    <w:rsid w:val="318A2F77"/>
    <w:rsid w:val="318B00FE"/>
    <w:rsid w:val="319056C2"/>
    <w:rsid w:val="319B34B1"/>
    <w:rsid w:val="31A86989"/>
    <w:rsid w:val="31AA19FC"/>
    <w:rsid w:val="31AA6779"/>
    <w:rsid w:val="31AB27F1"/>
    <w:rsid w:val="31AE7093"/>
    <w:rsid w:val="31B53513"/>
    <w:rsid w:val="31B65ABD"/>
    <w:rsid w:val="31B80A56"/>
    <w:rsid w:val="31BF0703"/>
    <w:rsid w:val="31C011EF"/>
    <w:rsid w:val="31C33B26"/>
    <w:rsid w:val="31C64536"/>
    <w:rsid w:val="31CE1248"/>
    <w:rsid w:val="31D103EC"/>
    <w:rsid w:val="31D21B07"/>
    <w:rsid w:val="31D232B3"/>
    <w:rsid w:val="31D3214B"/>
    <w:rsid w:val="31D56681"/>
    <w:rsid w:val="31D710AD"/>
    <w:rsid w:val="31DE07B7"/>
    <w:rsid w:val="31DF2174"/>
    <w:rsid w:val="31E12E5B"/>
    <w:rsid w:val="31E76BFD"/>
    <w:rsid w:val="31E96C10"/>
    <w:rsid w:val="31F42AB1"/>
    <w:rsid w:val="31F5265F"/>
    <w:rsid w:val="31F80348"/>
    <w:rsid w:val="31FB2385"/>
    <w:rsid w:val="31FF36B4"/>
    <w:rsid w:val="320628DE"/>
    <w:rsid w:val="3208039A"/>
    <w:rsid w:val="32082074"/>
    <w:rsid w:val="320A3EF1"/>
    <w:rsid w:val="320B41AC"/>
    <w:rsid w:val="320E5B53"/>
    <w:rsid w:val="320E61CF"/>
    <w:rsid w:val="320E6C09"/>
    <w:rsid w:val="32104EA5"/>
    <w:rsid w:val="32106D9C"/>
    <w:rsid w:val="321076B2"/>
    <w:rsid w:val="32164504"/>
    <w:rsid w:val="3217713C"/>
    <w:rsid w:val="321A3AC3"/>
    <w:rsid w:val="321C5496"/>
    <w:rsid w:val="321E1436"/>
    <w:rsid w:val="32221292"/>
    <w:rsid w:val="32244273"/>
    <w:rsid w:val="32256A1E"/>
    <w:rsid w:val="322E5CF7"/>
    <w:rsid w:val="32340E63"/>
    <w:rsid w:val="323613F5"/>
    <w:rsid w:val="32384952"/>
    <w:rsid w:val="3238725E"/>
    <w:rsid w:val="323A66A7"/>
    <w:rsid w:val="323B34F8"/>
    <w:rsid w:val="32431723"/>
    <w:rsid w:val="3243290D"/>
    <w:rsid w:val="32522627"/>
    <w:rsid w:val="325A25AE"/>
    <w:rsid w:val="325A31C7"/>
    <w:rsid w:val="325B0093"/>
    <w:rsid w:val="325C24A2"/>
    <w:rsid w:val="325E0FCE"/>
    <w:rsid w:val="32622344"/>
    <w:rsid w:val="32686BD2"/>
    <w:rsid w:val="326919DF"/>
    <w:rsid w:val="327C4D45"/>
    <w:rsid w:val="327F24AD"/>
    <w:rsid w:val="32853B25"/>
    <w:rsid w:val="32886296"/>
    <w:rsid w:val="328C07D0"/>
    <w:rsid w:val="32961846"/>
    <w:rsid w:val="32987722"/>
    <w:rsid w:val="32A44232"/>
    <w:rsid w:val="32AC4BE3"/>
    <w:rsid w:val="32AF1124"/>
    <w:rsid w:val="32B00175"/>
    <w:rsid w:val="32B81459"/>
    <w:rsid w:val="32BA2E87"/>
    <w:rsid w:val="32BA428B"/>
    <w:rsid w:val="32BF3A97"/>
    <w:rsid w:val="32C61D99"/>
    <w:rsid w:val="32C7342D"/>
    <w:rsid w:val="32D06F6A"/>
    <w:rsid w:val="32D62350"/>
    <w:rsid w:val="32D77536"/>
    <w:rsid w:val="32E14E7E"/>
    <w:rsid w:val="32E23964"/>
    <w:rsid w:val="32E33C70"/>
    <w:rsid w:val="32EF35B8"/>
    <w:rsid w:val="32F61CEA"/>
    <w:rsid w:val="32F83F72"/>
    <w:rsid w:val="32F903C7"/>
    <w:rsid w:val="32FA5586"/>
    <w:rsid w:val="32FC1C52"/>
    <w:rsid w:val="32FD7536"/>
    <w:rsid w:val="32FF3586"/>
    <w:rsid w:val="330E467B"/>
    <w:rsid w:val="331051B8"/>
    <w:rsid w:val="33156C00"/>
    <w:rsid w:val="33160251"/>
    <w:rsid w:val="331A7AA2"/>
    <w:rsid w:val="332218B0"/>
    <w:rsid w:val="33247A30"/>
    <w:rsid w:val="33366C83"/>
    <w:rsid w:val="334574F7"/>
    <w:rsid w:val="33472756"/>
    <w:rsid w:val="33476E6E"/>
    <w:rsid w:val="33501BEB"/>
    <w:rsid w:val="335059F5"/>
    <w:rsid w:val="33510AD4"/>
    <w:rsid w:val="335E456B"/>
    <w:rsid w:val="335E53B4"/>
    <w:rsid w:val="33616A50"/>
    <w:rsid w:val="33656A44"/>
    <w:rsid w:val="33686D6B"/>
    <w:rsid w:val="336C6A3F"/>
    <w:rsid w:val="336D2C87"/>
    <w:rsid w:val="336D3768"/>
    <w:rsid w:val="336E4EE4"/>
    <w:rsid w:val="336F5749"/>
    <w:rsid w:val="33704529"/>
    <w:rsid w:val="337440CD"/>
    <w:rsid w:val="337A6F26"/>
    <w:rsid w:val="338030A2"/>
    <w:rsid w:val="33836A8C"/>
    <w:rsid w:val="338B3931"/>
    <w:rsid w:val="338E2932"/>
    <w:rsid w:val="338E702A"/>
    <w:rsid w:val="33923E41"/>
    <w:rsid w:val="33931F4B"/>
    <w:rsid w:val="33934449"/>
    <w:rsid w:val="33935B17"/>
    <w:rsid w:val="33AF67CE"/>
    <w:rsid w:val="33B17914"/>
    <w:rsid w:val="33B20D9F"/>
    <w:rsid w:val="33B72CEE"/>
    <w:rsid w:val="33BD790E"/>
    <w:rsid w:val="33BE3181"/>
    <w:rsid w:val="33D332E7"/>
    <w:rsid w:val="33D478E4"/>
    <w:rsid w:val="33DB0423"/>
    <w:rsid w:val="33DF3CD0"/>
    <w:rsid w:val="33E1134F"/>
    <w:rsid w:val="33E243B6"/>
    <w:rsid w:val="33E478FA"/>
    <w:rsid w:val="33F1117B"/>
    <w:rsid w:val="33F44500"/>
    <w:rsid w:val="33F829AE"/>
    <w:rsid w:val="340E496A"/>
    <w:rsid w:val="34150D1C"/>
    <w:rsid w:val="34157955"/>
    <w:rsid w:val="342210FD"/>
    <w:rsid w:val="3425740F"/>
    <w:rsid w:val="342C1F92"/>
    <w:rsid w:val="342D418A"/>
    <w:rsid w:val="343238AA"/>
    <w:rsid w:val="343403CC"/>
    <w:rsid w:val="34340A20"/>
    <w:rsid w:val="343E1585"/>
    <w:rsid w:val="34420A8A"/>
    <w:rsid w:val="34440006"/>
    <w:rsid w:val="34444722"/>
    <w:rsid w:val="344C6B29"/>
    <w:rsid w:val="34506799"/>
    <w:rsid w:val="34517A5F"/>
    <w:rsid w:val="34534224"/>
    <w:rsid w:val="345608C8"/>
    <w:rsid w:val="345B7EA7"/>
    <w:rsid w:val="34631D09"/>
    <w:rsid w:val="34652FDA"/>
    <w:rsid w:val="347012AA"/>
    <w:rsid w:val="347208A9"/>
    <w:rsid w:val="347350DF"/>
    <w:rsid w:val="347577B3"/>
    <w:rsid w:val="347D4A34"/>
    <w:rsid w:val="34836118"/>
    <w:rsid w:val="34866CF0"/>
    <w:rsid w:val="3488054A"/>
    <w:rsid w:val="3489777A"/>
    <w:rsid w:val="348A40AB"/>
    <w:rsid w:val="348A52A8"/>
    <w:rsid w:val="348C6056"/>
    <w:rsid w:val="34924883"/>
    <w:rsid w:val="34A65837"/>
    <w:rsid w:val="34A73B7B"/>
    <w:rsid w:val="34A805B3"/>
    <w:rsid w:val="34A82237"/>
    <w:rsid w:val="34A87798"/>
    <w:rsid w:val="34AB3AE4"/>
    <w:rsid w:val="34AE7973"/>
    <w:rsid w:val="34B55A88"/>
    <w:rsid w:val="34BB2045"/>
    <w:rsid w:val="34C512A8"/>
    <w:rsid w:val="34C569C4"/>
    <w:rsid w:val="34CD31FA"/>
    <w:rsid w:val="34CD7CCE"/>
    <w:rsid w:val="34D10BAD"/>
    <w:rsid w:val="34DA29CA"/>
    <w:rsid w:val="34E06106"/>
    <w:rsid w:val="34E74F5F"/>
    <w:rsid w:val="34EB2A75"/>
    <w:rsid w:val="34EB575C"/>
    <w:rsid w:val="34F8681C"/>
    <w:rsid w:val="34FC1E40"/>
    <w:rsid w:val="34FD59D9"/>
    <w:rsid w:val="35022E9B"/>
    <w:rsid w:val="350B3AAC"/>
    <w:rsid w:val="350C73E6"/>
    <w:rsid w:val="35105954"/>
    <w:rsid w:val="35133630"/>
    <w:rsid w:val="35160CC1"/>
    <w:rsid w:val="351848BE"/>
    <w:rsid w:val="351A6D1A"/>
    <w:rsid w:val="352A0C3E"/>
    <w:rsid w:val="352B3520"/>
    <w:rsid w:val="353A12B8"/>
    <w:rsid w:val="35404E03"/>
    <w:rsid w:val="35414E94"/>
    <w:rsid w:val="35415754"/>
    <w:rsid w:val="35442A1F"/>
    <w:rsid w:val="35474785"/>
    <w:rsid w:val="355012D7"/>
    <w:rsid w:val="3552077D"/>
    <w:rsid w:val="3552162B"/>
    <w:rsid w:val="3553587A"/>
    <w:rsid w:val="355D25D9"/>
    <w:rsid w:val="355E46D5"/>
    <w:rsid w:val="35685BE8"/>
    <w:rsid w:val="357663C9"/>
    <w:rsid w:val="357C7744"/>
    <w:rsid w:val="35843B62"/>
    <w:rsid w:val="35847682"/>
    <w:rsid w:val="35857EDB"/>
    <w:rsid w:val="35874D62"/>
    <w:rsid w:val="35914FEC"/>
    <w:rsid w:val="35A72FD2"/>
    <w:rsid w:val="35B34366"/>
    <w:rsid w:val="35B77866"/>
    <w:rsid w:val="35B92738"/>
    <w:rsid w:val="35C50082"/>
    <w:rsid w:val="35C55803"/>
    <w:rsid w:val="35C82CDE"/>
    <w:rsid w:val="35C83EF2"/>
    <w:rsid w:val="35C860E1"/>
    <w:rsid w:val="35CB65BD"/>
    <w:rsid w:val="35D90CA0"/>
    <w:rsid w:val="35DB7A96"/>
    <w:rsid w:val="35DC2C4C"/>
    <w:rsid w:val="35E812FB"/>
    <w:rsid w:val="35E966E7"/>
    <w:rsid w:val="35EE3B5A"/>
    <w:rsid w:val="35F04AAD"/>
    <w:rsid w:val="35F45C49"/>
    <w:rsid w:val="35F6162D"/>
    <w:rsid w:val="35F64543"/>
    <w:rsid w:val="35F84430"/>
    <w:rsid w:val="35FD6B0E"/>
    <w:rsid w:val="36071284"/>
    <w:rsid w:val="360C4A1F"/>
    <w:rsid w:val="360D638F"/>
    <w:rsid w:val="361125DA"/>
    <w:rsid w:val="361E6927"/>
    <w:rsid w:val="36226479"/>
    <w:rsid w:val="36232082"/>
    <w:rsid w:val="362641F3"/>
    <w:rsid w:val="362E7388"/>
    <w:rsid w:val="363D2ACE"/>
    <w:rsid w:val="3644213B"/>
    <w:rsid w:val="364A5C4C"/>
    <w:rsid w:val="36542290"/>
    <w:rsid w:val="36613494"/>
    <w:rsid w:val="36620712"/>
    <w:rsid w:val="366468E1"/>
    <w:rsid w:val="3665585F"/>
    <w:rsid w:val="366B1DE3"/>
    <w:rsid w:val="36720A14"/>
    <w:rsid w:val="3672339D"/>
    <w:rsid w:val="367522A7"/>
    <w:rsid w:val="367A61B5"/>
    <w:rsid w:val="3684591B"/>
    <w:rsid w:val="36873904"/>
    <w:rsid w:val="36876C66"/>
    <w:rsid w:val="368F3BB5"/>
    <w:rsid w:val="369374EF"/>
    <w:rsid w:val="36980B2C"/>
    <w:rsid w:val="369A7BB9"/>
    <w:rsid w:val="369F6872"/>
    <w:rsid w:val="36A02107"/>
    <w:rsid w:val="36AB0F21"/>
    <w:rsid w:val="36AD7B7C"/>
    <w:rsid w:val="36AE0F8E"/>
    <w:rsid w:val="36B30F9F"/>
    <w:rsid w:val="36B34327"/>
    <w:rsid w:val="36BC51F4"/>
    <w:rsid w:val="36BD550F"/>
    <w:rsid w:val="36C62A3A"/>
    <w:rsid w:val="36CE067D"/>
    <w:rsid w:val="36D03AD0"/>
    <w:rsid w:val="36D33327"/>
    <w:rsid w:val="36D546D3"/>
    <w:rsid w:val="36D6396E"/>
    <w:rsid w:val="36D87A78"/>
    <w:rsid w:val="36DA7164"/>
    <w:rsid w:val="36DB6D5F"/>
    <w:rsid w:val="36E4141F"/>
    <w:rsid w:val="36E42DC8"/>
    <w:rsid w:val="36E925DF"/>
    <w:rsid w:val="36EB70FA"/>
    <w:rsid w:val="36ED7324"/>
    <w:rsid w:val="36EF4E7E"/>
    <w:rsid w:val="36F90883"/>
    <w:rsid w:val="37046A8A"/>
    <w:rsid w:val="37096521"/>
    <w:rsid w:val="37112648"/>
    <w:rsid w:val="371510E6"/>
    <w:rsid w:val="371D1B34"/>
    <w:rsid w:val="371E77C1"/>
    <w:rsid w:val="371E7CE9"/>
    <w:rsid w:val="372229E1"/>
    <w:rsid w:val="372C07C3"/>
    <w:rsid w:val="372C775E"/>
    <w:rsid w:val="37376C34"/>
    <w:rsid w:val="3738457C"/>
    <w:rsid w:val="37411F99"/>
    <w:rsid w:val="3747010F"/>
    <w:rsid w:val="37497191"/>
    <w:rsid w:val="374F24B8"/>
    <w:rsid w:val="37522658"/>
    <w:rsid w:val="3761289F"/>
    <w:rsid w:val="37621997"/>
    <w:rsid w:val="3763179F"/>
    <w:rsid w:val="376851F1"/>
    <w:rsid w:val="376E066D"/>
    <w:rsid w:val="377B2235"/>
    <w:rsid w:val="378168D6"/>
    <w:rsid w:val="378735B7"/>
    <w:rsid w:val="378C63A5"/>
    <w:rsid w:val="378D21C4"/>
    <w:rsid w:val="37926C47"/>
    <w:rsid w:val="379628E4"/>
    <w:rsid w:val="37986042"/>
    <w:rsid w:val="37995A3D"/>
    <w:rsid w:val="379B3D05"/>
    <w:rsid w:val="379D58A8"/>
    <w:rsid w:val="37B02CCF"/>
    <w:rsid w:val="37B86056"/>
    <w:rsid w:val="37C27ED6"/>
    <w:rsid w:val="37C7143C"/>
    <w:rsid w:val="37CE0508"/>
    <w:rsid w:val="37CF4935"/>
    <w:rsid w:val="37D032F8"/>
    <w:rsid w:val="37D60438"/>
    <w:rsid w:val="37D87220"/>
    <w:rsid w:val="37DB4B69"/>
    <w:rsid w:val="37DB5329"/>
    <w:rsid w:val="37DF20CE"/>
    <w:rsid w:val="37E0181C"/>
    <w:rsid w:val="37EA5ABF"/>
    <w:rsid w:val="37EB214E"/>
    <w:rsid w:val="37EE5000"/>
    <w:rsid w:val="37F128A5"/>
    <w:rsid w:val="37F1500E"/>
    <w:rsid w:val="37F213EB"/>
    <w:rsid w:val="37F663B8"/>
    <w:rsid w:val="37FC3A1E"/>
    <w:rsid w:val="38003F3A"/>
    <w:rsid w:val="3800738E"/>
    <w:rsid w:val="38021642"/>
    <w:rsid w:val="380262B1"/>
    <w:rsid w:val="380E5A73"/>
    <w:rsid w:val="380E7B87"/>
    <w:rsid w:val="380F30FF"/>
    <w:rsid w:val="381873F9"/>
    <w:rsid w:val="381E545A"/>
    <w:rsid w:val="382147C2"/>
    <w:rsid w:val="382210D1"/>
    <w:rsid w:val="38235FBE"/>
    <w:rsid w:val="38261A6C"/>
    <w:rsid w:val="382633B8"/>
    <w:rsid w:val="382A5A04"/>
    <w:rsid w:val="382B6B4A"/>
    <w:rsid w:val="382F00AE"/>
    <w:rsid w:val="38350745"/>
    <w:rsid w:val="383B3214"/>
    <w:rsid w:val="383E7B12"/>
    <w:rsid w:val="384115EA"/>
    <w:rsid w:val="38416E01"/>
    <w:rsid w:val="384470B5"/>
    <w:rsid w:val="38456D08"/>
    <w:rsid w:val="38477EA8"/>
    <w:rsid w:val="384F6A08"/>
    <w:rsid w:val="3850191B"/>
    <w:rsid w:val="38542973"/>
    <w:rsid w:val="38546FE7"/>
    <w:rsid w:val="385A1E89"/>
    <w:rsid w:val="385E033F"/>
    <w:rsid w:val="3862769B"/>
    <w:rsid w:val="3864227B"/>
    <w:rsid w:val="38670DA5"/>
    <w:rsid w:val="3873329A"/>
    <w:rsid w:val="3873362A"/>
    <w:rsid w:val="38750FC7"/>
    <w:rsid w:val="38782C14"/>
    <w:rsid w:val="387F0062"/>
    <w:rsid w:val="388557EF"/>
    <w:rsid w:val="38856DA7"/>
    <w:rsid w:val="388F4CCA"/>
    <w:rsid w:val="389765D2"/>
    <w:rsid w:val="389D1913"/>
    <w:rsid w:val="38A54185"/>
    <w:rsid w:val="38A57EC5"/>
    <w:rsid w:val="38A74EB9"/>
    <w:rsid w:val="38A91318"/>
    <w:rsid w:val="38B17C22"/>
    <w:rsid w:val="38B55ED3"/>
    <w:rsid w:val="38BA6A80"/>
    <w:rsid w:val="38BD0478"/>
    <w:rsid w:val="38C1034E"/>
    <w:rsid w:val="38C4036C"/>
    <w:rsid w:val="38CC2666"/>
    <w:rsid w:val="38CF45EC"/>
    <w:rsid w:val="38D74EF2"/>
    <w:rsid w:val="38DC401C"/>
    <w:rsid w:val="38E06F5F"/>
    <w:rsid w:val="38E30C0B"/>
    <w:rsid w:val="38E96BBA"/>
    <w:rsid w:val="38ED3F7C"/>
    <w:rsid w:val="38F0587E"/>
    <w:rsid w:val="38F13D36"/>
    <w:rsid w:val="38F77027"/>
    <w:rsid w:val="38F86643"/>
    <w:rsid w:val="38FA09AB"/>
    <w:rsid w:val="38FE5EE0"/>
    <w:rsid w:val="38FE6A66"/>
    <w:rsid w:val="390B4780"/>
    <w:rsid w:val="39177F7C"/>
    <w:rsid w:val="391944EE"/>
    <w:rsid w:val="391A469F"/>
    <w:rsid w:val="391B7D46"/>
    <w:rsid w:val="391C453F"/>
    <w:rsid w:val="391E44A2"/>
    <w:rsid w:val="39235337"/>
    <w:rsid w:val="39282A1A"/>
    <w:rsid w:val="39294A87"/>
    <w:rsid w:val="392F4CB2"/>
    <w:rsid w:val="39350E16"/>
    <w:rsid w:val="39362B6B"/>
    <w:rsid w:val="3938606C"/>
    <w:rsid w:val="393E2EF0"/>
    <w:rsid w:val="393F5F02"/>
    <w:rsid w:val="394D4500"/>
    <w:rsid w:val="394D6284"/>
    <w:rsid w:val="394E1900"/>
    <w:rsid w:val="394F34A8"/>
    <w:rsid w:val="395145E6"/>
    <w:rsid w:val="395870FD"/>
    <w:rsid w:val="395902C9"/>
    <w:rsid w:val="39626C1B"/>
    <w:rsid w:val="396A7DF1"/>
    <w:rsid w:val="396C7D26"/>
    <w:rsid w:val="396F07C8"/>
    <w:rsid w:val="39743729"/>
    <w:rsid w:val="397630FA"/>
    <w:rsid w:val="39783AB4"/>
    <w:rsid w:val="397C05A1"/>
    <w:rsid w:val="397D51B1"/>
    <w:rsid w:val="397E43B0"/>
    <w:rsid w:val="39821E31"/>
    <w:rsid w:val="39825C5A"/>
    <w:rsid w:val="39832238"/>
    <w:rsid w:val="39873A98"/>
    <w:rsid w:val="398E458C"/>
    <w:rsid w:val="39921861"/>
    <w:rsid w:val="39994CE9"/>
    <w:rsid w:val="399A7CD4"/>
    <w:rsid w:val="39A30418"/>
    <w:rsid w:val="39A32AA6"/>
    <w:rsid w:val="39A36ABF"/>
    <w:rsid w:val="39A44C2B"/>
    <w:rsid w:val="39AA4304"/>
    <w:rsid w:val="39AB4E1E"/>
    <w:rsid w:val="39AF285C"/>
    <w:rsid w:val="39B3420E"/>
    <w:rsid w:val="39BB151A"/>
    <w:rsid w:val="39BC16D7"/>
    <w:rsid w:val="39C1398C"/>
    <w:rsid w:val="39C155B2"/>
    <w:rsid w:val="39C478FB"/>
    <w:rsid w:val="39CF37D5"/>
    <w:rsid w:val="39D274A5"/>
    <w:rsid w:val="39D831C5"/>
    <w:rsid w:val="39D95E36"/>
    <w:rsid w:val="39D97F62"/>
    <w:rsid w:val="39DB58E2"/>
    <w:rsid w:val="39E56123"/>
    <w:rsid w:val="39EA0C07"/>
    <w:rsid w:val="39F65B66"/>
    <w:rsid w:val="39F90F17"/>
    <w:rsid w:val="39F96F66"/>
    <w:rsid w:val="39FB36DE"/>
    <w:rsid w:val="39FD3236"/>
    <w:rsid w:val="39FE2F2B"/>
    <w:rsid w:val="39FF138F"/>
    <w:rsid w:val="39FF1AF6"/>
    <w:rsid w:val="3A0435D1"/>
    <w:rsid w:val="3A0674C3"/>
    <w:rsid w:val="3A0D21D3"/>
    <w:rsid w:val="3A1B5BE1"/>
    <w:rsid w:val="3A1D022E"/>
    <w:rsid w:val="3A234794"/>
    <w:rsid w:val="3A274045"/>
    <w:rsid w:val="3A317C10"/>
    <w:rsid w:val="3A390C74"/>
    <w:rsid w:val="3A3A2410"/>
    <w:rsid w:val="3A4710CB"/>
    <w:rsid w:val="3A5904B7"/>
    <w:rsid w:val="3A5D3271"/>
    <w:rsid w:val="3A5F4CF4"/>
    <w:rsid w:val="3A680475"/>
    <w:rsid w:val="3A691901"/>
    <w:rsid w:val="3A6B4CEA"/>
    <w:rsid w:val="3A7656C0"/>
    <w:rsid w:val="3A792A5E"/>
    <w:rsid w:val="3A80267B"/>
    <w:rsid w:val="3A804B6A"/>
    <w:rsid w:val="3A8154A5"/>
    <w:rsid w:val="3A827F0C"/>
    <w:rsid w:val="3A8A5F7D"/>
    <w:rsid w:val="3A8B20AF"/>
    <w:rsid w:val="3A8B3ACE"/>
    <w:rsid w:val="3A8B5E0E"/>
    <w:rsid w:val="3A8D33A8"/>
    <w:rsid w:val="3A9771B4"/>
    <w:rsid w:val="3AB2708A"/>
    <w:rsid w:val="3AB30FE9"/>
    <w:rsid w:val="3AB461B3"/>
    <w:rsid w:val="3AB5115F"/>
    <w:rsid w:val="3AB64901"/>
    <w:rsid w:val="3AB87AB5"/>
    <w:rsid w:val="3ABB0039"/>
    <w:rsid w:val="3ABC5B16"/>
    <w:rsid w:val="3ABE55C4"/>
    <w:rsid w:val="3AC46EAD"/>
    <w:rsid w:val="3AC86D03"/>
    <w:rsid w:val="3ACD27A7"/>
    <w:rsid w:val="3AD53583"/>
    <w:rsid w:val="3AD54540"/>
    <w:rsid w:val="3AD77D46"/>
    <w:rsid w:val="3AE250BE"/>
    <w:rsid w:val="3AE25328"/>
    <w:rsid w:val="3AE35363"/>
    <w:rsid w:val="3AE60D70"/>
    <w:rsid w:val="3AE868FC"/>
    <w:rsid w:val="3AE87A89"/>
    <w:rsid w:val="3AF562F1"/>
    <w:rsid w:val="3AF97EEE"/>
    <w:rsid w:val="3AFC5C88"/>
    <w:rsid w:val="3AFF2242"/>
    <w:rsid w:val="3B026319"/>
    <w:rsid w:val="3B0376D2"/>
    <w:rsid w:val="3B062910"/>
    <w:rsid w:val="3B0653B3"/>
    <w:rsid w:val="3B1135F0"/>
    <w:rsid w:val="3B130A8A"/>
    <w:rsid w:val="3B1620B1"/>
    <w:rsid w:val="3B212FEC"/>
    <w:rsid w:val="3B236D71"/>
    <w:rsid w:val="3B26144F"/>
    <w:rsid w:val="3B282941"/>
    <w:rsid w:val="3B2D1C93"/>
    <w:rsid w:val="3B2E773D"/>
    <w:rsid w:val="3B335E25"/>
    <w:rsid w:val="3B34292A"/>
    <w:rsid w:val="3B44141A"/>
    <w:rsid w:val="3B4B3EFC"/>
    <w:rsid w:val="3B554999"/>
    <w:rsid w:val="3B59204C"/>
    <w:rsid w:val="3B5C67B7"/>
    <w:rsid w:val="3B68051B"/>
    <w:rsid w:val="3B692C46"/>
    <w:rsid w:val="3B6B4513"/>
    <w:rsid w:val="3B6B6F89"/>
    <w:rsid w:val="3B701B62"/>
    <w:rsid w:val="3B7043A9"/>
    <w:rsid w:val="3B794D63"/>
    <w:rsid w:val="3B7B7F44"/>
    <w:rsid w:val="3B866ECB"/>
    <w:rsid w:val="3B8871BD"/>
    <w:rsid w:val="3B943402"/>
    <w:rsid w:val="3B97486B"/>
    <w:rsid w:val="3B9B7E89"/>
    <w:rsid w:val="3BA907E0"/>
    <w:rsid w:val="3BAE6F68"/>
    <w:rsid w:val="3BB12FED"/>
    <w:rsid w:val="3BB168BD"/>
    <w:rsid w:val="3BB97D9C"/>
    <w:rsid w:val="3BBD78B5"/>
    <w:rsid w:val="3BC42AFC"/>
    <w:rsid w:val="3BCB6A31"/>
    <w:rsid w:val="3BCD5CE6"/>
    <w:rsid w:val="3BCF2631"/>
    <w:rsid w:val="3BD43C55"/>
    <w:rsid w:val="3BD46AEA"/>
    <w:rsid w:val="3BD6774F"/>
    <w:rsid w:val="3BD71D6D"/>
    <w:rsid w:val="3BE0462C"/>
    <w:rsid w:val="3BE23D23"/>
    <w:rsid w:val="3BE56728"/>
    <w:rsid w:val="3BEA0246"/>
    <w:rsid w:val="3BEC2595"/>
    <w:rsid w:val="3BF61B01"/>
    <w:rsid w:val="3BF72EA2"/>
    <w:rsid w:val="3BF766A2"/>
    <w:rsid w:val="3BFA7202"/>
    <w:rsid w:val="3BFC5FC7"/>
    <w:rsid w:val="3C0060C8"/>
    <w:rsid w:val="3C011F50"/>
    <w:rsid w:val="3C01749C"/>
    <w:rsid w:val="3C02352A"/>
    <w:rsid w:val="3C0B74AA"/>
    <w:rsid w:val="3C0D61BF"/>
    <w:rsid w:val="3C0F574E"/>
    <w:rsid w:val="3C1531BA"/>
    <w:rsid w:val="3C161FF4"/>
    <w:rsid w:val="3C1B7E2A"/>
    <w:rsid w:val="3C1C3C53"/>
    <w:rsid w:val="3C1F59C8"/>
    <w:rsid w:val="3C246AEF"/>
    <w:rsid w:val="3C264E36"/>
    <w:rsid w:val="3C28294E"/>
    <w:rsid w:val="3C285A30"/>
    <w:rsid w:val="3C2A61F9"/>
    <w:rsid w:val="3C317660"/>
    <w:rsid w:val="3C3A2917"/>
    <w:rsid w:val="3C3F75A2"/>
    <w:rsid w:val="3C413E24"/>
    <w:rsid w:val="3C454509"/>
    <w:rsid w:val="3C4A3231"/>
    <w:rsid w:val="3C4B30E9"/>
    <w:rsid w:val="3C4C31A0"/>
    <w:rsid w:val="3C511A7C"/>
    <w:rsid w:val="3C5423C9"/>
    <w:rsid w:val="3C596F86"/>
    <w:rsid w:val="3C660B2E"/>
    <w:rsid w:val="3C6905B4"/>
    <w:rsid w:val="3C6B0319"/>
    <w:rsid w:val="3C6C5D7B"/>
    <w:rsid w:val="3C7A2C86"/>
    <w:rsid w:val="3C803CB7"/>
    <w:rsid w:val="3C8059AB"/>
    <w:rsid w:val="3C835D2A"/>
    <w:rsid w:val="3C8648AD"/>
    <w:rsid w:val="3C9377D1"/>
    <w:rsid w:val="3CA05B70"/>
    <w:rsid w:val="3CA43FBD"/>
    <w:rsid w:val="3CAD460F"/>
    <w:rsid w:val="3CB027F9"/>
    <w:rsid w:val="3CB90CFC"/>
    <w:rsid w:val="3CBA03D4"/>
    <w:rsid w:val="3CBF26DC"/>
    <w:rsid w:val="3CC14029"/>
    <w:rsid w:val="3CC1766E"/>
    <w:rsid w:val="3CC22663"/>
    <w:rsid w:val="3CC25D7E"/>
    <w:rsid w:val="3CCB2EC5"/>
    <w:rsid w:val="3CCC6137"/>
    <w:rsid w:val="3CD0659B"/>
    <w:rsid w:val="3CD321D0"/>
    <w:rsid w:val="3CDB7456"/>
    <w:rsid w:val="3CDD0896"/>
    <w:rsid w:val="3CDD1104"/>
    <w:rsid w:val="3CE70265"/>
    <w:rsid w:val="3CE82957"/>
    <w:rsid w:val="3CED66A5"/>
    <w:rsid w:val="3CFE548E"/>
    <w:rsid w:val="3D024F29"/>
    <w:rsid w:val="3D0327AF"/>
    <w:rsid w:val="3D0A5AF0"/>
    <w:rsid w:val="3D0D34BB"/>
    <w:rsid w:val="3D19382A"/>
    <w:rsid w:val="3D1B4D52"/>
    <w:rsid w:val="3D1C1373"/>
    <w:rsid w:val="3D1D6431"/>
    <w:rsid w:val="3D212B7A"/>
    <w:rsid w:val="3D29464F"/>
    <w:rsid w:val="3D3651FF"/>
    <w:rsid w:val="3D367C94"/>
    <w:rsid w:val="3D3E6DCD"/>
    <w:rsid w:val="3D4100E1"/>
    <w:rsid w:val="3D440417"/>
    <w:rsid w:val="3D444AC5"/>
    <w:rsid w:val="3D4547D3"/>
    <w:rsid w:val="3D51444E"/>
    <w:rsid w:val="3D56107F"/>
    <w:rsid w:val="3D5B7E36"/>
    <w:rsid w:val="3D6571E5"/>
    <w:rsid w:val="3D67169E"/>
    <w:rsid w:val="3D6D6D3B"/>
    <w:rsid w:val="3D773195"/>
    <w:rsid w:val="3D7C386E"/>
    <w:rsid w:val="3D810038"/>
    <w:rsid w:val="3D812AA5"/>
    <w:rsid w:val="3D8769A3"/>
    <w:rsid w:val="3D8919CC"/>
    <w:rsid w:val="3D8A2EC5"/>
    <w:rsid w:val="3D8E25CC"/>
    <w:rsid w:val="3D8E61EC"/>
    <w:rsid w:val="3D8F064E"/>
    <w:rsid w:val="3D9022C2"/>
    <w:rsid w:val="3D91188D"/>
    <w:rsid w:val="3D92156B"/>
    <w:rsid w:val="3D9B7478"/>
    <w:rsid w:val="3D9F6D57"/>
    <w:rsid w:val="3DA15D15"/>
    <w:rsid w:val="3DA700CA"/>
    <w:rsid w:val="3DA86159"/>
    <w:rsid w:val="3DAC0DFA"/>
    <w:rsid w:val="3DAD6113"/>
    <w:rsid w:val="3DB05797"/>
    <w:rsid w:val="3DB25A8B"/>
    <w:rsid w:val="3DB32CE9"/>
    <w:rsid w:val="3DBA3673"/>
    <w:rsid w:val="3DBA42D7"/>
    <w:rsid w:val="3DBB5BB4"/>
    <w:rsid w:val="3DBE43B7"/>
    <w:rsid w:val="3DC17502"/>
    <w:rsid w:val="3DC601DF"/>
    <w:rsid w:val="3DC63FFC"/>
    <w:rsid w:val="3DCB59D7"/>
    <w:rsid w:val="3DCC0010"/>
    <w:rsid w:val="3DCD29CC"/>
    <w:rsid w:val="3DD52E8B"/>
    <w:rsid w:val="3DDB7077"/>
    <w:rsid w:val="3DDD3E7A"/>
    <w:rsid w:val="3DE85FA4"/>
    <w:rsid w:val="3DED11B1"/>
    <w:rsid w:val="3DF20325"/>
    <w:rsid w:val="3DF210B4"/>
    <w:rsid w:val="3DF615ED"/>
    <w:rsid w:val="3DFD0559"/>
    <w:rsid w:val="3DFD2D1A"/>
    <w:rsid w:val="3E011F1C"/>
    <w:rsid w:val="3E0F063F"/>
    <w:rsid w:val="3E1045C3"/>
    <w:rsid w:val="3E1B0651"/>
    <w:rsid w:val="3E1C06D3"/>
    <w:rsid w:val="3E210DF5"/>
    <w:rsid w:val="3E260387"/>
    <w:rsid w:val="3E29351C"/>
    <w:rsid w:val="3E294CD8"/>
    <w:rsid w:val="3E2A4D58"/>
    <w:rsid w:val="3E2C0BEE"/>
    <w:rsid w:val="3E2D5180"/>
    <w:rsid w:val="3E364F9B"/>
    <w:rsid w:val="3E37248D"/>
    <w:rsid w:val="3E3A1676"/>
    <w:rsid w:val="3E3F3AA3"/>
    <w:rsid w:val="3E4874BC"/>
    <w:rsid w:val="3E5D460C"/>
    <w:rsid w:val="3E5E5FBC"/>
    <w:rsid w:val="3E675CF2"/>
    <w:rsid w:val="3E723496"/>
    <w:rsid w:val="3E7473B7"/>
    <w:rsid w:val="3E80209B"/>
    <w:rsid w:val="3E840C4A"/>
    <w:rsid w:val="3E8655CB"/>
    <w:rsid w:val="3E866022"/>
    <w:rsid w:val="3E8C4902"/>
    <w:rsid w:val="3E8D611C"/>
    <w:rsid w:val="3E913C1D"/>
    <w:rsid w:val="3E93261A"/>
    <w:rsid w:val="3E96543A"/>
    <w:rsid w:val="3E981719"/>
    <w:rsid w:val="3E983D24"/>
    <w:rsid w:val="3EA41314"/>
    <w:rsid w:val="3EA9592C"/>
    <w:rsid w:val="3EB66F8D"/>
    <w:rsid w:val="3EB72D39"/>
    <w:rsid w:val="3EB92897"/>
    <w:rsid w:val="3EBB236C"/>
    <w:rsid w:val="3EBB2D78"/>
    <w:rsid w:val="3EBE7702"/>
    <w:rsid w:val="3EC059CA"/>
    <w:rsid w:val="3EC1546C"/>
    <w:rsid w:val="3EC34DA2"/>
    <w:rsid w:val="3ECD4A13"/>
    <w:rsid w:val="3ED23EA8"/>
    <w:rsid w:val="3ED442CA"/>
    <w:rsid w:val="3ED4797A"/>
    <w:rsid w:val="3EDA4B6F"/>
    <w:rsid w:val="3EDD48F3"/>
    <w:rsid w:val="3EEA1B22"/>
    <w:rsid w:val="3EEA2648"/>
    <w:rsid w:val="3EEB2F7F"/>
    <w:rsid w:val="3EEF20EB"/>
    <w:rsid w:val="3EF02162"/>
    <w:rsid w:val="3EF0774A"/>
    <w:rsid w:val="3EF250D5"/>
    <w:rsid w:val="3EF32AFC"/>
    <w:rsid w:val="3EF41057"/>
    <w:rsid w:val="3EF47AF5"/>
    <w:rsid w:val="3EFD544F"/>
    <w:rsid w:val="3F013E54"/>
    <w:rsid w:val="3F036296"/>
    <w:rsid w:val="3F061E26"/>
    <w:rsid w:val="3F0C0190"/>
    <w:rsid w:val="3F0D5531"/>
    <w:rsid w:val="3F1232F2"/>
    <w:rsid w:val="3F154924"/>
    <w:rsid w:val="3F190C83"/>
    <w:rsid w:val="3F1F0603"/>
    <w:rsid w:val="3F202630"/>
    <w:rsid w:val="3F232F51"/>
    <w:rsid w:val="3F236DFC"/>
    <w:rsid w:val="3F262ABE"/>
    <w:rsid w:val="3F274144"/>
    <w:rsid w:val="3F290412"/>
    <w:rsid w:val="3F2C272E"/>
    <w:rsid w:val="3F2F6E0D"/>
    <w:rsid w:val="3F321475"/>
    <w:rsid w:val="3F3270F3"/>
    <w:rsid w:val="3F355270"/>
    <w:rsid w:val="3F390B4F"/>
    <w:rsid w:val="3F3B4C9D"/>
    <w:rsid w:val="3F3E5310"/>
    <w:rsid w:val="3F4019AE"/>
    <w:rsid w:val="3F424B3F"/>
    <w:rsid w:val="3F4C660C"/>
    <w:rsid w:val="3F4D0C61"/>
    <w:rsid w:val="3F504CDC"/>
    <w:rsid w:val="3F531AA8"/>
    <w:rsid w:val="3F59326D"/>
    <w:rsid w:val="3F5F1A4A"/>
    <w:rsid w:val="3F633E0D"/>
    <w:rsid w:val="3F685F7A"/>
    <w:rsid w:val="3F773931"/>
    <w:rsid w:val="3F7B0449"/>
    <w:rsid w:val="3F7D2799"/>
    <w:rsid w:val="3F7E4BED"/>
    <w:rsid w:val="3F7E5E5D"/>
    <w:rsid w:val="3F7E6129"/>
    <w:rsid w:val="3F7F3C1E"/>
    <w:rsid w:val="3F88310D"/>
    <w:rsid w:val="3F8933F3"/>
    <w:rsid w:val="3F896DDC"/>
    <w:rsid w:val="3F8A1D5C"/>
    <w:rsid w:val="3F8B52D4"/>
    <w:rsid w:val="3F8E67ED"/>
    <w:rsid w:val="3F9836B6"/>
    <w:rsid w:val="3F9C2FB1"/>
    <w:rsid w:val="3F9F4AB6"/>
    <w:rsid w:val="3FA647E0"/>
    <w:rsid w:val="3FAA0C0B"/>
    <w:rsid w:val="3FB0049F"/>
    <w:rsid w:val="3FB423D4"/>
    <w:rsid w:val="3FC03185"/>
    <w:rsid w:val="3FC434B5"/>
    <w:rsid w:val="3FC86CE0"/>
    <w:rsid w:val="3FCA6EC7"/>
    <w:rsid w:val="3FCC4E6B"/>
    <w:rsid w:val="3FCE7A58"/>
    <w:rsid w:val="3FD24204"/>
    <w:rsid w:val="3FE30490"/>
    <w:rsid w:val="3FE31134"/>
    <w:rsid w:val="3FE35F40"/>
    <w:rsid w:val="3FE470EA"/>
    <w:rsid w:val="3FEA6A81"/>
    <w:rsid w:val="3FEB7AAB"/>
    <w:rsid w:val="3FED551B"/>
    <w:rsid w:val="3FF918CB"/>
    <w:rsid w:val="3FFD14D7"/>
    <w:rsid w:val="40073E46"/>
    <w:rsid w:val="4010220F"/>
    <w:rsid w:val="40105EA8"/>
    <w:rsid w:val="40196171"/>
    <w:rsid w:val="401C3A15"/>
    <w:rsid w:val="401F45F9"/>
    <w:rsid w:val="40224766"/>
    <w:rsid w:val="402B6000"/>
    <w:rsid w:val="402E6709"/>
    <w:rsid w:val="402E729E"/>
    <w:rsid w:val="40336E12"/>
    <w:rsid w:val="403D1068"/>
    <w:rsid w:val="404F1940"/>
    <w:rsid w:val="40511FA6"/>
    <w:rsid w:val="40515D8A"/>
    <w:rsid w:val="40591A13"/>
    <w:rsid w:val="40595DE2"/>
    <w:rsid w:val="405A76D2"/>
    <w:rsid w:val="405D1BC3"/>
    <w:rsid w:val="40631790"/>
    <w:rsid w:val="406411B9"/>
    <w:rsid w:val="406449D4"/>
    <w:rsid w:val="406A333D"/>
    <w:rsid w:val="406A676C"/>
    <w:rsid w:val="406B0E04"/>
    <w:rsid w:val="406B27ED"/>
    <w:rsid w:val="40717D58"/>
    <w:rsid w:val="40784CEC"/>
    <w:rsid w:val="407A2A27"/>
    <w:rsid w:val="40813FA6"/>
    <w:rsid w:val="40830563"/>
    <w:rsid w:val="40875BB4"/>
    <w:rsid w:val="40911F9A"/>
    <w:rsid w:val="409D7F85"/>
    <w:rsid w:val="409E1ACF"/>
    <w:rsid w:val="40AE4DB8"/>
    <w:rsid w:val="40BE6E34"/>
    <w:rsid w:val="40BF5BB2"/>
    <w:rsid w:val="40C03DA8"/>
    <w:rsid w:val="40C22417"/>
    <w:rsid w:val="40C34D98"/>
    <w:rsid w:val="40C81C93"/>
    <w:rsid w:val="40CE307C"/>
    <w:rsid w:val="40CE4248"/>
    <w:rsid w:val="40D11B86"/>
    <w:rsid w:val="40D33AA9"/>
    <w:rsid w:val="40D412D9"/>
    <w:rsid w:val="40D513FA"/>
    <w:rsid w:val="40E04753"/>
    <w:rsid w:val="40E40D7F"/>
    <w:rsid w:val="40E7235D"/>
    <w:rsid w:val="40E97724"/>
    <w:rsid w:val="40EC085D"/>
    <w:rsid w:val="40ED39C1"/>
    <w:rsid w:val="40EE4432"/>
    <w:rsid w:val="40F05E2C"/>
    <w:rsid w:val="40F21E96"/>
    <w:rsid w:val="40F27588"/>
    <w:rsid w:val="40F6719C"/>
    <w:rsid w:val="41020CE1"/>
    <w:rsid w:val="41051A95"/>
    <w:rsid w:val="410570BE"/>
    <w:rsid w:val="410A2171"/>
    <w:rsid w:val="4112219A"/>
    <w:rsid w:val="411907B9"/>
    <w:rsid w:val="411E1337"/>
    <w:rsid w:val="411E6BB1"/>
    <w:rsid w:val="41227A89"/>
    <w:rsid w:val="412D7AE9"/>
    <w:rsid w:val="412F457D"/>
    <w:rsid w:val="41322808"/>
    <w:rsid w:val="413B7549"/>
    <w:rsid w:val="413D11C1"/>
    <w:rsid w:val="41473132"/>
    <w:rsid w:val="41495A8E"/>
    <w:rsid w:val="414A260D"/>
    <w:rsid w:val="414B2244"/>
    <w:rsid w:val="41570E4E"/>
    <w:rsid w:val="415A26F6"/>
    <w:rsid w:val="416137BD"/>
    <w:rsid w:val="41614D4D"/>
    <w:rsid w:val="416362E8"/>
    <w:rsid w:val="416452C3"/>
    <w:rsid w:val="41646E24"/>
    <w:rsid w:val="41675575"/>
    <w:rsid w:val="416F26E4"/>
    <w:rsid w:val="417028E3"/>
    <w:rsid w:val="4171715E"/>
    <w:rsid w:val="41723A85"/>
    <w:rsid w:val="41772C1C"/>
    <w:rsid w:val="417E2CC7"/>
    <w:rsid w:val="4181126C"/>
    <w:rsid w:val="4181149B"/>
    <w:rsid w:val="41825A7C"/>
    <w:rsid w:val="41851739"/>
    <w:rsid w:val="41857CA9"/>
    <w:rsid w:val="41876C73"/>
    <w:rsid w:val="41880D5C"/>
    <w:rsid w:val="41A06B29"/>
    <w:rsid w:val="41A63B2E"/>
    <w:rsid w:val="41A9024A"/>
    <w:rsid w:val="41B56213"/>
    <w:rsid w:val="41B6213C"/>
    <w:rsid w:val="41B7142E"/>
    <w:rsid w:val="41B7760A"/>
    <w:rsid w:val="41BF63E2"/>
    <w:rsid w:val="41C119B9"/>
    <w:rsid w:val="41C2756F"/>
    <w:rsid w:val="41D6032A"/>
    <w:rsid w:val="41DE0785"/>
    <w:rsid w:val="41DF4633"/>
    <w:rsid w:val="41E53BFD"/>
    <w:rsid w:val="41E83CCA"/>
    <w:rsid w:val="41EC4EDA"/>
    <w:rsid w:val="41EF581E"/>
    <w:rsid w:val="41EF711F"/>
    <w:rsid w:val="41F307EE"/>
    <w:rsid w:val="41F347F8"/>
    <w:rsid w:val="41F41D82"/>
    <w:rsid w:val="41F47274"/>
    <w:rsid w:val="41FB2AD4"/>
    <w:rsid w:val="41FC1962"/>
    <w:rsid w:val="41FF4CDA"/>
    <w:rsid w:val="41FF77C0"/>
    <w:rsid w:val="42000C12"/>
    <w:rsid w:val="42102282"/>
    <w:rsid w:val="4210598E"/>
    <w:rsid w:val="421550B0"/>
    <w:rsid w:val="421D0295"/>
    <w:rsid w:val="4229718A"/>
    <w:rsid w:val="422B3F4B"/>
    <w:rsid w:val="422C7D83"/>
    <w:rsid w:val="423227FF"/>
    <w:rsid w:val="423F4F1A"/>
    <w:rsid w:val="423F76C2"/>
    <w:rsid w:val="42487046"/>
    <w:rsid w:val="42537A6B"/>
    <w:rsid w:val="425764E6"/>
    <w:rsid w:val="425A1047"/>
    <w:rsid w:val="425C1819"/>
    <w:rsid w:val="425C6D1D"/>
    <w:rsid w:val="425D17B6"/>
    <w:rsid w:val="42677CCF"/>
    <w:rsid w:val="42691DD9"/>
    <w:rsid w:val="426C1295"/>
    <w:rsid w:val="426F53DB"/>
    <w:rsid w:val="427203F9"/>
    <w:rsid w:val="427E4364"/>
    <w:rsid w:val="427F0F53"/>
    <w:rsid w:val="42822E43"/>
    <w:rsid w:val="428656FF"/>
    <w:rsid w:val="428B7B39"/>
    <w:rsid w:val="428C4965"/>
    <w:rsid w:val="4290097E"/>
    <w:rsid w:val="42936D6C"/>
    <w:rsid w:val="429760F2"/>
    <w:rsid w:val="429A670B"/>
    <w:rsid w:val="429B505C"/>
    <w:rsid w:val="429B7FE8"/>
    <w:rsid w:val="429C5E54"/>
    <w:rsid w:val="429E2C34"/>
    <w:rsid w:val="42A04E05"/>
    <w:rsid w:val="42A21E31"/>
    <w:rsid w:val="42A31BBB"/>
    <w:rsid w:val="42A71D23"/>
    <w:rsid w:val="42AD373B"/>
    <w:rsid w:val="42AD7B7C"/>
    <w:rsid w:val="42B814CF"/>
    <w:rsid w:val="42C33C6D"/>
    <w:rsid w:val="42C50623"/>
    <w:rsid w:val="42C536AC"/>
    <w:rsid w:val="42D114F0"/>
    <w:rsid w:val="42D17069"/>
    <w:rsid w:val="42DF597A"/>
    <w:rsid w:val="42E65F46"/>
    <w:rsid w:val="42F33ED6"/>
    <w:rsid w:val="42F42894"/>
    <w:rsid w:val="42F659E2"/>
    <w:rsid w:val="42F81153"/>
    <w:rsid w:val="42F96F5F"/>
    <w:rsid w:val="42FE7D39"/>
    <w:rsid w:val="430313F8"/>
    <w:rsid w:val="43044CCA"/>
    <w:rsid w:val="4305384A"/>
    <w:rsid w:val="430770A0"/>
    <w:rsid w:val="430916AD"/>
    <w:rsid w:val="4315538B"/>
    <w:rsid w:val="431C6385"/>
    <w:rsid w:val="431F4A6A"/>
    <w:rsid w:val="43201971"/>
    <w:rsid w:val="43242181"/>
    <w:rsid w:val="4325445E"/>
    <w:rsid w:val="43350479"/>
    <w:rsid w:val="4339320A"/>
    <w:rsid w:val="433966EB"/>
    <w:rsid w:val="433E232D"/>
    <w:rsid w:val="43412FC5"/>
    <w:rsid w:val="4343592D"/>
    <w:rsid w:val="434431CA"/>
    <w:rsid w:val="434730E4"/>
    <w:rsid w:val="435042E6"/>
    <w:rsid w:val="435732EB"/>
    <w:rsid w:val="4357657A"/>
    <w:rsid w:val="435C2B68"/>
    <w:rsid w:val="435C4793"/>
    <w:rsid w:val="43620EF0"/>
    <w:rsid w:val="43680AA7"/>
    <w:rsid w:val="436C40A2"/>
    <w:rsid w:val="43725BF2"/>
    <w:rsid w:val="43746597"/>
    <w:rsid w:val="437623EF"/>
    <w:rsid w:val="437742BE"/>
    <w:rsid w:val="437910A0"/>
    <w:rsid w:val="4379780B"/>
    <w:rsid w:val="43886CD9"/>
    <w:rsid w:val="439060F9"/>
    <w:rsid w:val="43963A12"/>
    <w:rsid w:val="43977AA4"/>
    <w:rsid w:val="43980987"/>
    <w:rsid w:val="439A4BF5"/>
    <w:rsid w:val="439E7629"/>
    <w:rsid w:val="43A43932"/>
    <w:rsid w:val="43A67E2A"/>
    <w:rsid w:val="43A854D2"/>
    <w:rsid w:val="43B3577D"/>
    <w:rsid w:val="43B75FC3"/>
    <w:rsid w:val="43BF66CF"/>
    <w:rsid w:val="43CB6D2F"/>
    <w:rsid w:val="43D1064D"/>
    <w:rsid w:val="43D57226"/>
    <w:rsid w:val="43D676A5"/>
    <w:rsid w:val="43D82A2C"/>
    <w:rsid w:val="43DD5DA6"/>
    <w:rsid w:val="43E512AC"/>
    <w:rsid w:val="43E719E4"/>
    <w:rsid w:val="43EC0B6B"/>
    <w:rsid w:val="43EC6D38"/>
    <w:rsid w:val="43ED13B1"/>
    <w:rsid w:val="43F2224F"/>
    <w:rsid w:val="43F373E4"/>
    <w:rsid w:val="43F50740"/>
    <w:rsid w:val="43FE1F7C"/>
    <w:rsid w:val="440046E4"/>
    <w:rsid w:val="44045C43"/>
    <w:rsid w:val="44072E23"/>
    <w:rsid w:val="44085609"/>
    <w:rsid w:val="44087D6D"/>
    <w:rsid w:val="440919A7"/>
    <w:rsid w:val="440922CA"/>
    <w:rsid w:val="44122E4E"/>
    <w:rsid w:val="44154F83"/>
    <w:rsid w:val="4416154E"/>
    <w:rsid w:val="441E7D82"/>
    <w:rsid w:val="44246899"/>
    <w:rsid w:val="442F0115"/>
    <w:rsid w:val="442F7B9C"/>
    <w:rsid w:val="44336CA0"/>
    <w:rsid w:val="443529CA"/>
    <w:rsid w:val="443851FF"/>
    <w:rsid w:val="443B5150"/>
    <w:rsid w:val="443C2FA7"/>
    <w:rsid w:val="443C6ED5"/>
    <w:rsid w:val="443F028E"/>
    <w:rsid w:val="44442DFA"/>
    <w:rsid w:val="44452CE2"/>
    <w:rsid w:val="44483822"/>
    <w:rsid w:val="444B1761"/>
    <w:rsid w:val="44516B9D"/>
    <w:rsid w:val="44602E7D"/>
    <w:rsid w:val="44606093"/>
    <w:rsid w:val="44675930"/>
    <w:rsid w:val="447158E9"/>
    <w:rsid w:val="44751806"/>
    <w:rsid w:val="447B6D3A"/>
    <w:rsid w:val="447F1170"/>
    <w:rsid w:val="448B4370"/>
    <w:rsid w:val="448F7D46"/>
    <w:rsid w:val="44912062"/>
    <w:rsid w:val="449A08F1"/>
    <w:rsid w:val="449B1D13"/>
    <w:rsid w:val="44A62246"/>
    <w:rsid w:val="44A7256D"/>
    <w:rsid w:val="44A756EF"/>
    <w:rsid w:val="44A773FC"/>
    <w:rsid w:val="44AB5DCE"/>
    <w:rsid w:val="44B179A6"/>
    <w:rsid w:val="44B63061"/>
    <w:rsid w:val="44B722CB"/>
    <w:rsid w:val="44B8540C"/>
    <w:rsid w:val="44B93EDE"/>
    <w:rsid w:val="44BD3FCB"/>
    <w:rsid w:val="44BE405E"/>
    <w:rsid w:val="44C40F13"/>
    <w:rsid w:val="44C448E2"/>
    <w:rsid w:val="44C80E81"/>
    <w:rsid w:val="44D2416D"/>
    <w:rsid w:val="44E4175D"/>
    <w:rsid w:val="44EC30A0"/>
    <w:rsid w:val="44F32FD0"/>
    <w:rsid w:val="44F861D1"/>
    <w:rsid w:val="44F97696"/>
    <w:rsid w:val="44FD39B0"/>
    <w:rsid w:val="45025603"/>
    <w:rsid w:val="4505490A"/>
    <w:rsid w:val="450A6E31"/>
    <w:rsid w:val="450E4E63"/>
    <w:rsid w:val="45113E80"/>
    <w:rsid w:val="451477D2"/>
    <w:rsid w:val="45150CC6"/>
    <w:rsid w:val="45157C67"/>
    <w:rsid w:val="45165349"/>
    <w:rsid w:val="451711EB"/>
    <w:rsid w:val="451F6A98"/>
    <w:rsid w:val="452011FF"/>
    <w:rsid w:val="45210E25"/>
    <w:rsid w:val="45267F29"/>
    <w:rsid w:val="4529095C"/>
    <w:rsid w:val="4532540E"/>
    <w:rsid w:val="45337766"/>
    <w:rsid w:val="453E6942"/>
    <w:rsid w:val="453F0065"/>
    <w:rsid w:val="454051FD"/>
    <w:rsid w:val="45433CE8"/>
    <w:rsid w:val="4544623F"/>
    <w:rsid w:val="45493E8F"/>
    <w:rsid w:val="454957EF"/>
    <w:rsid w:val="454D395B"/>
    <w:rsid w:val="454E2803"/>
    <w:rsid w:val="45511CAB"/>
    <w:rsid w:val="45523E8D"/>
    <w:rsid w:val="45573A8A"/>
    <w:rsid w:val="45574F44"/>
    <w:rsid w:val="455B3BDF"/>
    <w:rsid w:val="455C10F8"/>
    <w:rsid w:val="45616B37"/>
    <w:rsid w:val="45620F5E"/>
    <w:rsid w:val="456C73C8"/>
    <w:rsid w:val="456E4EED"/>
    <w:rsid w:val="456E6D0F"/>
    <w:rsid w:val="45721966"/>
    <w:rsid w:val="45797BC2"/>
    <w:rsid w:val="457C2678"/>
    <w:rsid w:val="457D1CB6"/>
    <w:rsid w:val="457E6EA8"/>
    <w:rsid w:val="45805439"/>
    <w:rsid w:val="45991B86"/>
    <w:rsid w:val="459F0C96"/>
    <w:rsid w:val="459F2F41"/>
    <w:rsid w:val="459F3083"/>
    <w:rsid w:val="45A2132A"/>
    <w:rsid w:val="45A37978"/>
    <w:rsid w:val="45A50C83"/>
    <w:rsid w:val="45A8703D"/>
    <w:rsid w:val="45B24810"/>
    <w:rsid w:val="45C72174"/>
    <w:rsid w:val="45CB639A"/>
    <w:rsid w:val="45CF11B0"/>
    <w:rsid w:val="45D2413F"/>
    <w:rsid w:val="45D35231"/>
    <w:rsid w:val="45D60EB8"/>
    <w:rsid w:val="45DB0057"/>
    <w:rsid w:val="45DB4BDA"/>
    <w:rsid w:val="45DF654E"/>
    <w:rsid w:val="45E1089A"/>
    <w:rsid w:val="45E53E78"/>
    <w:rsid w:val="45EC5A43"/>
    <w:rsid w:val="45ED3E90"/>
    <w:rsid w:val="45F014BF"/>
    <w:rsid w:val="45F07961"/>
    <w:rsid w:val="45F32DB3"/>
    <w:rsid w:val="45F34442"/>
    <w:rsid w:val="45FB2B05"/>
    <w:rsid w:val="45FC6004"/>
    <w:rsid w:val="45FF285E"/>
    <w:rsid w:val="460637C9"/>
    <w:rsid w:val="46073424"/>
    <w:rsid w:val="460A6269"/>
    <w:rsid w:val="46102C0A"/>
    <w:rsid w:val="4614018D"/>
    <w:rsid w:val="46162DFA"/>
    <w:rsid w:val="461738A4"/>
    <w:rsid w:val="461B09CB"/>
    <w:rsid w:val="461E0AAE"/>
    <w:rsid w:val="4628511D"/>
    <w:rsid w:val="46324D30"/>
    <w:rsid w:val="463631F2"/>
    <w:rsid w:val="46364773"/>
    <w:rsid w:val="463A1D67"/>
    <w:rsid w:val="46427122"/>
    <w:rsid w:val="464475E0"/>
    <w:rsid w:val="46471541"/>
    <w:rsid w:val="46486DE1"/>
    <w:rsid w:val="464E3102"/>
    <w:rsid w:val="4650105A"/>
    <w:rsid w:val="465232FB"/>
    <w:rsid w:val="46551FF6"/>
    <w:rsid w:val="466675B8"/>
    <w:rsid w:val="46681DBD"/>
    <w:rsid w:val="466A476D"/>
    <w:rsid w:val="4673612E"/>
    <w:rsid w:val="46774943"/>
    <w:rsid w:val="46781676"/>
    <w:rsid w:val="468B1A74"/>
    <w:rsid w:val="468E5E67"/>
    <w:rsid w:val="46905F60"/>
    <w:rsid w:val="469B293B"/>
    <w:rsid w:val="469C4184"/>
    <w:rsid w:val="469E2C70"/>
    <w:rsid w:val="46A04473"/>
    <w:rsid w:val="46A207F2"/>
    <w:rsid w:val="46A41E3D"/>
    <w:rsid w:val="46A7029F"/>
    <w:rsid w:val="46AC5436"/>
    <w:rsid w:val="46AF7AFE"/>
    <w:rsid w:val="46B0011E"/>
    <w:rsid w:val="46B34C6D"/>
    <w:rsid w:val="46B509D3"/>
    <w:rsid w:val="46B56152"/>
    <w:rsid w:val="46B62716"/>
    <w:rsid w:val="46D43F3B"/>
    <w:rsid w:val="46D55CCC"/>
    <w:rsid w:val="46DA7BEC"/>
    <w:rsid w:val="46DD3B4F"/>
    <w:rsid w:val="46DE624A"/>
    <w:rsid w:val="46E41629"/>
    <w:rsid w:val="46E65C1A"/>
    <w:rsid w:val="46F04A72"/>
    <w:rsid w:val="46F34A5E"/>
    <w:rsid w:val="46F717A1"/>
    <w:rsid w:val="46F779F0"/>
    <w:rsid w:val="46F97AB2"/>
    <w:rsid w:val="46FB52A9"/>
    <w:rsid w:val="46FB53E7"/>
    <w:rsid w:val="47001458"/>
    <w:rsid w:val="47044DDD"/>
    <w:rsid w:val="470610B3"/>
    <w:rsid w:val="47084F1D"/>
    <w:rsid w:val="470A2BD6"/>
    <w:rsid w:val="470A54AF"/>
    <w:rsid w:val="470B10ED"/>
    <w:rsid w:val="470D234E"/>
    <w:rsid w:val="470E2891"/>
    <w:rsid w:val="470F06EE"/>
    <w:rsid w:val="47142BFF"/>
    <w:rsid w:val="47144AF5"/>
    <w:rsid w:val="4726082F"/>
    <w:rsid w:val="473337E4"/>
    <w:rsid w:val="4736702E"/>
    <w:rsid w:val="47394B9F"/>
    <w:rsid w:val="473E27CE"/>
    <w:rsid w:val="473F13C9"/>
    <w:rsid w:val="47402CCB"/>
    <w:rsid w:val="474641FA"/>
    <w:rsid w:val="4748437D"/>
    <w:rsid w:val="475B5068"/>
    <w:rsid w:val="475C1887"/>
    <w:rsid w:val="476A1650"/>
    <w:rsid w:val="476A77F5"/>
    <w:rsid w:val="476D0BBC"/>
    <w:rsid w:val="476E47E7"/>
    <w:rsid w:val="47747E04"/>
    <w:rsid w:val="478B6FC5"/>
    <w:rsid w:val="478E0D78"/>
    <w:rsid w:val="478F1F75"/>
    <w:rsid w:val="47910A5C"/>
    <w:rsid w:val="479118DA"/>
    <w:rsid w:val="479A0655"/>
    <w:rsid w:val="479E7329"/>
    <w:rsid w:val="47A01126"/>
    <w:rsid w:val="47A1772A"/>
    <w:rsid w:val="47A71980"/>
    <w:rsid w:val="47A87315"/>
    <w:rsid w:val="47AD40F9"/>
    <w:rsid w:val="47AF75E0"/>
    <w:rsid w:val="47B31CCF"/>
    <w:rsid w:val="47B46EBC"/>
    <w:rsid w:val="47B65D22"/>
    <w:rsid w:val="47B669C1"/>
    <w:rsid w:val="47BA1F83"/>
    <w:rsid w:val="47C04319"/>
    <w:rsid w:val="47C2463B"/>
    <w:rsid w:val="47C515EC"/>
    <w:rsid w:val="47CC25C5"/>
    <w:rsid w:val="47CF76AD"/>
    <w:rsid w:val="47D00D1A"/>
    <w:rsid w:val="47D16779"/>
    <w:rsid w:val="47D30C84"/>
    <w:rsid w:val="47D37AB3"/>
    <w:rsid w:val="47D93C28"/>
    <w:rsid w:val="47E13F0C"/>
    <w:rsid w:val="47E4122F"/>
    <w:rsid w:val="47EC777B"/>
    <w:rsid w:val="47F04F73"/>
    <w:rsid w:val="47F264A9"/>
    <w:rsid w:val="47F424B1"/>
    <w:rsid w:val="47FC2E58"/>
    <w:rsid w:val="47FD1EC2"/>
    <w:rsid w:val="47FD5805"/>
    <w:rsid w:val="48011516"/>
    <w:rsid w:val="4801681D"/>
    <w:rsid w:val="480656F4"/>
    <w:rsid w:val="4820554D"/>
    <w:rsid w:val="4833445C"/>
    <w:rsid w:val="48370C2D"/>
    <w:rsid w:val="483A0CDC"/>
    <w:rsid w:val="48416A7A"/>
    <w:rsid w:val="48447FB5"/>
    <w:rsid w:val="48475E2A"/>
    <w:rsid w:val="484B022D"/>
    <w:rsid w:val="484B46B5"/>
    <w:rsid w:val="484C57BE"/>
    <w:rsid w:val="484F5263"/>
    <w:rsid w:val="48534D64"/>
    <w:rsid w:val="48545BAC"/>
    <w:rsid w:val="4865585D"/>
    <w:rsid w:val="48690146"/>
    <w:rsid w:val="48797DCE"/>
    <w:rsid w:val="487B07D9"/>
    <w:rsid w:val="48814046"/>
    <w:rsid w:val="48836D22"/>
    <w:rsid w:val="48845F28"/>
    <w:rsid w:val="48874728"/>
    <w:rsid w:val="488E654F"/>
    <w:rsid w:val="4892704D"/>
    <w:rsid w:val="48955543"/>
    <w:rsid w:val="489A754D"/>
    <w:rsid w:val="489B0256"/>
    <w:rsid w:val="489E555C"/>
    <w:rsid w:val="48A01FD9"/>
    <w:rsid w:val="48A54C9B"/>
    <w:rsid w:val="48AD53BD"/>
    <w:rsid w:val="48B20FA1"/>
    <w:rsid w:val="48CE22FF"/>
    <w:rsid w:val="48D303B1"/>
    <w:rsid w:val="48D955CC"/>
    <w:rsid w:val="48DB13B0"/>
    <w:rsid w:val="48E162D0"/>
    <w:rsid w:val="48E92097"/>
    <w:rsid w:val="48F31933"/>
    <w:rsid w:val="48F74B39"/>
    <w:rsid w:val="48F826EA"/>
    <w:rsid w:val="490205D9"/>
    <w:rsid w:val="49020B5F"/>
    <w:rsid w:val="490352AA"/>
    <w:rsid w:val="49041E76"/>
    <w:rsid w:val="49042AFF"/>
    <w:rsid w:val="490B6464"/>
    <w:rsid w:val="490C6181"/>
    <w:rsid w:val="490D3C2A"/>
    <w:rsid w:val="490D639A"/>
    <w:rsid w:val="49165B54"/>
    <w:rsid w:val="49224280"/>
    <w:rsid w:val="4923273C"/>
    <w:rsid w:val="4924096D"/>
    <w:rsid w:val="492628AA"/>
    <w:rsid w:val="49276544"/>
    <w:rsid w:val="49281DDB"/>
    <w:rsid w:val="49286BC2"/>
    <w:rsid w:val="492A1548"/>
    <w:rsid w:val="492D1D4C"/>
    <w:rsid w:val="4931493F"/>
    <w:rsid w:val="493266FF"/>
    <w:rsid w:val="49331A67"/>
    <w:rsid w:val="49374F4D"/>
    <w:rsid w:val="49403D7C"/>
    <w:rsid w:val="49437CC4"/>
    <w:rsid w:val="4949008E"/>
    <w:rsid w:val="494D7BCD"/>
    <w:rsid w:val="494F4B0C"/>
    <w:rsid w:val="494F5737"/>
    <w:rsid w:val="49524F01"/>
    <w:rsid w:val="496123FC"/>
    <w:rsid w:val="496562D9"/>
    <w:rsid w:val="49684331"/>
    <w:rsid w:val="496C518C"/>
    <w:rsid w:val="496C6327"/>
    <w:rsid w:val="497037F6"/>
    <w:rsid w:val="49706E93"/>
    <w:rsid w:val="4971370F"/>
    <w:rsid w:val="49751CA8"/>
    <w:rsid w:val="49762596"/>
    <w:rsid w:val="497A0BCA"/>
    <w:rsid w:val="497E7668"/>
    <w:rsid w:val="49801AA6"/>
    <w:rsid w:val="49804368"/>
    <w:rsid w:val="49864B0D"/>
    <w:rsid w:val="49903A75"/>
    <w:rsid w:val="4991448B"/>
    <w:rsid w:val="4992676C"/>
    <w:rsid w:val="499F156D"/>
    <w:rsid w:val="499F2AE5"/>
    <w:rsid w:val="49A87812"/>
    <w:rsid w:val="49B3761F"/>
    <w:rsid w:val="49B500EE"/>
    <w:rsid w:val="49B66164"/>
    <w:rsid w:val="49B66BD1"/>
    <w:rsid w:val="49B66D0B"/>
    <w:rsid w:val="49C12322"/>
    <w:rsid w:val="49D25528"/>
    <w:rsid w:val="49D45AB6"/>
    <w:rsid w:val="49D46ED1"/>
    <w:rsid w:val="49D93A54"/>
    <w:rsid w:val="49DD0044"/>
    <w:rsid w:val="49DF49E4"/>
    <w:rsid w:val="49EA71D5"/>
    <w:rsid w:val="49EB722B"/>
    <w:rsid w:val="49EC527C"/>
    <w:rsid w:val="49F36066"/>
    <w:rsid w:val="49F57075"/>
    <w:rsid w:val="49F7198F"/>
    <w:rsid w:val="4A0371F0"/>
    <w:rsid w:val="4A061325"/>
    <w:rsid w:val="4A0A565F"/>
    <w:rsid w:val="4A0B7A5D"/>
    <w:rsid w:val="4A0C3AB2"/>
    <w:rsid w:val="4A1348E8"/>
    <w:rsid w:val="4A1C58DA"/>
    <w:rsid w:val="4A225C9C"/>
    <w:rsid w:val="4A234180"/>
    <w:rsid w:val="4A2A44AB"/>
    <w:rsid w:val="4A2C3EB5"/>
    <w:rsid w:val="4A32033B"/>
    <w:rsid w:val="4A356998"/>
    <w:rsid w:val="4A3931DB"/>
    <w:rsid w:val="4A3A0C7B"/>
    <w:rsid w:val="4A3A2723"/>
    <w:rsid w:val="4A4930C4"/>
    <w:rsid w:val="4A4D4655"/>
    <w:rsid w:val="4A5066DA"/>
    <w:rsid w:val="4A506D96"/>
    <w:rsid w:val="4A552B82"/>
    <w:rsid w:val="4A5A0013"/>
    <w:rsid w:val="4A61498B"/>
    <w:rsid w:val="4A637197"/>
    <w:rsid w:val="4A693977"/>
    <w:rsid w:val="4A6C1106"/>
    <w:rsid w:val="4A6F3659"/>
    <w:rsid w:val="4A6F7B08"/>
    <w:rsid w:val="4A72430C"/>
    <w:rsid w:val="4A725674"/>
    <w:rsid w:val="4A733227"/>
    <w:rsid w:val="4A756F34"/>
    <w:rsid w:val="4A774207"/>
    <w:rsid w:val="4A7E32F5"/>
    <w:rsid w:val="4A82558F"/>
    <w:rsid w:val="4A840BC0"/>
    <w:rsid w:val="4A842903"/>
    <w:rsid w:val="4A93317F"/>
    <w:rsid w:val="4A977423"/>
    <w:rsid w:val="4A9D3F04"/>
    <w:rsid w:val="4A9F2550"/>
    <w:rsid w:val="4AA5030A"/>
    <w:rsid w:val="4AA6390D"/>
    <w:rsid w:val="4AAA2AE7"/>
    <w:rsid w:val="4AAB7C8D"/>
    <w:rsid w:val="4AAD16A2"/>
    <w:rsid w:val="4AAD2433"/>
    <w:rsid w:val="4AD50FF6"/>
    <w:rsid w:val="4ADA2942"/>
    <w:rsid w:val="4ADA6289"/>
    <w:rsid w:val="4ADB0F89"/>
    <w:rsid w:val="4ADB48CE"/>
    <w:rsid w:val="4ADC2611"/>
    <w:rsid w:val="4ADE063F"/>
    <w:rsid w:val="4AE0335D"/>
    <w:rsid w:val="4AE96FAA"/>
    <w:rsid w:val="4AEC26D2"/>
    <w:rsid w:val="4AF43085"/>
    <w:rsid w:val="4AF8361F"/>
    <w:rsid w:val="4AFB7BC8"/>
    <w:rsid w:val="4B0C1616"/>
    <w:rsid w:val="4B0E2287"/>
    <w:rsid w:val="4B0F6901"/>
    <w:rsid w:val="4B1551F7"/>
    <w:rsid w:val="4B171238"/>
    <w:rsid w:val="4B183D86"/>
    <w:rsid w:val="4B1C35F7"/>
    <w:rsid w:val="4B1F14DF"/>
    <w:rsid w:val="4B221E4D"/>
    <w:rsid w:val="4B224875"/>
    <w:rsid w:val="4B233E29"/>
    <w:rsid w:val="4B24780F"/>
    <w:rsid w:val="4B2B7A3C"/>
    <w:rsid w:val="4B331E85"/>
    <w:rsid w:val="4B3F2A14"/>
    <w:rsid w:val="4B416323"/>
    <w:rsid w:val="4B4E077F"/>
    <w:rsid w:val="4B5405D1"/>
    <w:rsid w:val="4B5B3FC2"/>
    <w:rsid w:val="4B5D7215"/>
    <w:rsid w:val="4B67719E"/>
    <w:rsid w:val="4B6E6E47"/>
    <w:rsid w:val="4B8D3D2F"/>
    <w:rsid w:val="4B9977BC"/>
    <w:rsid w:val="4B9E26D6"/>
    <w:rsid w:val="4BA12C62"/>
    <w:rsid w:val="4BA224F1"/>
    <w:rsid w:val="4BA6503C"/>
    <w:rsid w:val="4BA95D0C"/>
    <w:rsid w:val="4BAB20E2"/>
    <w:rsid w:val="4BAB2531"/>
    <w:rsid w:val="4BAC44C1"/>
    <w:rsid w:val="4BB11C7C"/>
    <w:rsid w:val="4BB34108"/>
    <w:rsid w:val="4BB83330"/>
    <w:rsid w:val="4BBF5116"/>
    <w:rsid w:val="4BC16A7B"/>
    <w:rsid w:val="4BC318BB"/>
    <w:rsid w:val="4BC4124B"/>
    <w:rsid w:val="4BC52563"/>
    <w:rsid w:val="4BC7624C"/>
    <w:rsid w:val="4BCA2DA8"/>
    <w:rsid w:val="4BCD26E9"/>
    <w:rsid w:val="4BCF5099"/>
    <w:rsid w:val="4BCF70A9"/>
    <w:rsid w:val="4BD13CE1"/>
    <w:rsid w:val="4BD178E0"/>
    <w:rsid w:val="4BD63500"/>
    <w:rsid w:val="4BD833BA"/>
    <w:rsid w:val="4BDB4C83"/>
    <w:rsid w:val="4BE91C63"/>
    <w:rsid w:val="4BFC230D"/>
    <w:rsid w:val="4C033019"/>
    <w:rsid w:val="4C103898"/>
    <w:rsid w:val="4C11586F"/>
    <w:rsid w:val="4C135E8C"/>
    <w:rsid w:val="4C1D3446"/>
    <w:rsid w:val="4C1E0515"/>
    <w:rsid w:val="4C204CD3"/>
    <w:rsid w:val="4C270935"/>
    <w:rsid w:val="4C2861B1"/>
    <w:rsid w:val="4C2A4755"/>
    <w:rsid w:val="4C3379E8"/>
    <w:rsid w:val="4C341D0D"/>
    <w:rsid w:val="4C3A63DE"/>
    <w:rsid w:val="4C3A7A0B"/>
    <w:rsid w:val="4C3E5ACD"/>
    <w:rsid w:val="4C476CF6"/>
    <w:rsid w:val="4C501D6C"/>
    <w:rsid w:val="4C530D48"/>
    <w:rsid w:val="4C56309E"/>
    <w:rsid w:val="4C5666D0"/>
    <w:rsid w:val="4C574539"/>
    <w:rsid w:val="4C5A7661"/>
    <w:rsid w:val="4C6731CB"/>
    <w:rsid w:val="4C767E86"/>
    <w:rsid w:val="4C772FAB"/>
    <w:rsid w:val="4C7F5E92"/>
    <w:rsid w:val="4C801F33"/>
    <w:rsid w:val="4C824685"/>
    <w:rsid w:val="4C86064E"/>
    <w:rsid w:val="4C893850"/>
    <w:rsid w:val="4C8A6A5B"/>
    <w:rsid w:val="4C8C1D2F"/>
    <w:rsid w:val="4CA10FD3"/>
    <w:rsid w:val="4CA67057"/>
    <w:rsid w:val="4CA73E1B"/>
    <w:rsid w:val="4CA80761"/>
    <w:rsid w:val="4CAB3F7A"/>
    <w:rsid w:val="4CB4609E"/>
    <w:rsid w:val="4CB77209"/>
    <w:rsid w:val="4CBE0801"/>
    <w:rsid w:val="4CD54509"/>
    <w:rsid w:val="4CD74605"/>
    <w:rsid w:val="4CDC7D27"/>
    <w:rsid w:val="4CDE555B"/>
    <w:rsid w:val="4CE04B69"/>
    <w:rsid w:val="4CE12222"/>
    <w:rsid w:val="4CEB0818"/>
    <w:rsid w:val="4CF278A7"/>
    <w:rsid w:val="4CF74211"/>
    <w:rsid w:val="4CF81F9A"/>
    <w:rsid w:val="4CFB768F"/>
    <w:rsid w:val="4CFC427D"/>
    <w:rsid w:val="4D013D4E"/>
    <w:rsid w:val="4D023167"/>
    <w:rsid w:val="4D024E76"/>
    <w:rsid w:val="4D08023B"/>
    <w:rsid w:val="4D0A5F15"/>
    <w:rsid w:val="4D1224DC"/>
    <w:rsid w:val="4D13142E"/>
    <w:rsid w:val="4D1464C3"/>
    <w:rsid w:val="4D15380D"/>
    <w:rsid w:val="4D1A1283"/>
    <w:rsid w:val="4D1C0555"/>
    <w:rsid w:val="4D212044"/>
    <w:rsid w:val="4D240F10"/>
    <w:rsid w:val="4D294D1D"/>
    <w:rsid w:val="4D2B0204"/>
    <w:rsid w:val="4D370163"/>
    <w:rsid w:val="4D382D9F"/>
    <w:rsid w:val="4D3A52A8"/>
    <w:rsid w:val="4D3F4FD5"/>
    <w:rsid w:val="4D401391"/>
    <w:rsid w:val="4D407846"/>
    <w:rsid w:val="4D412F1A"/>
    <w:rsid w:val="4D457D02"/>
    <w:rsid w:val="4D4800A9"/>
    <w:rsid w:val="4D5251C4"/>
    <w:rsid w:val="4D530096"/>
    <w:rsid w:val="4D5361CA"/>
    <w:rsid w:val="4D615825"/>
    <w:rsid w:val="4D6475DB"/>
    <w:rsid w:val="4D6C07AD"/>
    <w:rsid w:val="4D7A25AC"/>
    <w:rsid w:val="4D7C0EF3"/>
    <w:rsid w:val="4D7E76F7"/>
    <w:rsid w:val="4D8600C3"/>
    <w:rsid w:val="4D862019"/>
    <w:rsid w:val="4D887980"/>
    <w:rsid w:val="4D9176B7"/>
    <w:rsid w:val="4D9747D5"/>
    <w:rsid w:val="4DA170AE"/>
    <w:rsid w:val="4DA31294"/>
    <w:rsid w:val="4DA36273"/>
    <w:rsid w:val="4DA410F8"/>
    <w:rsid w:val="4DA9476B"/>
    <w:rsid w:val="4DAC1323"/>
    <w:rsid w:val="4DB4792B"/>
    <w:rsid w:val="4DB61B40"/>
    <w:rsid w:val="4DCA58DC"/>
    <w:rsid w:val="4DCC0152"/>
    <w:rsid w:val="4DCC2ADA"/>
    <w:rsid w:val="4DCC4AAF"/>
    <w:rsid w:val="4DCC6395"/>
    <w:rsid w:val="4DD52A7F"/>
    <w:rsid w:val="4DDD2C45"/>
    <w:rsid w:val="4DDF56D2"/>
    <w:rsid w:val="4DF24079"/>
    <w:rsid w:val="4DF67286"/>
    <w:rsid w:val="4DF936AB"/>
    <w:rsid w:val="4E0104A3"/>
    <w:rsid w:val="4E02346C"/>
    <w:rsid w:val="4E143468"/>
    <w:rsid w:val="4E1468FF"/>
    <w:rsid w:val="4E153208"/>
    <w:rsid w:val="4E1717E5"/>
    <w:rsid w:val="4E2351D9"/>
    <w:rsid w:val="4E28773C"/>
    <w:rsid w:val="4E2C416D"/>
    <w:rsid w:val="4E332B7E"/>
    <w:rsid w:val="4E3411F9"/>
    <w:rsid w:val="4E395339"/>
    <w:rsid w:val="4E3C3C28"/>
    <w:rsid w:val="4E3C7663"/>
    <w:rsid w:val="4E460D30"/>
    <w:rsid w:val="4E5426B1"/>
    <w:rsid w:val="4E6A0BBA"/>
    <w:rsid w:val="4E6C1B6B"/>
    <w:rsid w:val="4E6E29DF"/>
    <w:rsid w:val="4E7145C3"/>
    <w:rsid w:val="4E715BC0"/>
    <w:rsid w:val="4E7E1984"/>
    <w:rsid w:val="4E7F0FC9"/>
    <w:rsid w:val="4E8125F6"/>
    <w:rsid w:val="4E822440"/>
    <w:rsid w:val="4E846283"/>
    <w:rsid w:val="4E884286"/>
    <w:rsid w:val="4E887194"/>
    <w:rsid w:val="4E8B2F96"/>
    <w:rsid w:val="4E916F80"/>
    <w:rsid w:val="4E92193E"/>
    <w:rsid w:val="4E947EF2"/>
    <w:rsid w:val="4EA05BB4"/>
    <w:rsid w:val="4EA2316F"/>
    <w:rsid w:val="4EAF5E98"/>
    <w:rsid w:val="4EB073B2"/>
    <w:rsid w:val="4EB53C33"/>
    <w:rsid w:val="4EB86F15"/>
    <w:rsid w:val="4EBC4018"/>
    <w:rsid w:val="4EBD28B1"/>
    <w:rsid w:val="4EC5454E"/>
    <w:rsid w:val="4EC55DC3"/>
    <w:rsid w:val="4EC87A02"/>
    <w:rsid w:val="4ECD0323"/>
    <w:rsid w:val="4ECE26DD"/>
    <w:rsid w:val="4ED22AB0"/>
    <w:rsid w:val="4ED46069"/>
    <w:rsid w:val="4ED9072E"/>
    <w:rsid w:val="4EE11F44"/>
    <w:rsid w:val="4EE66DC4"/>
    <w:rsid w:val="4EEB0267"/>
    <w:rsid w:val="4EF85F92"/>
    <w:rsid w:val="4EF93EEC"/>
    <w:rsid w:val="4EF96117"/>
    <w:rsid w:val="4EFF2DCA"/>
    <w:rsid w:val="4F062AD6"/>
    <w:rsid w:val="4F0753DC"/>
    <w:rsid w:val="4F0B040E"/>
    <w:rsid w:val="4F234285"/>
    <w:rsid w:val="4F246533"/>
    <w:rsid w:val="4F262F38"/>
    <w:rsid w:val="4F281938"/>
    <w:rsid w:val="4F2C7065"/>
    <w:rsid w:val="4F2F0B31"/>
    <w:rsid w:val="4F2F1ED0"/>
    <w:rsid w:val="4F2F5036"/>
    <w:rsid w:val="4F2F52A7"/>
    <w:rsid w:val="4F311189"/>
    <w:rsid w:val="4F316E23"/>
    <w:rsid w:val="4F3A7D55"/>
    <w:rsid w:val="4F4A249D"/>
    <w:rsid w:val="4F4F6C50"/>
    <w:rsid w:val="4F5177A1"/>
    <w:rsid w:val="4F5C64D6"/>
    <w:rsid w:val="4F6106BB"/>
    <w:rsid w:val="4F611881"/>
    <w:rsid w:val="4F642623"/>
    <w:rsid w:val="4F657C14"/>
    <w:rsid w:val="4F657D90"/>
    <w:rsid w:val="4F6A4587"/>
    <w:rsid w:val="4F6D0A8E"/>
    <w:rsid w:val="4F782505"/>
    <w:rsid w:val="4F7B4630"/>
    <w:rsid w:val="4F805A97"/>
    <w:rsid w:val="4F87259A"/>
    <w:rsid w:val="4F8B6B74"/>
    <w:rsid w:val="4F9713E2"/>
    <w:rsid w:val="4FA25402"/>
    <w:rsid w:val="4FA47997"/>
    <w:rsid w:val="4FA83623"/>
    <w:rsid w:val="4FAB03EC"/>
    <w:rsid w:val="4FAD553F"/>
    <w:rsid w:val="4FB600F9"/>
    <w:rsid w:val="4FB81F0B"/>
    <w:rsid w:val="4FB930C3"/>
    <w:rsid w:val="4FC87C89"/>
    <w:rsid w:val="4FCE3D00"/>
    <w:rsid w:val="4FD15E4B"/>
    <w:rsid w:val="4FD214C8"/>
    <w:rsid w:val="4FD40701"/>
    <w:rsid w:val="4FD6728F"/>
    <w:rsid w:val="4FDB7905"/>
    <w:rsid w:val="4FE563FE"/>
    <w:rsid w:val="4FEC61C7"/>
    <w:rsid w:val="4FF5064E"/>
    <w:rsid w:val="4FFC1421"/>
    <w:rsid w:val="50014A2F"/>
    <w:rsid w:val="50085E78"/>
    <w:rsid w:val="50097FE3"/>
    <w:rsid w:val="500A64F3"/>
    <w:rsid w:val="500B2082"/>
    <w:rsid w:val="500C19D8"/>
    <w:rsid w:val="500E368B"/>
    <w:rsid w:val="50284089"/>
    <w:rsid w:val="502B276C"/>
    <w:rsid w:val="502B7D65"/>
    <w:rsid w:val="502F3215"/>
    <w:rsid w:val="502F59C7"/>
    <w:rsid w:val="503403D6"/>
    <w:rsid w:val="503957FC"/>
    <w:rsid w:val="503A39E5"/>
    <w:rsid w:val="503C5CF8"/>
    <w:rsid w:val="503E3519"/>
    <w:rsid w:val="50412898"/>
    <w:rsid w:val="5048185E"/>
    <w:rsid w:val="50506C44"/>
    <w:rsid w:val="50532AFF"/>
    <w:rsid w:val="5057384C"/>
    <w:rsid w:val="505E14BD"/>
    <w:rsid w:val="505E628B"/>
    <w:rsid w:val="506125C7"/>
    <w:rsid w:val="506140F5"/>
    <w:rsid w:val="50623AFA"/>
    <w:rsid w:val="506377DC"/>
    <w:rsid w:val="506527F2"/>
    <w:rsid w:val="506C5E25"/>
    <w:rsid w:val="506C6C09"/>
    <w:rsid w:val="506F1BFD"/>
    <w:rsid w:val="50710CAA"/>
    <w:rsid w:val="50721465"/>
    <w:rsid w:val="50761B15"/>
    <w:rsid w:val="507C288A"/>
    <w:rsid w:val="508261F4"/>
    <w:rsid w:val="50840DB1"/>
    <w:rsid w:val="5088228F"/>
    <w:rsid w:val="508A2470"/>
    <w:rsid w:val="508A7673"/>
    <w:rsid w:val="508D7E21"/>
    <w:rsid w:val="508E3A56"/>
    <w:rsid w:val="50951428"/>
    <w:rsid w:val="50966443"/>
    <w:rsid w:val="50A11064"/>
    <w:rsid w:val="50A655A3"/>
    <w:rsid w:val="50B06A3E"/>
    <w:rsid w:val="50B0787E"/>
    <w:rsid w:val="50B37835"/>
    <w:rsid w:val="50C147AC"/>
    <w:rsid w:val="50C9580D"/>
    <w:rsid w:val="50CF0ED5"/>
    <w:rsid w:val="50D27367"/>
    <w:rsid w:val="50D86D98"/>
    <w:rsid w:val="50D91D5A"/>
    <w:rsid w:val="50DA7DA0"/>
    <w:rsid w:val="50E133D4"/>
    <w:rsid w:val="50ED43C0"/>
    <w:rsid w:val="50EE4087"/>
    <w:rsid w:val="50EF0EBD"/>
    <w:rsid w:val="50F4183C"/>
    <w:rsid w:val="50F54FAC"/>
    <w:rsid w:val="50FE544C"/>
    <w:rsid w:val="51022FA1"/>
    <w:rsid w:val="510412FF"/>
    <w:rsid w:val="5105783F"/>
    <w:rsid w:val="51057D66"/>
    <w:rsid w:val="510636F7"/>
    <w:rsid w:val="51076CE4"/>
    <w:rsid w:val="510D4F6B"/>
    <w:rsid w:val="510D5E61"/>
    <w:rsid w:val="51125C8A"/>
    <w:rsid w:val="511640CD"/>
    <w:rsid w:val="51183E93"/>
    <w:rsid w:val="511E0DAB"/>
    <w:rsid w:val="511E2A6C"/>
    <w:rsid w:val="512400EB"/>
    <w:rsid w:val="512844B0"/>
    <w:rsid w:val="51294BEF"/>
    <w:rsid w:val="512E5BB8"/>
    <w:rsid w:val="512E72CC"/>
    <w:rsid w:val="51355870"/>
    <w:rsid w:val="513D073B"/>
    <w:rsid w:val="51421825"/>
    <w:rsid w:val="51490D91"/>
    <w:rsid w:val="514C796A"/>
    <w:rsid w:val="514D5BEE"/>
    <w:rsid w:val="515077AB"/>
    <w:rsid w:val="51541509"/>
    <w:rsid w:val="515E1C1A"/>
    <w:rsid w:val="515F647E"/>
    <w:rsid w:val="51667DB7"/>
    <w:rsid w:val="51733006"/>
    <w:rsid w:val="51733F39"/>
    <w:rsid w:val="517535D0"/>
    <w:rsid w:val="51791FED"/>
    <w:rsid w:val="517E4AC6"/>
    <w:rsid w:val="518116AF"/>
    <w:rsid w:val="51876140"/>
    <w:rsid w:val="518E508F"/>
    <w:rsid w:val="51926EC2"/>
    <w:rsid w:val="51A07646"/>
    <w:rsid w:val="51A56CA7"/>
    <w:rsid w:val="51AD2442"/>
    <w:rsid w:val="51AD4616"/>
    <w:rsid w:val="51BC2FCA"/>
    <w:rsid w:val="51C36FCC"/>
    <w:rsid w:val="51C643C9"/>
    <w:rsid w:val="51CE2231"/>
    <w:rsid w:val="51CF31F7"/>
    <w:rsid w:val="51D155AB"/>
    <w:rsid w:val="51DB1BE4"/>
    <w:rsid w:val="51E112A0"/>
    <w:rsid w:val="51E26519"/>
    <w:rsid w:val="51E63C6B"/>
    <w:rsid w:val="51E84BCA"/>
    <w:rsid w:val="51F6560C"/>
    <w:rsid w:val="52063482"/>
    <w:rsid w:val="52076B1F"/>
    <w:rsid w:val="520C749F"/>
    <w:rsid w:val="520D6099"/>
    <w:rsid w:val="52176174"/>
    <w:rsid w:val="521A0D5E"/>
    <w:rsid w:val="521B0AD7"/>
    <w:rsid w:val="521B59A9"/>
    <w:rsid w:val="522024C8"/>
    <w:rsid w:val="52217036"/>
    <w:rsid w:val="52245AB2"/>
    <w:rsid w:val="52274F98"/>
    <w:rsid w:val="5229379E"/>
    <w:rsid w:val="522B6A57"/>
    <w:rsid w:val="522C7CBE"/>
    <w:rsid w:val="523354B9"/>
    <w:rsid w:val="52345C97"/>
    <w:rsid w:val="52381029"/>
    <w:rsid w:val="5239054B"/>
    <w:rsid w:val="52396FA3"/>
    <w:rsid w:val="52436742"/>
    <w:rsid w:val="52442608"/>
    <w:rsid w:val="525304C5"/>
    <w:rsid w:val="52576468"/>
    <w:rsid w:val="52583116"/>
    <w:rsid w:val="52587DC4"/>
    <w:rsid w:val="52595878"/>
    <w:rsid w:val="525A3F7A"/>
    <w:rsid w:val="526B583A"/>
    <w:rsid w:val="52722EDE"/>
    <w:rsid w:val="52752869"/>
    <w:rsid w:val="52756922"/>
    <w:rsid w:val="528406B3"/>
    <w:rsid w:val="52914FAD"/>
    <w:rsid w:val="52941AF7"/>
    <w:rsid w:val="529712E2"/>
    <w:rsid w:val="529746A1"/>
    <w:rsid w:val="529939E5"/>
    <w:rsid w:val="529A650F"/>
    <w:rsid w:val="529C1B49"/>
    <w:rsid w:val="529F074D"/>
    <w:rsid w:val="52A81130"/>
    <w:rsid w:val="52A8224F"/>
    <w:rsid w:val="52A90978"/>
    <w:rsid w:val="52B1630A"/>
    <w:rsid w:val="52B2152B"/>
    <w:rsid w:val="52B669AF"/>
    <w:rsid w:val="52C13C6B"/>
    <w:rsid w:val="52C36F57"/>
    <w:rsid w:val="52C92AC9"/>
    <w:rsid w:val="52C967C5"/>
    <w:rsid w:val="52CA50D0"/>
    <w:rsid w:val="52CC66B4"/>
    <w:rsid w:val="52CF0CD1"/>
    <w:rsid w:val="52DB2C9A"/>
    <w:rsid w:val="52E114B1"/>
    <w:rsid w:val="52E17A0F"/>
    <w:rsid w:val="52E84C7C"/>
    <w:rsid w:val="52EA6C06"/>
    <w:rsid w:val="52F12279"/>
    <w:rsid w:val="52F24DCD"/>
    <w:rsid w:val="52FE6FE5"/>
    <w:rsid w:val="53016DFA"/>
    <w:rsid w:val="53022EE5"/>
    <w:rsid w:val="53030B67"/>
    <w:rsid w:val="53032524"/>
    <w:rsid w:val="5303361B"/>
    <w:rsid w:val="5304427D"/>
    <w:rsid w:val="530A192B"/>
    <w:rsid w:val="530D6D86"/>
    <w:rsid w:val="530E6657"/>
    <w:rsid w:val="53117258"/>
    <w:rsid w:val="53154F4A"/>
    <w:rsid w:val="53276B1D"/>
    <w:rsid w:val="532F0866"/>
    <w:rsid w:val="5332501D"/>
    <w:rsid w:val="533A0CBD"/>
    <w:rsid w:val="534125F4"/>
    <w:rsid w:val="53436219"/>
    <w:rsid w:val="53450B98"/>
    <w:rsid w:val="53470DD0"/>
    <w:rsid w:val="534A2207"/>
    <w:rsid w:val="535144D5"/>
    <w:rsid w:val="535376FA"/>
    <w:rsid w:val="5354745D"/>
    <w:rsid w:val="535500FD"/>
    <w:rsid w:val="535D2544"/>
    <w:rsid w:val="535E519C"/>
    <w:rsid w:val="53674F9C"/>
    <w:rsid w:val="53683BE8"/>
    <w:rsid w:val="53686FFA"/>
    <w:rsid w:val="53696FBE"/>
    <w:rsid w:val="5369701E"/>
    <w:rsid w:val="536A61AD"/>
    <w:rsid w:val="53724261"/>
    <w:rsid w:val="537327FB"/>
    <w:rsid w:val="53761179"/>
    <w:rsid w:val="5379788F"/>
    <w:rsid w:val="538E4A6F"/>
    <w:rsid w:val="538F5EBA"/>
    <w:rsid w:val="53922401"/>
    <w:rsid w:val="5398217D"/>
    <w:rsid w:val="539D171F"/>
    <w:rsid w:val="53A20A39"/>
    <w:rsid w:val="53A91C19"/>
    <w:rsid w:val="53AD0738"/>
    <w:rsid w:val="53C5127B"/>
    <w:rsid w:val="53C76E6B"/>
    <w:rsid w:val="53D01B1C"/>
    <w:rsid w:val="53D634E8"/>
    <w:rsid w:val="53D770AF"/>
    <w:rsid w:val="53DF09BE"/>
    <w:rsid w:val="53DF1026"/>
    <w:rsid w:val="53E4576C"/>
    <w:rsid w:val="53E53E89"/>
    <w:rsid w:val="53EE4E8C"/>
    <w:rsid w:val="53EF58BB"/>
    <w:rsid w:val="54004ADF"/>
    <w:rsid w:val="540934D3"/>
    <w:rsid w:val="540E2CD2"/>
    <w:rsid w:val="540E7BB7"/>
    <w:rsid w:val="541569DF"/>
    <w:rsid w:val="54163B78"/>
    <w:rsid w:val="541918D7"/>
    <w:rsid w:val="541960B9"/>
    <w:rsid w:val="541B6E01"/>
    <w:rsid w:val="541D2C12"/>
    <w:rsid w:val="542D3D36"/>
    <w:rsid w:val="54305409"/>
    <w:rsid w:val="54311FFE"/>
    <w:rsid w:val="5433265A"/>
    <w:rsid w:val="54372392"/>
    <w:rsid w:val="54390E13"/>
    <w:rsid w:val="543A23F1"/>
    <w:rsid w:val="543A7CB2"/>
    <w:rsid w:val="543B3331"/>
    <w:rsid w:val="543D48A9"/>
    <w:rsid w:val="5442348D"/>
    <w:rsid w:val="54423681"/>
    <w:rsid w:val="544473CD"/>
    <w:rsid w:val="54455034"/>
    <w:rsid w:val="544C1342"/>
    <w:rsid w:val="544E31E1"/>
    <w:rsid w:val="544F0F91"/>
    <w:rsid w:val="54530B36"/>
    <w:rsid w:val="54553E5C"/>
    <w:rsid w:val="54585253"/>
    <w:rsid w:val="545B1B39"/>
    <w:rsid w:val="545D0832"/>
    <w:rsid w:val="54602BA8"/>
    <w:rsid w:val="54604497"/>
    <w:rsid w:val="546406D1"/>
    <w:rsid w:val="54653174"/>
    <w:rsid w:val="54687265"/>
    <w:rsid w:val="546C467E"/>
    <w:rsid w:val="546C7B0D"/>
    <w:rsid w:val="546E1281"/>
    <w:rsid w:val="546E6168"/>
    <w:rsid w:val="54707F66"/>
    <w:rsid w:val="54721439"/>
    <w:rsid w:val="54737806"/>
    <w:rsid w:val="54784A1E"/>
    <w:rsid w:val="54803854"/>
    <w:rsid w:val="54886B7E"/>
    <w:rsid w:val="54886D62"/>
    <w:rsid w:val="548A2F8F"/>
    <w:rsid w:val="548D6A9B"/>
    <w:rsid w:val="54944D5B"/>
    <w:rsid w:val="54945903"/>
    <w:rsid w:val="5495238A"/>
    <w:rsid w:val="54981DD5"/>
    <w:rsid w:val="549F5A55"/>
    <w:rsid w:val="54A56606"/>
    <w:rsid w:val="54BF51B3"/>
    <w:rsid w:val="54C455AE"/>
    <w:rsid w:val="54C806EF"/>
    <w:rsid w:val="54CA5D1A"/>
    <w:rsid w:val="54CE19E8"/>
    <w:rsid w:val="54D2639B"/>
    <w:rsid w:val="54D27A21"/>
    <w:rsid w:val="54D542DE"/>
    <w:rsid w:val="54DB1922"/>
    <w:rsid w:val="54DD0C7E"/>
    <w:rsid w:val="54DD7916"/>
    <w:rsid w:val="54DD7B6B"/>
    <w:rsid w:val="54DE49F2"/>
    <w:rsid w:val="54E244F1"/>
    <w:rsid w:val="54E36CF8"/>
    <w:rsid w:val="54E54A44"/>
    <w:rsid w:val="54E91027"/>
    <w:rsid w:val="54F00874"/>
    <w:rsid w:val="54F5079F"/>
    <w:rsid w:val="54F735B6"/>
    <w:rsid w:val="54F815EB"/>
    <w:rsid w:val="54FB58EE"/>
    <w:rsid w:val="54FF7EC1"/>
    <w:rsid w:val="55014F86"/>
    <w:rsid w:val="550810D6"/>
    <w:rsid w:val="550875E3"/>
    <w:rsid w:val="550D5659"/>
    <w:rsid w:val="550D5B7E"/>
    <w:rsid w:val="55180600"/>
    <w:rsid w:val="552607C0"/>
    <w:rsid w:val="55280819"/>
    <w:rsid w:val="55362A17"/>
    <w:rsid w:val="55421117"/>
    <w:rsid w:val="55456C74"/>
    <w:rsid w:val="55527C0B"/>
    <w:rsid w:val="55587663"/>
    <w:rsid w:val="555A5945"/>
    <w:rsid w:val="555B3281"/>
    <w:rsid w:val="556560F1"/>
    <w:rsid w:val="55685846"/>
    <w:rsid w:val="556B5EF0"/>
    <w:rsid w:val="55854FD2"/>
    <w:rsid w:val="5589104A"/>
    <w:rsid w:val="55895A4A"/>
    <w:rsid w:val="55905D0F"/>
    <w:rsid w:val="559433BB"/>
    <w:rsid w:val="55955C21"/>
    <w:rsid w:val="55965CFB"/>
    <w:rsid w:val="5599227D"/>
    <w:rsid w:val="55995053"/>
    <w:rsid w:val="559C4897"/>
    <w:rsid w:val="559C4C28"/>
    <w:rsid w:val="559F4016"/>
    <w:rsid w:val="55A4569B"/>
    <w:rsid w:val="55AD60F5"/>
    <w:rsid w:val="55B1550E"/>
    <w:rsid w:val="55B33B20"/>
    <w:rsid w:val="55B642F9"/>
    <w:rsid w:val="55BA6F6C"/>
    <w:rsid w:val="55C15F97"/>
    <w:rsid w:val="55C631E1"/>
    <w:rsid w:val="55C72CC4"/>
    <w:rsid w:val="55CD380C"/>
    <w:rsid w:val="55D0553F"/>
    <w:rsid w:val="55D7658E"/>
    <w:rsid w:val="55DA08B9"/>
    <w:rsid w:val="55DD644C"/>
    <w:rsid w:val="55E501CC"/>
    <w:rsid w:val="55EC09E5"/>
    <w:rsid w:val="55EE0DDA"/>
    <w:rsid w:val="55F467B9"/>
    <w:rsid w:val="55F67121"/>
    <w:rsid w:val="55FB52A9"/>
    <w:rsid w:val="560446C0"/>
    <w:rsid w:val="560517C2"/>
    <w:rsid w:val="56066C0D"/>
    <w:rsid w:val="560A0949"/>
    <w:rsid w:val="560D24B0"/>
    <w:rsid w:val="56140C6D"/>
    <w:rsid w:val="562345D7"/>
    <w:rsid w:val="56246EE9"/>
    <w:rsid w:val="562514D0"/>
    <w:rsid w:val="5626662F"/>
    <w:rsid w:val="562C3B5C"/>
    <w:rsid w:val="56304A65"/>
    <w:rsid w:val="56366A0B"/>
    <w:rsid w:val="563B739E"/>
    <w:rsid w:val="563E2934"/>
    <w:rsid w:val="563E7D3A"/>
    <w:rsid w:val="564656DD"/>
    <w:rsid w:val="564B1476"/>
    <w:rsid w:val="564C6D5A"/>
    <w:rsid w:val="564F369C"/>
    <w:rsid w:val="56510882"/>
    <w:rsid w:val="5655503B"/>
    <w:rsid w:val="56585FDA"/>
    <w:rsid w:val="56591155"/>
    <w:rsid w:val="565B50FD"/>
    <w:rsid w:val="56612226"/>
    <w:rsid w:val="56620F95"/>
    <w:rsid w:val="56627E3E"/>
    <w:rsid w:val="56694BA8"/>
    <w:rsid w:val="566971F7"/>
    <w:rsid w:val="566E4F27"/>
    <w:rsid w:val="566F6694"/>
    <w:rsid w:val="5672512C"/>
    <w:rsid w:val="56731D3F"/>
    <w:rsid w:val="567F76E1"/>
    <w:rsid w:val="56803EF7"/>
    <w:rsid w:val="56813B4E"/>
    <w:rsid w:val="56867EE2"/>
    <w:rsid w:val="56870BD5"/>
    <w:rsid w:val="568A414A"/>
    <w:rsid w:val="568B24E7"/>
    <w:rsid w:val="568D777E"/>
    <w:rsid w:val="56A047ED"/>
    <w:rsid w:val="56A40EBA"/>
    <w:rsid w:val="56AA4C9D"/>
    <w:rsid w:val="56AB6D98"/>
    <w:rsid w:val="56AC1B7C"/>
    <w:rsid w:val="56AD0A2B"/>
    <w:rsid w:val="56B245D1"/>
    <w:rsid w:val="56B70005"/>
    <w:rsid w:val="56BB4DDA"/>
    <w:rsid w:val="56BF14C9"/>
    <w:rsid w:val="56BF5B67"/>
    <w:rsid w:val="56C47322"/>
    <w:rsid w:val="56D5790A"/>
    <w:rsid w:val="56E45B90"/>
    <w:rsid w:val="56E706CD"/>
    <w:rsid w:val="56E74701"/>
    <w:rsid w:val="56EB5F29"/>
    <w:rsid w:val="56EB6A0B"/>
    <w:rsid w:val="56EE1D86"/>
    <w:rsid w:val="56F16EE0"/>
    <w:rsid w:val="56F7492E"/>
    <w:rsid w:val="56F97420"/>
    <w:rsid w:val="56FB0AC4"/>
    <w:rsid w:val="570228A4"/>
    <w:rsid w:val="57057C72"/>
    <w:rsid w:val="57091CE9"/>
    <w:rsid w:val="570A60E7"/>
    <w:rsid w:val="570A6813"/>
    <w:rsid w:val="570D1500"/>
    <w:rsid w:val="5715330C"/>
    <w:rsid w:val="57173324"/>
    <w:rsid w:val="572446A7"/>
    <w:rsid w:val="57261608"/>
    <w:rsid w:val="572C699B"/>
    <w:rsid w:val="57311E59"/>
    <w:rsid w:val="57327546"/>
    <w:rsid w:val="57387E86"/>
    <w:rsid w:val="573C6500"/>
    <w:rsid w:val="573D2385"/>
    <w:rsid w:val="573E322A"/>
    <w:rsid w:val="57405348"/>
    <w:rsid w:val="57406711"/>
    <w:rsid w:val="57441DE5"/>
    <w:rsid w:val="574D12DF"/>
    <w:rsid w:val="57515DF9"/>
    <w:rsid w:val="575615C6"/>
    <w:rsid w:val="57571841"/>
    <w:rsid w:val="575A2C78"/>
    <w:rsid w:val="575B4BDE"/>
    <w:rsid w:val="57615A11"/>
    <w:rsid w:val="57686F62"/>
    <w:rsid w:val="576E1245"/>
    <w:rsid w:val="57772118"/>
    <w:rsid w:val="57781A5A"/>
    <w:rsid w:val="577F2582"/>
    <w:rsid w:val="57812BE5"/>
    <w:rsid w:val="5783011F"/>
    <w:rsid w:val="57867D5C"/>
    <w:rsid w:val="57912DAF"/>
    <w:rsid w:val="57937025"/>
    <w:rsid w:val="57985267"/>
    <w:rsid w:val="57992B3D"/>
    <w:rsid w:val="579C46A9"/>
    <w:rsid w:val="579F1F1C"/>
    <w:rsid w:val="57A20B97"/>
    <w:rsid w:val="57A34655"/>
    <w:rsid w:val="57A61DFC"/>
    <w:rsid w:val="57B170E4"/>
    <w:rsid w:val="57B23D96"/>
    <w:rsid w:val="57BB1CE2"/>
    <w:rsid w:val="57BC4F02"/>
    <w:rsid w:val="57C04899"/>
    <w:rsid w:val="57C066BC"/>
    <w:rsid w:val="57CD289A"/>
    <w:rsid w:val="57D02D49"/>
    <w:rsid w:val="57D2646D"/>
    <w:rsid w:val="57DC5C0C"/>
    <w:rsid w:val="57DE217D"/>
    <w:rsid w:val="57E7359E"/>
    <w:rsid w:val="57EB5377"/>
    <w:rsid w:val="57F160AF"/>
    <w:rsid w:val="57F53C5A"/>
    <w:rsid w:val="57F97E07"/>
    <w:rsid w:val="57FA2103"/>
    <w:rsid w:val="57FD6C49"/>
    <w:rsid w:val="57FE0AD9"/>
    <w:rsid w:val="58050E2A"/>
    <w:rsid w:val="580842E9"/>
    <w:rsid w:val="580F441A"/>
    <w:rsid w:val="581F2175"/>
    <w:rsid w:val="581F3278"/>
    <w:rsid w:val="582365F4"/>
    <w:rsid w:val="58252655"/>
    <w:rsid w:val="58256A8B"/>
    <w:rsid w:val="58271F8E"/>
    <w:rsid w:val="583A524D"/>
    <w:rsid w:val="583E6BE8"/>
    <w:rsid w:val="584441DB"/>
    <w:rsid w:val="584968DE"/>
    <w:rsid w:val="584A6E7A"/>
    <w:rsid w:val="584D3816"/>
    <w:rsid w:val="585136FD"/>
    <w:rsid w:val="5854574F"/>
    <w:rsid w:val="58583FA2"/>
    <w:rsid w:val="585F5817"/>
    <w:rsid w:val="58600086"/>
    <w:rsid w:val="58646A7A"/>
    <w:rsid w:val="58760CEE"/>
    <w:rsid w:val="58787944"/>
    <w:rsid w:val="587B4215"/>
    <w:rsid w:val="58802C7B"/>
    <w:rsid w:val="588150AD"/>
    <w:rsid w:val="588543AB"/>
    <w:rsid w:val="588705C0"/>
    <w:rsid w:val="588C2811"/>
    <w:rsid w:val="58962590"/>
    <w:rsid w:val="5897586A"/>
    <w:rsid w:val="589E3007"/>
    <w:rsid w:val="58A0071F"/>
    <w:rsid w:val="58A93519"/>
    <w:rsid w:val="58AC1CD5"/>
    <w:rsid w:val="58B87CB5"/>
    <w:rsid w:val="58C25264"/>
    <w:rsid w:val="58C516BF"/>
    <w:rsid w:val="58C631DA"/>
    <w:rsid w:val="58C77664"/>
    <w:rsid w:val="58CB1271"/>
    <w:rsid w:val="58CF1C4E"/>
    <w:rsid w:val="58D571F3"/>
    <w:rsid w:val="58D83F7C"/>
    <w:rsid w:val="58D85E9A"/>
    <w:rsid w:val="58D930C4"/>
    <w:rsid w:val="58DA7F9A"/>
    <w:rsid w:val="58DE7CC1"/>
    <w:rsid w:val="58E079E3"/>
    <w:rsid w:val="58E834F7"/>
    <w:rsid w:val="58EC6545"/>
    <w:rsid w:val="590728FB"/>
    <w:rsid w:val="590767F3"/>
    <w:rsid w:val="59095C04"/>
    <w:rsid w:val="590C717D"/>
    <w:rsid w:val="590D507C"/>
    <w:rsid w:val="59162047"/>
    <w:rsid w:val="59164302"/>
    <w:rsid w:val="591B4119"/>
    <w:rsid w:val="59223CB1"/>
    <w:rsid w:val="59251EF8"/>
    <w:rsid w:val="592567F9"/>
    <w:rsid w:val="5927308C"/>
    <w:rsid w:val="592A284D"/>
    <w:rsid w:val="593337F4"/>
    <w:rsid w:val="59350AEB"/>
    <w:rsid w:val="59354A42"/>
    <w:rsid w:val="593A1AB8"/>
    <w:rsid w:val="593E6AB9"/>
    <w:rsid w:val="593E7E94"/>
    <w:rsid w:val="594271BE"/>
    <w:rsid w:val="5943448C"/>
    <w:rsid w:val="594F14B7"/>
    <w:rsid w:val="594F747E"/>
    <w:rsid w:val="595040F4"/>
    <w:rsid w:val="59546A16"/>
    <w:rsid w:val="595C77B9"/>
    <w:rsid w:val="596450DF"/>
    <w:rsid w:val="59667B95"/>
    <w:rsid w:val="59685AF7"/>
    <w:rsid w:val="596B33B7"/>
    <w:rsid w:val="59705D01"/>
    <w:rsid w:val="5973438E"/>
    <w:rsid w:val="59742FB8"/>
    <w:rsid w:val="597A615A"/>
    <w:rsid w:val="59804C20"/>
    <w:rsid w:val="598700A5"/>
    <w:rsid w:val="598E7E05"/>
    <w:rsid w:val="59971BDF"/>
    <w:rsid w:val="59A02274"/>
    <w:rsid w:val="59A07699"/>
    <w:rsid w:val="59A376F2"/>
    <w:rsid w:val="59A43E29"/>
    <w:rsid w:val="59A52898"/>
    <w:rsid w:val="59A55841"/>
    <w:rsid w:val="59B14EC2"/>
    <w:rsid w:val="59B27E0E"/>
    <w:rsid w:val="59B40C8B"/>
    <w:rsid w:val="59B67E04"/>
    <w:rsid w:val="59BA6998"/>
    <w:rsid w:val="59BD1103"/>
    <w:rsid w:val="59BD77DC"/>
    <w:rsid w:val="59C95FC4"/>
    <w:rsid w:val="59CB4C07"/>
    <w:rsid w:val="59CC3994"/>
    <w:rsid w:val="59D17ABA"/>
    <w:rsid w:val="59D37946"/>
    <w:rsid w:val="59D6324A"/>
    <w:rsid w:val="59E05E68"/>
    <w:rsid w:val="59EA68AC"/>
    <w:rsid w:val="59EE6C12"/>
    <w:rsid w:val="5A043932"/>
    <w:rsid w:val="5A090919"/>
    <w:rsid w:val="5A0C6156"/>
    <w:rsid w:val="5A167C33"/>
    <w:rsid w:val="5A1A081B"/>
    <w:rsid w:val="5A1D5D9E"/>
    <w:rsid w:val="5A1E7E8B"/>
    <w:rsid w:val="5A1F77E4"/>
    <w:rsid w:val="5A205EF8"/>
    <w:rsid w:val="5A226398"/>
    <w:rsid w:val="5A253701"/>
    <w:rsid w:val="5A263F60"/>
    <w:rsid w:val="5A2F77E8"/>
    <w:rsid w:val="5A302D62"/>
    <w:rsid w:val="5A3604D7"/>
    <w:rsid w:val="5A395AED"/>
    <w:rsid w:val="5A3E24CB"/>
    <w:rsid w:val="5A4423ED"/>
    <w:rsid w:val="5A510610"/>
    <w:rsid w:val="5A517EF1"/>
    <w:rsid w:val="5A542D62"/>
    <w:rsid w:val="5A5A0A01"/>
    <w:rsid w:val="5A5A1080"/>
    <w:rsid w:val="5A5A1261"/>
    <w:rsid w:val="5A5C576E"/>
    <w:rsid w:val="5A5D1E59"/>
    <w:rsid w:val="5A5D7165"/>
    <w:rsid w:val="5A602BDC"/>
    <w:rsid w:val="5A61291E"/>
    <w:rsid w:val="5A633AB4"/>
    <w:rsid w:val="5A687904"/>
    <w:rsid w:val="5A695167"/>
    <w:rsid w:val="5A70710F"/>
    <w:rsid w:val="5A730D19"/>
    <w:rsid w:val="5A7A24B1"/>
    <w:rsid w:val="5A7F3787"/>
    <w:rsid w:val="5A81409A"/>
    <w:rsid w:val="5A931959"/>
    <w:rsid w:val="5AA16E7F"/>
    <w:rsid w:val="5AA47598"/>
    <w:rsid w:val="5AA559C2"/>
    <w:rsid w:val="5AAB2FE1"/>
    <w:rsid w:val="5AAB470F"/>
    <w:rsid w:val="5AAF03C0"/>
    <w:rsid w:val="5AB0273B"/>
    <w:rsid w:val="5AB10E2F"/>
    <w:rsid w:val="5AB26006"/>
    <w:rsid w:val="5AB930A3"/>
    <w:rsid w:val="5ABC1F12"/>
    <w:rsid w:val="5AC06FE9"/>
    <w:rsid w:val="5AC237E5"/>
    <w:rsid w:val="5AC40AE0"/>
    <w:rsid w:val="5AC76767"/>
    <w:rsid w:val="5AC972CC"/>
    <w:rsid w:val="5ACC65DF"/>
    <w:rsid w:val="5AD0496A"/>
    <w:rsid w:val="5AD06FAE"/>
    <w:rsid w:val="5AE352FF"/>
    <w:rsid w:val="5AE37F50"/>
    <w:rsid w:val="5AE43FDA"/>
    <w:rsid w:val="5AE45130"/>
    <w:rsid w:val="5AE578E9"/>
    <w:rsid w:val="5AE653F9"/>
    <w:rsid w:val="5AEF533B"/>
    <w:rsid w:val="5AF451D0"/>
    <w:rsid w:val="5AFD69AB"/>
    <w:rsid w:val="5B0361CE"/>
    <w:rsid w:val="5B072FEF"/>
    <w:rsid w:val="5B0E360E"/>
    <w:rsid w:val="5B152499"/>
    <w:rsid w:val="5B195435"/>
    <w:rsid w:val="5B1D651C"/>
    <w:rsid w:val="5B1E0649"/>
    <w:rsid w:val="5B207BCB"/>
    <w:rsid w:val="5B213051"/>
    <w:rsid w:val="5B2A5922"/>
    <w:rsid w:val="5B2B1270"/>
    <w:rsid w:val="5B2E1987"/>
    <w:rsid w:val="5B2E1E35"/>
    <w:rsid w:val="5B3052F5"/>
    <w:rsid w:val="5B3653DB"/>
    <w:rsid w:val="5B3C1F51"/>
    <w:rsid w:val="5B4276FE"/>
    <w:rsid w:val="5B454949"/>
    <w:rsid w:val="5B4A264D"/>
    <w:rsid w:val="5B4F75EB"/>
    <w:rsid w:val="5B537863"/>
    <w:rsid w:val="5B5526CA"/>
    <w:rsid w:val="5B580D65"/>
    <w:rsid w:val="5B5B7D91"/>
    <w:rsid w:val="5B5C49FB"/>
    <w:rsid w:val="5B5E2BB9"/>
    <w:rsid w:val="5B5F6132"/>
    <w:rsid w:val="5B5F6BD6"/>
    <w:rsid w:val="5B623DE7"/>
    <w:rsid w:val="5B65474B"/>
    <w:rsid w:val="5B663E24"/>
    <w:rsid w:val="5B673C79"/>
    <w:rsid w:val="5B6B607A"/>
    <w:rsid w:val="5B6F6F57"/>
    <w:rsid w:val="5B711EBD"/>
    <w:rsid w:val="5B783F05"/>
    <w:rsid w:val="5B7B0F6A"/>
    <w:rsid w:val="5B7D20D1"/>
    <w:rsid w:val="5B8B3C65"/>
    <w:rsid w:val="5B8B7C01"/>
    <w:rsid w:val="5B8C0FCB"/>
    <w:rsid w:val="5B8D1598"/>
    <w:rsid w:val="5B8D5084"/>
    <w:rsid w:val="5B990916"/>
    <w:rsid w:val="5B9C33B5"/>
    <w:rsid w:val="5B9E3591"/>
    <w:rsid w:val="5BA26405"/>
    <w:rsid w:val="5BAC5556"/>
    <w:rsid w:val="5BAE2549"/>
    <w:rsid w:val="5BB03B32"/>
    <w:rsid w:val="5BB329B5"/>
    <w:rsid w:val="5BBA4BAC"/>
    <w:rsid w:val="5BBA75C1"/>
    <w:rsid w:val="5BBB7FD3"/>
    <w:rsid w:val="5BBF17FE"/>
    <w:rsid w:val="5BBF3D2E"/>
    <w:rsid w:val="5BC0596A"/>
    <w:rsid w:val="5BC95B26"/>
    <w:rsid w:val="5BD27B3B"/>
    <w:rsid w:val="5BD956FC"/>
    <w:rsid w:val="5BDB7736"/>
    <w:rsid w:val="5BDF65EA"/>
    <w:rsid w:val="5BE7321C"/>
    <w:rsid w:val="5BED5720"/>
    <w:rsid w:val="5BFA10B6"/>
    <w:rsid w:val="5BFC3ABB"/>
    <w:rsid w:val="5BFD3429"/>
    <w:rsid w:val="5BFF5A6F"/>
    <w:rsid w:val="5C00184A"/>
    <w:rsid w:val="5C006C40"/>
    <w:rsid w:val="5C06224C"/>
    <w:rsid w:val="5C1479F7"/>
    <w:rsid w:val="5C157B7F"/>
    <w:rsid w:val="5C1B2544"/>
    <w:rsid w:val="5C1B3376"/>
    <w:rsid w:val="5C1E7BA5"/>
    <w:rsid w:val="5C264D60"/>
    <w:rsid w:val="5C2A5D4C"/>
    <w:rsid w:val="5C2A7B5C"/>
    <w:rsid w:val="5C336AC1"/>
    <w:rsid w:val="5C415CE9"/>
    <w:rsid w:val="5C447DD0"/>
    <w:rsid w:val="5C4B34AB"/>
    <w:rsid w:val="5C4E57AB"/>
    <w:rsid w:val="5C547011"/>
    <w:rsid w:val="5C5513A6"/>
    <w:rsid w:val="5C5B5613"/>
    <w:rsid w:val="5C5B7D64"/>
    <w:rsid w:val="5C5C7C72"/>
    <w:rsid w:val="5C6A108D"/>
    <w:rsid w:val="5C6A7E2A"/>
    <w:rsid w:val="5C6C2180"/>
    <w:rsid w:val="5C6D0C20"/>
    <w:rsid w:val="5C751253"/>
    <w:rsid w:val="5C773B31"/>
    <w:rsid w:val="5C7E1AA2"/>
    <w:rsid w:val="5C813C74"/>
    <w:rsid w:val="5C8605A8"/>
    <w:rsid w:val="5C874D2B"/>
    <w:rsid w:val="5C897435"/>
    <w:rsid w:val="5C8B009D"/>
    <w:rsid w:val="5C904819"/>
    <w:rsid w:val="5C942A53"/>
    <w:rsid w:val="5C9F44E1"/>
    <w:rsid w:val="5CA60CF8"/>
    <w:rsid w:val="5CA85F48"/>
    <w:rsid w:val="5CA9769B"/>
    <w:rsid w:val="5CAB1177"/>
    <w:rsid w:val="5CAD0724"/>
    <w:rsid w:val="5CAE1D5F"/>
    <w:rsid w:val="5CAE691C"/>
    <w:rsid w:val="5CB34F90"/>
    <w:rsid w:val="5CB44E4F"/>
    <w:rsid w:val="5CB52ED4"/>
    <w:rsid w:val="5CB70FAF"/>
    <w:rsid w:val="5CC40151"/>
    <w:rsid w:val="5CC77AE3"/>
    <w:rsid w:val="5CCA3906"/>
    <w:rsid w:val="5CCE5A4D"/>
    <w:rsid w:val="5CCF00A9"/>
    <w:rsid w:val="5CCF5EE6"/>
    <w:rsid w:val="5CD32D7E"/>
    <w:rsid w:val="5CDC0504"/>
    <w:rsid w:val="5CDD3D29"/>
    <w:rsid w:val="5CDE6857"/>
    <w:rsid w:val="5CE80358"/>
    <w:rsid w:val="5CEE2680"/>
    <w:rsid w:val="5CFA465A"/>
    <w:rsid w:val="5CFA75FC"/>
    <w:rsid w:val="5D0702D0"/>
    <w:rsid w:val="5D0D5E4B"/>
    <w:rsid w:val="5D151918"/>
    <w:rsid w:val="5D1C7431"/>
    <w:rsid w:val="5D1D1E1D"/>
    <w:rsid w:val="5D1D3770"/>
    <w:rsid w:val="5D2023B0"/>
    <w:rsid w:val="5D272BBB"/>
    <w:rsid w:val="5D28584A"/>
    <w:rsid w:val="5D2B0AA0"/>
    <w:rsid w:val="5D3302BC"/>
    <w:rsid w:val="5D347B15"/>
    <w:rsid w:val="5D350048"/>
    <w:rsid w:val="5D395970"/>
    <w:rsid w:val="5D3B0638"/>
    <w:rsid w:val="5D3D4397"/>
    <w:rsid w:val="5D402245"/>
    <w:rsid w:val="5D470EA6"/>
    <w:rsid w:val="5D507AFC"/>
    <w:rsid w:val="5D513059"/>
    <w:rsid w:val="5D5557BA"/>
    <w:rsid w:val="5D6319FA"/>
    <w:rsid w:val="5D64520A"/>
    <w:rsid w:val="5D660C4D"/>
    <w:rsid w:val="5D686079"/>
    <w:rsid w:val="5D6B3F1C"/>
    <w:rsid w:val="5D6B63AB"/>
    <w:rsid w:val="5D715119"/>
    <w:rsid w:val="5D7D3199"/>
    <w:rsid w:val="5D83155A"/>
    <w:rsid w:val="5D865EAB"/>
    <w:rsid w:val="5D8F4789"/>
    <w:rsid w:val="5D9054EE"/>
    <w:rsid w:val="5D913514"/>
    <w:rsid w:val="5D9472D2"/>
    <w:rsid w:val="5D950F62"/>
    <w:rsid w:val="5D99059A"/>
    <w:rsid w:val="5D9C7FF6"/>
    <w:rsid w:val="5D9D0D9A"/>
    <w:rsid w:val="5DAB16CD"/>
    <w:rsid w:val="5DB63677"/>
    <w:rsid w:val="5DB71F3C"/>
    <w:rsid w:val="5DBB519B"/>
    <w:rsid w:val="5DC46CA7"/>
    <w:rsid w:val="5DC677E7"/>
    <w:rsid w:val="5DD07186"/>
    <w:rsid w:val="5DD46BDF"/>
    <w:rsid w:val="5DD57048"/>
    <w:rsid w:val="5DD66946"/>
    <w:rsid w:val="5DDA1E5B"/>
    <w:rsid w:val="5DDE0D54"/>
    <w:rsid w:val="5DE17301"/>
    <w:rsid w:val="5DE661D8"/>
    <w:rsid w:val="5DE81804"/>
    <w:rsid w:val="5DE81A5E"/>
    <w:rsid w:val="5DEE4B3F"/>
    <w:rsid w:val="5DEE4D52"/>
    <w:rsid w:val="5DEF4C2B"/>
    <w:rsid w:val="5DF503D9"/>
    <w:rsid w:val="5DF67313"/>
    <w:rsid w:val="5DFA6F89"/>
    <w:rsid w:val="5DFD0082"/>
    <w:rsid w:val="5E0146BB"/>
    <w:rsid w:val="5E030FF8"/>
    <w:rsid w:val="5E0823CC"/>
    <w:rsid w:val="5E0B398B"/>
    <w:rsid w:val="5E0B6E3A"/>
    <w:rsid w:val="5E0F7A2A"/>
    <w:rsid w:val="5E153616"/>
    <w:rsid w:val="5E173478"/>
    <w:rsid w:val="5E186816"/>
    <w:rsid w:val="5E187E0E"/>
    <w:rsid w:val="5E1936C1"/>
    <w:rsid w:val="5E1C6781"/>
    <w:rsid w:val="5E1E2EDE"/>
    <w:rsid w:val="5E277A5D"/>
    <w:rsid w:val="5E2C2F98"/>
    <w:rsid w:val="5E2F4652"/>
    <w:rsid w:val="5E327D66"/>
    <w:rsid w:val="5E3B1CAA"/>
    <w:rsid w:val="5E3D2BE6"/>
    <w:rsid w:val="5E442418"/>
    <w:rsid w:val="5E493A1E"/>
    <w:rsid w:val="5E4D3C7A"/>
    <w:rsid w:val="5E4E466F"/>
    <w:rsid w:val="5E4F4C47"/>
    <w:rsid w:val="5E554CB6"/>
    <w:rsid w:val="5E595ED2"/>
    <w:rsid w:val="5E5E5E28"/>
    <w:rsid w:val="5E656D7F"/>
    <w:rsid w:val="5E6761E2"/>
    <w:rsid w:val="5E695CC0"/>
    <w:rsid w:val="5E764908"/>
    <w:rsid w:val="5E774ACD"/>
    <w:rsid w:val="5E793463"/>
    <w:rsid w:val="5E7B17D9"/>
    <w:rsid w:val="5E8563F8"/>
    <w:rsid w:val="5E8E17A9"/>
    <w:rsid w:val="5E8F1B4D"/>
    <w:rsid w:val="5E9E6D9C"/>
    <w:rsid w:val="5EA13BEB"/>
    <w:rsid w:val="5EA15D45"/>
    <w:rsid w:val="5EA32FDD"/>
    <w:rsid w:val="5EA65851"/>
    <w:rsid w:val="5EB53D23"/>
    <w:rsid w:val="5EBC0FDD"/>
    <w:rsid w:val="5EBE6568"/>
    <w:rsid w:val="5EC81C20"/>
    <w:rsid w:val="5ECA146D"/>
    <w:rsid w:val="5ECF5E01"/>
    <w:rsid w:val="5ED04743"/>
    <w:rsid w:val="5ED83DFB"/>
    <w:rsid w:val="5EE5466A"/>
    <w:rsid w:val="5EE74B55"/>
    <w:rsid w:val="5EED66CB"/>
    <w:rsid w:val="5EEF36F0"/>
    <w:rsid w:val="5EF104CA"/>
    <w:rsid w:val="5EF2649D"/>
    <w:rsid w:val="5EFD31E0"/>
    <w:rsid w:val="5F003B97"/>
    <w:rsid w:val="5F01065D"/>
    <w:rsid w:val="5F061AE7"/>
    <w:rsid w:val="5F086037"/>
    <w:rsid w:val="5F091A8D"/>
    <w:rsid w:val="5F0B3E6C"/>
    <w:rsid w:val="5F0F6525"/>
    <w:rsid w:val="5F1C03D8"/>
    <w:rsid w:val="5F2423AE"/>
    <w:rsid w:val="5F26082B"/>
    <w:rsid w:val="5F3574EF"/>
    <w:rsid w:val="5F39401C"/>
    <w:rsid w:val="5F4362D0"/>
    <w:rsid w:val="5F450E45"/>
    <w:rsid w:val="5F46673C"/>
    <w:rsid w:val="5F4F6DA3"/>
    <w:rsid w:val="5F4F6E34"/>
    <w:rsid w:val="5F546D1F"/>
    <w:rsid w:val="5F566561"/>
    <w:rsid w:val="5F580A55"/>
    <w:rsid w:val="5F59354D"/>
    <w:rsid w:val="5F5A77F6"/>
    <w:rsid w:val="5F5E597F"/>
    <w:rsid w:val="5F5F477B"/>
    <w:rsid w:val="5F642D67"/>
    <w:rsid w:val="5F6922EF"/>
    <w:rsid w:val="5F6E3271"/>
    <w:rsid w:val="5F747F43"/>
    <w:rsid w:val="5F75644D"/>
    <w:rsid w:val="5F7D47B6"/>
    <w:rsid w:val="5F7F7BDF"/>
    <w:rsid w:val="5F8117DA"/>
    <w:rsid w:val="5F8312DA"/>
    <w:rsid w:val="5F867245"/>
    <w:rsid w:val="5F8679F1"/>
    <w:rsid w:val="5F887855"/>
    <w:rsid w:val="5F913D38"/>
    <w:rsid w:val="5F950EED"/>
    <w:rsid w:val="5F9F743D"/>
    <w:rsid w:val="5F9F7E7B"/>
    <w:rsid w:val="5FA14245"/>
    <w:rsid w:val="5FA27C7F"/>
    <w:rsid w:val="5FA81779"/>
    <w:rsid w:val="5FAA19AB"/>
    <w:rsid w:val="5FB068C2"/>
    <w:rsid w:val="5FB34122"/>
    <w:rsid w:val="5FB3544C"/>
    <w:rsid w:val="5FB4243A"/>
    <w:rsid w:val="5FB62BF4"/>
    <w:rsid w:val="5FB6455A"/>
    <w:rsid w:val="5FB66D4A"/>
    <w:rsid w:val="5FBF404B"/>
    <w:rsid w:val="5FC013BA"/>
    <w:rsid w:val="5FC653A3"/>
    <w:rsid w:val="5FC84E92"/>
    <w:rsid w:val="5FC8782F"/>
    <w:rsid w:val="5FC92271"/>
    <w:rsid w:val="5FD17733"/>
    <w:rsid w:val="5FD425F2"/>
    <w:rsid w:val="5FD756C7"/>
    <w:rsid w:val="5FD9033C"/>
    <w:rsid w:val="5FDD235E"/>
    <w:rsid w:val="5FE065BF"/>
    <w:rsid w:val="5FE729ED"/>
    <w:rsid w:val="5FE9376A"/>
    <w:rsid w:val="5FF94604"/>
    <w:rsid w:val="5FF97D17"/>
    <w:rsid w:val="60060649"/>
    <w:rsid w:val="600613A1"/>
    <w:rsid w:val="600638A7"/>
    <w:rsid w:val="6007252C"/>
    <w:rsid w:val="600861FD"/>
    <w:rsid w:val="600A7812"/>
    <w:rsid w:val="60113954"/>
    <w:rsid w:val="60127250"/>
    <w:rsid w:val="6014382B"/>
    <w:rsid w:val="601445BE"/>
    <w:rsid w:val="60173C44"/>
    <w:rsid w:val="60177076"/>
    <w:rsid w:val="601C3BB4"/>
    <w:rsid w:val="601C67E4"/>
    <w:rsid w:val="60283AC7"/>
    <w:rsid w:val="602B7797"/>
    <w:rsid w:val="602F12C4"/>
    <w:rsid w:val="603552FD"/>
    <w:rsid w:val="604739FE"/>
    <w:rsid w:val="6049165F"/>
    <w:rsid w:val="604B1650"/>
    <w:rsid w:val="604B2E76"/>
    <w:rsid w:val="604F57EA"/>
    <w:rsid w:val="60527C26"/>
    <w:rsid w:val="607A7A46"/>
    <w:rsid w:val="607E7EFB"/>
    <w:rsid w:val="607F594A"/>
    <w:rsid w:val="60810636"/>
    <w:rsid w:val="608C0FAB"/>
    <w:rsid w:val="608E191C"/>
    <w:rsid w:val="609C79BB"/>
    <w:rsid w:val="609E6EA5"/>
    <w:rsid w:val="60A06A13"/>
    <w:rsid w:val="60A72150"/>
    <w:rsid w:val="60AC330C"/>
    <w:rsid w:val="60AE2168"/>
    <w:rsid w:val="60B079E8"/>
    <w:rsid w:val="60B12951"/>
    <w:rsid w:val="60BB4F84"/>
    <w:rsid w:val="60BD57DD"/>
    <w:rsid w:val="60C30028"/>
    <w:rsid w:val="60C36640"/>
    <w:rsid w:val="60C44F43"/>
    <w:rsid w:val="60C64ED3"/>
    <w:rsid w:val="60CD3BB2"/>
    <w:rsid w:val="60D41A7B"/>
    <w:rsid w:val="60D836DF"/>
    <w:rsid w:val="60DE1CF2"/>
    <w:rsid w:val="60E12209"/>
    <w:rsid w:val="60E63F6F"/>
    <w:rsid w:val="60F10F85"/>
    <w:rsid w:val="60F404F3"/>
    <w:rsid w:val="60F85ED8"/>
    <w:rsid w:val="60FC21EF"/>
    <w:rsid w:val="60FC2E6B"/>
    <w:rsid w:val="60FE4213"/>
    <w:rsid w:val="60FF3B22"/>
    <w:rsid w:val="610568E4"/>
    <w:rsid w:val="61083330"/>
    <w:rsid w:val="61153821"/>
    <w:rsid w:val="61156D6D"/>
    <w:rsid w:val="611C5513"/>
    <w:rsid w:val="612152A9"/>
    <w:rsid w:val="612449E2"/>
    <w:rsid w:val="61394B85"/>
    <w:rsid w:val="613A757F"/>
    <w:rsid w:val="613B251C"/>
    <w:rsid w:val="61447752"/>
    <w:rsid w:val="614740BC"/>
    <w:rsid w:val="614769B0"/>
    <w:rsid w:val="6148472B"/>
    <w:rsid w:val="614C15A0"/>
    <w:rsid w:val="61566DFF"/>
    <w:rsid w:val="61587AC9"/>
    <w:rsid w:val="61595D88"/>
    <w:rsid w:val="61604B2E"/>
    <w:rsid w:val="616320E2"/>
    <w:rsid w:val="616730E4"/>
    <w:rsid w:val="616931A7"/>
    <w:rsid w:val="616C3AA7"/>
    <w:rsid w:val="616D0802"/>
    <w:rsid w:val="616D3DB7"/>
    <w:rsid w:val="616F032A"/>
    <w:rsid w:val="61700D35"/>
    <w:rsid w:val="61732C7E"/>
    <w:rsid w:val="61761829"/>
    <w:rsid w:val="617B1AEE"/>
    <w:rsid w:val="618146B4"/>
    <w:rsid w:val="618D05AE"/>
    <w:rsid w:val="618F31B9"/>
    <w:rsid w:val="618F4C2C"/>
    <w:rsid w:val="619219BC"/>
    <w:rsid w:val="61923F5C"/>
    <w:rsid w:val="61954539"/>
    <w:rsid w:val="619B651D"/>
    <w:rsid w:val="619E4492"/>
    <w:rsid w:val="61A267BA"/>
    <w:rsid w:val="61A40CC1"/>
    <w:rsid w:val="61AA7502"/>
    <w:rsid w:val="61AD0A03"/>
    <w:rsid w:val="61AE6484"/>
    <w:rsid w:val="61B0305F"/>
    <w:rsid w:val="61B25AE8"/>
    <w:rsid w:val="61B8049E"/>
    <w:rsid w:val="61B876E8"/>
    <w:rsid w:val="61BF34D0"/>
    <w:rsid w:val="61C20823"/>
    <w:rsid w:val="61C84394"/>
    <w:rsid w:val="61CC180F"/>
    <w:rsid w:val="61CC6DC2"/>
    <w:rsid w:val="61CE1C02"/>
    <w:rsid w:val="61D55ECF"/>
    <w:rsid w:val="61D569A2"/>
    <w:rsid w:val="61DA2A3A"/>
    <w:rsid w:val="61DA5BF9"/>
    <w:rsid w:val="61DA763C"/>
    <w:rsid w:val="61DD630B"/>
    <w:rsid w:val="61E22077"/>
    <w:rsid w:val="61E324ED"/>
    <w:rsid w:val="61F25DA2"/>
    <w:rsid w:val="61F35090"/>
    <w:rsid w:val="61F478CC"/>
    <w:rsid w:val="61F514E2"/>
    <w:rsid w:val="61F902DB"/>
    <w:rsid w:val="61F90E94"/>
    <w:rsid w:val="61F90F44"/>
    <w:rsid w:val="61F912F3"/>
    <w:rsid w:val="61F95150"/>
    <w:rsid w:val="61FC5BFF"/>
    <w:rsid w:val="61FF230F"/>
    <w:rsid w:val="62017624"/>
    <w:rsid w:val="620369D4"/>
    <w:rsid w:val="62042D55"/>
    <w:rsid w:val="62064E46"/>
    <w:rsid w:val="6207561A"/>
    <w:rsid w:val="62106B65"/>
    <w:rsid w:val="6213462C"/>
    <w:rsid w:val="6213612B"/>
    <w:rsid w:val="62142F59"/>
    <w:rsid w:val="62156232"/>
    <w:rsid w:val="621621CC"/>
    <w:rsid w:val="621E666C"/>
    <w:rsid w:val="622601B5"/>
    <w:rsid w:val="622610C3"/>
    <w:rsid w:val="6229527B"/>
    <w:rsid w:val="622C42A4"/>
    <w:rsid w:val="622F2157"/>
    <w:rsid w:val="62312A77"/>
    <w:rsid w:val="623A210A"/>
    <w:rsid w:val="623F11D5"/>
    <w:rsid w:val="62435A55"/>
    <w:rsid w:val="624A1AD1"/>
    <w:rsid w:val="624B703B"/>
    <w:rsid w:val="62532260"/>
    <w:rsid w:val="625347F0"/>
    <w:rsid w:val="62551D6E"/>
    <w:rsid w:val="62577901"/>
    <w:rsid w:val="62597BCF"/>
    <w:rsid w:val="62664F6F"/>
    <w:rsid w:val="626B108F"/>
    <w:rsid w:val="6270218B"/>
    <w:rsid w:val="6273294D"/>
    <w:rsid w:val="627D60E0"/>
    <w:rsid w:val="62814786"/>
    <w:rsid w:val="62826229"/>
    <w:rsid w:val="62836A21"/>
    <w:rsid w:val="62856DC7"/>
    <w:rsid w:val="62857BF3"/>
    <w:rsid w:val="62893748"/>
    <w:rsid w:val="629035BA"/>
    <w:rsid w:val="629047E4"/>
    <w:rsid w:val="629A3449"/>
    <w:rsid w:val="629B36BB"/>
    <w:rsid w:val="629F56B4"/>
    <w:rsid w:val="62A22215"/>
    <w:rsid w:val="62A34B7D"/>
    <w:rsid w:val="62A40759"/>
    <w:rsid w:val="62A72F41"/>
    <w:rsid w:val="62AB62B3"/>
    <w:rsid w:val="62AE6A69"/>
    <w:rsid w:val="62B754D2"/>
    <w:rsid w:val="62BC5E04"/>
    <w:rsid w:val="62BE10C8"/>
    <w:rsid w:val="62C26385"/>
    <w:rsid w:val="62C91B6D"/>
    <w:rsid w:val="62CD7767"/>
    <w:rsid w:val="62CE1CBB"/>
    <w:rsid w:val="62D05A5E"/>
    <w:rsid w:val="62D11F05"/>
    <w:rsid w:val="62D87808"/>
    <w:rsid w:val="62E20716"/>
    <w:rsid w:val="62E316AA"/>
    <w:rsid w:val="62E42F26"/>
    <w:rsid w:val="62ED2CEB"/>
    <w:rsid w:val="62EE287A"/>
    <w:rsid w:val="62F073FE"/>
    <w:rsid w:val="62F21B80"/>
    <w:rsid w:val="62F7554A"/>
    <w:rsid w:val="62FD0594"/>
    <w:rsid w:val="62FD34B6"/>
    <w:rsid w:val="63072709"/>
    <w:rsid w:val="630E29B0"/>
    <w:rsid w:val="6311587B"/>
    <w:rsid w:val="631704EC"/>
    <w:rsid w:val="63182D4E"/>
    <w:rsid w:val="63191CA6"/>
    <w:rsid w:val="631E6247"/>
    <w:rsid w:val="63200DCE"/>
    <w:rsid w:val="63252034"/>
    <w:rsid w:val="6327033A"/>
    <w:rsid w:val="6328290B"/>
    <w:rsid w:val="633336B9"/>
    <w:rsid w:val="633547DF"/>
    <w:rsid w:val="63356770"/>
    <w:rsid w:val="633863FC"/>
    <w:rsid w:val="633A3442"/>
    <w:rsid w:val="633C613A"/>
    <w:rsid w:val="633E6396"/>
    <w:rsid w:val="634249FD"/>
    <w:rsid w:val="634A336C"/>
    <w:rsid w:val="634A6531"/>
    <w:rsid w:val="63503960"/>
    <w:rsid w:val="63514103"/>
    <w:rsid w:val="63544132"/>
    <w:rsid w:val="63571401"/>
    <w:rsid w:val="63671AE4"/>
    <w:rsid w:val="6373110F"/>
    <w:rsid w:val="637A1B0F"/>
    <w:rsid w:val="637B4787"/>
    <w:rsid w:val="637B5AB4"/>
    <w:rsid w:val="637F1E16"/>
    <w:rsid w:val="63821689"/>
    <w:rsid w:val="638A3ADE"/>
    <w:rsid w:val="638B3178"/>
    <w:rsid w:val="638B363F"/>
    <w:rsid w:val="638D3F5D"/>
    <w:rsid w:val="639212E9"/>
    <w:rsid w:val="63943846"/>
    <w:rsid w:val="63A024F3"/>
    <w:rsid w:val="63A05470"/>
    <w:rsid w:val="63A42BE1"/>
    <w:rsid w:val="63A952D2"/>
    <w:rsid w:val="63B6516B"/>
    <w:rsid w:val="63BF5704"/>
    <w:rsid w:val="63C2385A"/>
    <w:rsid w:val="63C4212E"/>
    <w:rsid w:val="63C577BA"/>
    <w:rsid w:val="63CB1101"/>
    <w:rsid w:val="63CC5055"/>
    <w:rsid w:val="63D264C4"/>
    <w:rsid w:val="63DA078A"/>
    <w:rsid w:val="63E040A5"/>
    <w:rsid w:val="63E25BF0"/>
    <w:rsid w:val="63E756F6"/>
    <w:rsid w:val="63F666D6"/>
    <w:rsid w:val="63FB4C19"/>
    <w:rsid w:val="64027A28"/>
    <w:rsid w:val="64081D6E"/>
    <w:rsid w:val="64083FF6"/>
    <w:rsid w:val="640A68B9"/>
    <w:rsid w:val="640B094A"/>
    <w:rsid w:val="640B4A1B"/>
    <w:rsid w:val="640C5B66"/>
    <w:rsid w:val="6412572D"/>
    <w:rsid w:val="64126543"/>
    <w:rsid w:val="64132893"/>
    <w:rsid w:val="64160B78"/>
    <w:rsid w:val="64190009"/>
    <w:rsid w:val="64193136"/>
    <w:rsid w:val="641A47DC"/>
    <w:rsid w:val="641B59C5"/>
    <w:rsid w:val="641F3B99"/>
    <w:rsid w:val="642A75A7"/>
    <w:rsid w:val="642F444B"/>
    <w:rsid w:val="6435075D"/>
    <w:rsid w:val="6436148D"/>
    <w:rsid w:val="64372E56"/>
    <w:rsid w:val="643A3318"/>
    <w:rsid w:val="643D0415"/>
    <w:rsid w:val="643F45C1"/>
    <w:rsid w:val="643F4CF5"/>
    <w:rsid w:val="64431A3E"/>
    <w:rsid w:val="64440E57"/>
    <w:rsid w:val="644B40EC"/>
    <w:rsid w:val="644D66E0"/>
    <w:rsid w:val="64556E0C"/>
    <w:rsid w:val="645629B4"/>
    <w:rsid w:val="645B6A24"/>
    <w:rsid w:val="645D2192"/>
    <w:rsid w:val="64617C69"/>
    <w:rsid w:val="64642235"/>
    <w:rsid w:val="64650D6F"/>
    <w:rsid w:val="646F223B"/>
    <w:rsid w:val="64722C17"/>
    <w:rsid w:val="6474290B"/>
    <w:rsid w:val="6474627C"/>
    <w:rsid w:val="647540AD"/>
    <w:rsid w:val="64764928"/>
    <w:rsid w:val="647F6902"/>
    <w:rsid w:val="64910FE6"/>
    <w:rsid w:val="64925DC6"/>
    <w:rsid w:val="64961557"/>
    <w:rsid w:val="64A34B3D"/>
    <w:rsid w:val="64A46DA7"/>
    <w:rsid w:val="64A77FAA"/>
    <w:rsid w:val="64AA414E"/>
    <w:rsid w:val="64AA7F3E"/>
    <w:rsid w:val="64AE0921"/>
    <w:rsid w:val="64B475B7"/>
    <w:rsid w:val="64B6773F"/>
    <w:rsid w:val="64BC6D4D"/>
    <w:rsid w:val="64BE7488"/>
    <w:rsid w:val="64C34CB9"/>
    <w:rsid w:val="64C361A9"/>
    <w:rsid w:val="64C51005"/>
    <w:rsid w:val="64C55275"/>
    <w:rsid w:val="64C670AD"/>
    <w:rsid w:val="64C723CC"/>
    <w:rsid w:val="64CD4140"/>
    <w:rsid w:val="64CE1A4D"/>
    <w:rsid w:val="64CE290C"/>
    <w:rsid w:val="64D07099"/>
    <w:rsid w:val="64D075C0"/>
    <w:rsid w:val="64D354CF"/>
    <w:rsid w:val="64D96AD1"/>
    <w:rsid w:val="64E43D76"/>
    <w:rsid w:val="64E54CEF"/>
    <w:rsid w:val="64EB3586"/>
    <w:rsid w:val="64EF5612"/>
    <w:rsid w:val="64F07E7A"/>
    <w:rsid w:val="64F23EB8"/>
    <w:rsid w:val="64F40AE1"/>
    <w:rsid w:val="64F62DD5"/>
    <w:rsid w:val="64F96FA0"/>
    <w:rsid w:val="64FD556E"/>
    <w:rsid w:val="64FD7A46"/>
    <w:rsid w:val="64FE5F36"/>
    <w:rsid w:val="65003845"/>
    <w:rsid w:val="65017C52"/>
    <w:rsid w:val="650228F0"/>
    <w:rsid w:val="65041826"/>
    <w:rsid w:val="65044D28"/>
    <w:rsid w:val="65063D8D"/>
    <w:rsid w:val="65067B68"/>
    <w:rsid w:val="650A5C79"/>
    <w:rsid w:val="650C4102"/>
    <w:rsid w:val="650F77F3"/>
    <w:rsid w:val="651104B3"/>
    <w:rsid w:val="65123BD4"/>
    <w:rsid w:val="65156E23"/>
    <w:rsid w:val="65166FE4"/>
    <w:rsid w:val="65194957"/>
    <w:rsid w:val="6519665B"/>
    <w:rsid w:val="6521089E"/>
    <w:rsid w:val="652332FE"/>
    <w:rsid w:val="65251CF1"/>
    <w:rsid w:val="65292CFC"/>
    <w:rsid w:val="65296DAA"/>
    <w:rsid w:val="652B4E82"/>
    <w:rsid w:val="652B7355"/>
    <w:rsid w:val="652E4426"/>
    <w:rsid w:val="6533302C"/>
    <w:rsid w:val="653B174C"/>
    <w:rsid w:val="653F775B"/>
    <w:rsid w:val="65435E15"/>
    <w:rsid w:val="654652F5"/>
    <w:rsid w:val="654852B9"/>
    <w:rsid w:val="654D2A6E"/>
    <w:rsid w:val="655009C3"/>
    <w:rsid w:val="655140F9"/>
    <w:rsid w:val="65566784"/>
    <w:rsid w:val="65571967"/>
    <w:rsid w:val="655D13BA"/>
    <w:rsid w:val="656433B7"/>
    <w:rsid w:val="6568492E"/>
    <w:rsid w:val="656F428E"/>
    <w:rsid w:val="65712CFF"/>
    <w:rsid w:val="6572765C"/>
    <w:rsid w:val="657656B2"/>
    <w:rsid w:val="657A7CC8"/>
    <w:rsid w:val="658072D7"/>
    <w:rsid w:val="65811741"/>
    <w:rsid w:val="65836EB8"/>
    <w:rsid w:val="65871F3B"/>
    <w:rsid w:val="65875C07"/>
    <w:rsid w:val="658C43CE"/>
    <w:rsid w:val="658E27D9"/>
    <w:rsid w:val="6590673C"/>
    <w:rsid w:val="65987CFB"/>
    <w:rsid w:val="659F4F5F"/>
    <w:rsid w:val="65AE47A5"/>
    <w:rsid w:val="65B14694"/>
    <w:rsid w:val="65B46BD4"/>
    <w:rsid w:val="65B5105F"/>
    <w:rsid w:val="65B948F5"/>
    <w:rsid w:val="65C01C2B"/>
    <w:rsid w:val="65C21D1F"/>
    <w:rsid w:val="65C558A7"/>
    <w:rsid w:val="65C66E83"/>
    <w:rsid w:val="65C92256"/>
    <w:rsid w:val="65CA4A1D"/>
    <w:rsid w:val="65D6579D"/>
    <w:rsid w:val="65D67B63"/>
    <w:rsid w:val="65DA10C1"/>
    <w:rsid w:val="65DE5211"/>
    <w:rsid w:val="65DF2304"/>
    <w:rsid w:val="65E3395E"/>
    <w:rsid w:val="65E36E68"/>
    <w:rsid w:val="65E50958"/>
    <w:rsid w:val="65E73D0F"/>
    <w:rsid w:val="65E76B82"/>
    <w:rsid w:val="65EF6D3B"/>
    <w:rsid w:val="65F01BBA"/>
    <w:rsid w:val="65F555D7"/>
    <w:rsid w:val="65F86C57"/>
    <w:rsid w:val="65FC532F"/>
    <w:rsid w:val="66053D34"/>
    <w:rsid w:val="66064422"/>
    <w:rsid w:val="660E6D68"/>
    <w:rsid w:val="660F72A9"/>
    <w:rsid w:val="66124A48"/>
    <w:rsid w:val="6614055F"/>
    <w:rsid w:val="661B5A3A"/>
    <w:rsid w:val="661F371A"/>
    <w:rsid w:val="66204943"/>
    <w:rsid w:val="66275869"/>
    <w:rsid w:val="662A07D8"/>
    <w:rsid w:val="663862FC"/>
    <w:rsid w:val="663C28A3"/>
    <w:rsid w:val="663C3023"/>
    <w:rsid w:val="663C4D31"/>
    <w:rsid w:val="66414465"/>
    <w:rsid w:val="66462B59"/>
    <w:rsid w:val="66474ABE"/>
    <w:rsid w:val="664F287C"/>
    <w:rsid w:val="664F3CCC"/>
    <w:rsid w:val="66505FB4"/>
    <w:rsid w:val="66512220"/>
    <w:rsid w:val="6657617C"/>
    <w:rsid w:val="665A75C9"/>
    <w:rsid w:val="665E5E53"/>
    <w:rsid w:val="66604DB5"/>
    <w:rsid w:val="66694D3B"/>
    <w:rsid w:val="666D468D"/>
    <w:rsid w:val="666E21C1"/>
    <w:rsid w:val="668921C5"/>
    <w:rsid w:val="668E69C8"/>
    <w:rsid w:val="669F062D"/>
    <w:rsid w:val="66A04DA0"/>
    <w:rsid w:val="66B0741D"/>
    <w:rsid w:val="66B13127"/>
    <w:rsid w:val="66B739FC"/>
    <w:rsid w:val="66BF2CA6"/>
    <w:rsid w:val="66C40AC4"/>
    <w:rsid w:val="66C55110"/>
    <w:rsid w:val="66C63C68"/>
    <w:rsid w:val="66CA17D6"/>
    <w:rsid w:val="66CC0C98"/>
    <w:rsid w:val="66D14D3C"/>
    <w:rsid w:val="66E23F83"/>
    <w:rsid w:val="66E55592"/>
    <w:rsid w:val="66E70968"/>
    <w:rsid w:val="66FC3928"/>
    <w:rsid w:val="66FF33BE"/>
    <w:rsid w:val="67086E07"/>
    <w:rsid w:val="670C58F8"/>
    <w:rsid w:val="670D1C8E"/>
    <w:rsid w:val="67137195"/>
    <w:rsid w:val="6715695A"/>
    <w:rsid w:val="671A75A3"/>
    <w:rsid w:val="671D0ACB"/>
    <w:rsid w:val="671E730A"/>
    <w:rsid w:val="6725442A"/>
    <w:rsid w:val="67281E77"/>
    <w:rsid w:val="672A5CBC"/>
    <w:rsid w:val="672B46D3"/>
    <w:rsid w:val="67304696"/>
    <w:rsid w:val="67391B0E"/>
    <w:rsid w:val="673C3A9A"/>
    <w:rsid w:val="67436A0A"/>
    <w:rsid w:val="67450A89"/>
    <w:rsid w:val="674D6C11"/>
    <w:rsid w:val="675435DB"/>
    <w:rsid w:val="67557881"/>
    <w:rsid w:val="675666D9"/>
    <w:rsid w:val="67646071"/>
    <w:rsid w:val="67666325"/>
    <w:rsid w:val="67673BD8"/>
    <w:rsid w:val="676A61D1"/>
    <w:rsid w:val="67710912"/>
    <w:rsid w:val="67711A70"/>
    <w:rsid w:val="6771419D"/>
    <w:rsid w:val="677166AA"/>
    <w:rsid w:val="67796320"/>
    <w:rsid w:val="67796D0E"/>
    <w:rsid w:val="677C27AE"/>
    <w:rsid w:val="677E1D69"/>
    <w:rsid w:val="67826D11"/>
    <w:rsid w:val="678D33CE"/>
    <w:rsid w:val="678E39FE"/>
    <w:rsid w:val="67900E59"/>
    <w:rsid w:val="67932A39"/>
    <w:rsid w:val="67966F14"/>
    <w:rsid w:val="679E142D"/>
    <w:rsid w:val="67A371CC"/>
    <w:rsid w:val="67AD4A3C"/>
    <w:rsid w:val="67B61F1A"/>
    <w:rsid w:val="67B649ED"/>
    <w:rsid w:val="67BD731D"/>
    <w:rsid w:val="67C03D8F"/>
    <w:rsid w:val="67C11496"/>
    <w:rsid w:val="67CD1CBB"/>
    <w:rsid w:val="67D458FB"/>
    <w:rsid w:val="67DB4E48"/>
    <w:rsid w:val="67DC07A9"/>
    <w:rsid w:val="67E74651"/>
    <w:rsid w:val="67EA3441"/>
    <w:rsid w:val="67EB221B"/>
    <w:rsid w:val="67EE7C8D"/>
    <w:rsid w:val="67F407ED"/>
    <w:rsid w:val="67F76DE3"/>
    <w:rsid w:val="67F85780"/>
    <w:rsid w:val="67FD47D7"/>
    <w:rsid w:val="67FE5DDA"/>
    <w:rsid w:val="67FF071A"/>
    <w:rsid w:val="68013768"/>
    <w:rsid w:val="6802249B"/>
    <w:rsid w:val="68056E21"/>
    <w:rsid w:val="6806687D"/>
    <w:rsid w:val="680C3C38"/>
    <w:rsid w:val="680E4AE4"/>
    <w:rsid w:val="6810267B"/>
    <w:rsid w:val="68194464"/>
    <w:rsid w:val="681B1A62"/>
    <w:rsid w:val="68271251"/>
    <w:rsid w:val="68281896"/>
    <w:rsid w:val="682C3823"/>
    <w:rsid w:val="683575B9"/>
    <w:rsid w:val="683E3252"/>
    <w:rsid w:val="683F1B0B"/>
    <w:rsid w:val="68455833"/>
    <w:rsid w:val="6848060F"/>
    <w:rsid w:val="684A5A9F"/>
    <w:rsid w:val="684D34E9"/>
    <w:rsid w:val="684E1EA1"/>
    <w:rsid w:val="68517318"/>
    <w:rsid w:val="685362CB"/>
    <w:rsid w:val="685475FD"/>
    <w:rsid w:val="68567229"/>
    <w:rsid w:val="68612B33"/>
    <w:rsid w:val="68692CC3"/>
    <w:rsid w:val="686D4BAA"/>
    <w:rsid w:val="686F226B"/>
    <w:rsid w:val="687321EA"/>
    <w:rsid w:val="687B3DE6"/>
    <w:rsid w:val="68843AB9"/>
    <w:rsid w:val="68862C5C"/>
    <w:rsid w:val="688923CA"/>
    <w:rsid w:val="688C5A4F"/>
    <w:rsid w:val="688C73B0"/>
    <w:rsid w:val="688C7A1B"/>
    <w:rsid w:val="688E35FF"/>
    <w:rsid w:val="68976010"/>
    <w:rsid w:val="68993036"/>
    <w:rsid w:val="689B28BD"/>
    <w:rsid w:val="689D1B55"/>
    <w:rsid w:val="68A36939"/>
    <w:rsid w:val="68A64B70"/>
    <w:rsid w:val="68A85E41"/>
    <w:rsid w:val="68AC36CB"/>
    <w:rsid w:val="68AE7F2C"/>
    <w:rsid w:val="68B02D49"/>
    <w:rsid w:val="68B328F2"/>
    <w:rsid w:val="68BC13A9"/>
    <w:rsid w:val="68C223AD"/>
    <w:rsid w:val="68C23785"/>
    <w:rsid w:val="68C416C6"/>
    <w:rsid w:val="68C47DC8"/>
    <w:rsid w:val="68C5307D"/>
    <w:rsid w:val="68C62AB7"/>
    <w:rsid w:val="68C74398"/>
    <w:rsid w:val="68CA6310"/>
    <w:rsid w:val="68CB18E5"/>
    <w:rsid w:val="68D671D1"/>
    <w:rsid w:val="68D76EA6"/>
    <w:rsid w:val="68DE6DAC"/>
    <w:rsid w:val="68DF0D2B"/>
    <w:rsid w:val="68DF284B"/>
    <w:rsid w:val="68E03B1B"/>
    <w:rsid w:val="68E4146B"/>
    <w:rsid w:val="68E5221E"/>
    <w:rsid w:val="68F22C33"/>
    <w:rsid w:val="68F266C8"/>
    <w:rsid w:val="68FA1B7F"/>
    <w:rsid w:val="68FB0655"/>
    <w:rsid w:val="68FB7D3F"/>
    <w:rsid w:val="68FE38B7"/>
    <w:rsid w:val="68FF766C"/>
    <w:rsid w:val="690116C2"/>
    <w:rsid w:val="690403B7"/>
    <w:rsid w:val="6904362B"/>
    <w:rsid w:val="6909306C"/>
    <w:rsid w:val="690B3B20"/>
    <w:rsid w:val="690D0183"/>
    <w:rsid w:val="69100093"/>
    <w:rsid w:val="69100A0E"/>
    <w:rsid w:val="69137F70"/>
    <w:rsid w:val="69152AE1"/>
    <w:rsid w:val="69184E29"/>
    <w:rsid w:val="691C0105"/>
    <w:rsid w:val="691E119D"/>
    <w:rsid w:val="691F5370"/>
    <w:rsid w:val="69202510"/>
    <w:rsid w:val="69217418"/>
    <w:rsid w:val="69231179"/>
    <w:rsid w:val="692F2DBD"/>
    <w:rsid w:val="6931371A"/>
    <w:rsid w:val="69322BD0"/>
    <w:rsid w:val="693B05B8"/>
    <w:rsid w:val="693D214B"/>
    <w:rsid w:val="693D3216"/>
    <w:rsid w:val="69400733"/>
    <w:rsid w:val="694A158F"/>
    <w:rsid w:val="694C5DFD"/>
    <w:rsid w:val="695609CC"/>
    <w:rsid w:val="69564083"/>
    <w:rsid w:val="69572D2B"/>
    <w:rsid w:val="695C05CD"/>
    <w:rsid w:val="695C53D2"/>
    <w:rsid w:val="69612A3E"/>
    <w:rsid w:val="696A42E9"/>
    <w:rsid w:val="696F5EFE"/>
    <w:rsid w:val="69726269"/>
    <w:rsid w:val="6976487A"/>
    <w:rsid w:val="697B6784"/>
    <w:rsid w:val="697F198B"/>
    <w:rsid w:val="6981664A"/>
    <w:rsid w:val="69831317"/>
    <w:rsid w:val="698429A5"/>
    <w:rsid w:val="698B58BF"/>
    <w:rsid w:val="69933736"/>
    <w:rsid w:val="699508EC"/>
    <w:rsid w:val="69953836"/>
    <w:rsid w:val="699643E7"/>
    <w:rsid w:val="69993D5A"/>
    <w:rsid w:val="69A0750E"/>
    <w:rsid w:val="69A61BD9"/>
    <w:rsid w:val="69B21FF0"/>
    <w:rsid w:val="69B71841"/>
    <w:rsid w:val="69B920F5"/>
    <w:rsid w:val="69BA1964"/>
    <w:rsid w:val="69C11F71"/>
    <w:rsid w:val="69C26233"/>
    <w:rsid w:val="69C704B1"/>
    <w:rsid w:val="69D05D97"/>
    <w:rsid w:val="69D255AD"/>
    <w:rsid w:val="69D51D8A"/>
    <w:rsid w:val="69D64412"/>
    <w:rsid w:val="69E52A4D"/>
    <w:rsid w:val="69E720C3"/>
    <w:rsid w:val="69E74D72"/>
    <w:rsid w:val="69F064E7"/>
    <w:rsid w:val="69F9736F"/>
    <w:rsid w:val="69FD2A4A"/>
    <w:rsid w:val="69FF7366"/>
    <w:rsid w:val="6A066C98"/>
    <w:rsid w:val="6A084C60"/>
    <w:rsid w:val="6A0D387A"/>
    <w:rsid w:val="6A0F0BC6"/>
    <w:rsid w:val="6A0F1EB7"/>
    <w:rsid w:val="6A1E1F54"/>
    <w:rsid w:val="6A1F28CD"/>
    <w:rsid w:val="6A2261BF"/>
    <w:rsid w:val="6A274C32"/>
    <w:rsid w:val="6A2D0FC8"/>
    <w:rsid w:val="6A2D13E7"/>
    <w:rsid w:val="6A2E2848"/>
    <w:rsid w:val="6A347950"/>
    <w:rsid w:val="6A352345"/>
    <w:rsid w:val="6A370826"/>
    <w:rsid w:val="6A404FAA"/>
    <w:rsid w:val="6A45370F"/>
    <w:rsid w:val="6A4947AF"/>
    <w:rsid w:val="6A50156C"/>
    <w:rsid w:val="6A517E21"/>
    <w:rsid w:val="6A535F11"/>
    <w:rsid w:val="6A54267D"/>
    <w:rsid w:val="6A5758D4"/>
    <w:rsid w:val="6A60395C"/>
    <w:rsid w:val="6A6A2AB0"/>
    <w:rsid w:val="6A6B5A6E"/>
    <w:rsid w:val="6A6B76EF"/>
    <w:rsid w:val="6A700EA3"/>
    <w:rsid w:val="6A710DAE"/>
    <w:rsid w:val="6A79314C"/>
    <w:rsid w:val="6A8A4990"/>
    <w:rsid w:val="6A8A6660"/>
    <w:rsid w:val="6A8D1484"/>
    <w:rsid w:val="6A8E2947"/>
    <w:rsid w:val="6A903710"/>
    <w:rsid w:val="6A9126F7"/>
    <w:rsid w:val="6A91651E"/>
    <w:rsid w:val="6A945F27"/>
    <w:rsid w:val="6AA021ED"/>
    <w:rsid w:val="6AA357B6"/>
    <w:rsid w:val="6AA40D18"/>
    <w:rsid w:val="6AAE2BBF"/>
    <w:rsid w:val="6AAE68FB"/>
    <w:rsid w:val="6AB225E9"/>
    <w:rsid w:val="6AB60178"/>
    <w:rsid w:val="6ABA73C9"/>
    <w:rsid w:val="6ABF7F3E"/>
    <w:rsid w:val="6AC00C98"/>
    <w:rsid w:val="6AC57EC3"/>
    <w:rsid w:val="6AC7624E"/>
    <w:rsid w:val="6AC76CDC"/>
    <w:rsid w:val="6AC90FBE"/>
    <w:rsid w:val="6ACA5BBB"/>
    <w:rsid w:val="6ACB358D"/>
    <w:rsid w:val="6ACF46F6"/>
    <w:rsid w:val="6AD2771E"/>
    <w:rsid w:val="6AD314F5"/>
    <w:rsid w:val="6AD54008"/>
    <w:rsid w:val="6ADF6438"/>
    <w:rsid w:val="6AE4367E"/>
    <w:rsid w:val="6AE80F76"/>
    <w:rsid w:val="6AF500A3"/>
    <w:rsid w:val="6AF6666C"/>
    <w:rsid w:val="6B053A6C"/>
    <w:rsid w:val="6B074943"/>
    <w:rsid w:val="6B077BE8"/>
    <w:rsid w:val="6B0E1F57"/>
    <w:rsid w:val="6B154887"/>
    <w:rsid w:val="6B246E1B"/>
    <w:rsid w:val="6B2660B6"/>
    <w:rsid w:val="6B2A52CE"/>
    <w:rsid w:val="6B2C13C9"/>
    <w:rsid w:val="6B3119C4"/>
    <w:rsid w:val="6B313E19"/>
    <w:rsid w:val="6B333B1F"/>
    <w:rsid w:val="6B393C41"/>
    <w:rsid w:val="6B3C27EF"/>
    <w:rsid w:val="6B3C2DBF"/>
    <w:rsid w:val="6B3E1E8A"/>
    <w:rsid w:val="6B3E38BF"/>
    <w:rsid w:val="6B405754"/>
    <w:rsid w:val="6B434FD1"/>
    <w:rsid w:val="6B44709F"/>
    <w:rsid w:val="6B463235"/>
    <w:rsid w:val="6B48504B"/>
    <w:rsid w:val="6B4C18C1"/>
    <w:rsid w:val="6B4C1E8E"/>
    <w:rsid w:val="6B4E4075"/>
    <w:rsid w:val="6B4E437A"/>
    <w:rsid w:val="6B5708A9"/>
    <w:rsid w:val="6B58002F"/>
    <w:rsid w:val="6B5C08F0"/>
    <w:rsid w:val="6B63099D"/>
    <w:rsid w:val="6B640BB8"/>
    <w:rsid w:val="6B6703D5"/>
    <w:rsid w:val="6B68049A"/>
    <w:rsid w:val="6B6805D8"/>
    <w:rsid w:val="6B702E12"/>
    <w:rsid w:val="6B7268A2"/>
    <w:rsid w:val="6B7319CF"/>
    <w:rsid w:val="6B740B28"/>
    <w:rsid w:val="6B7F5B88"/>
    <w:rsid w:val="6B8456B5"/>
    <w:rsid w:val="6B864B53"/>
    <w:rsid w:val="6B876457"/>
    <w:rsid w:val="6B8E1C86"/>
    <w:rsid w:val="6B9032BD"/>
    <w:rsid w:val="6B903379"/>
    <w:rsid w:val="6B95512C"/>
    <w:rsid w:val="6BA74543"/>
    <w:rsid w:val="6BAD1041"/>
    <w:rsid w:val="6BB35C03"/>
    <w:rsid w:val="6BBA7CC0"/>
    <w:rsid w:val="6BC30230"/>
    <w:rsid w:val="6BE1178B"/>
    <w:rsid w:val="6BE733A6"/>
    <w:rsid w:val="6BEA59DA"/>
    <w:rsid w:val="6BED79F1"/>
    <w:rsid w:val="6BEE0BC3"/>
    <w:rsid w:val="6BF12281"/>
    <w:rsid w:val="6BF65588"/>
    <w:rsid w:val="6BFB2753"/>
    <w:rsid w:val="6BFD1695"/>
    <w:rsid w:val="6BFD3C4B"/>
    <w:rsid w:val="6C023DE0"/>
    <w:rsid w:val="6C0621FF"/>
    <w:rsid w:val="6C134E1C"/>
    <w:rsid w:val="6C16025D"/>
    <w:rsid w:val="6C19420F"/>
    <w:rsid w:val="6C1D608E"/>
    <w:rsid w:val="6C2168A5"/>
    <w:rsid w:val="6C237C41"/>
    <w:rsid w:val="6C246650"/>
    <w:rsid w:val="6C265813"/>
    <w:rsid w:val="6C27078B"/>
    <w:rsid w:val="6C2C2497"/>
    <w:rsid w:val="6C2E3030"/>
    <w:rsid w:val="6C330AB0"/>
    <w:rsid w:val="6C344493"/>
    <w:rsid w:val="6C394AB5"/>
    <w:rsid w:val="6C3A665D"/>
    <w:rsid w:val="6C3F30A1"/>
    <w:rsid w:val="6C404D46"/>
    <w:rsid w:val="6C482491"/>
    <w:rsid w:val="6C5662F5"/>
    <w:rsid w:val="6C5776DF"/>
    <w:rsid w:val="6C59778F"/>
    <w:rsid w:val="6C5B4EA9"/>
    <w:rsid w:val="6C5E32A2"/>
    <w:rsid w:val="6C5F2A92"/>
    <w:rsid w:val="6C615051"/>
    <w:rsid w:val="6C656293"/>
    <w:rsid w:val="6C677808"/>
    <w:rsid w:val="6C79301B"/>
    <w:rsid w:val="6C7A4568"/>
    <w:rsid w:val="6C813CFE"/>
    <w:rsid w:val="6C8225F6"/>
    <w:rsid w:val="6C8412DF"/>
    <w:rsid w:val="6C844E30"/>
    <w:rsid w:val="6C8569EA"/>
    <w:rsid w:val="6C910C4F"/>
    <w:rsid w:val="6C9A0554"/>
    <w:rsid w:val="6C9F67E2"/>
    <w:rsid w:val="6CA34017"/>
    <w:rsid w:val="6CAC585C"/>
    <w:rsid w:val="6CB27E43"/>
    <w:rsid w:val="6CB30454"/>
    <w:rsid w:val="6CC51644"/>
    <w:rsid w:val="6CC82FA8"/>
    <w:rsid w:val="6CCB53DF"/>
    <w:rsid w:val="6CCE49E6"/>
    <w:rsid w:val="6CCF1493"/>
    <w:rsid w:val="6CDD2435"/>
    <w:rsid w:val="6CF807A9"/>
    <w:rsid w:val="6CF82846"/>
    <w:rsid w:val="6CF95DCA"/>
    <w:rsid w:val="6CFE482D"/>
    <w:rsid w:val="6D0523E3"/>
    <w:rsid w:val="6D0C3EB7"/>
    <w:rsid w:val="6D120FFE"/>
    <w:rsid w:val="6D140790"/>
    <w:rsid w:val="6D1545FD"/>
    <w:rsid w:val="6D246358"/>
    <w:rsid w:val="6D2F7884"/>
    <w:rsid w:val="6D303DD8"/>
    <w:rsid w:val="6D3421A3"/>
    <w:rsid w:val="6D346C21"/>
    <w:rsid w:val="6D392A1A"/>
    <w:rsid w:val="6D40028F"/>
    <w:rsid w:val="6D401657"/>
    <w:rsid w:val="6D496EAD"/>
    <w:rsid w:val="6D4A03DA"/>
    <w:rsid w:val="6D4E6CD4"/>
    <w:rsid w:val="6D5B148F"/>
    <w:rsid w:val="6D5B3924"/>
    <w:rsid w:val="6D6513A7"/>
    <w:rsid w:val="6D651A92"/>
    <w:rsid w:val="6D67455C"/>
    <w:rsid w:val="6D6B381F"/>
    <w:rsid w:val="6D6B6E5F"/>
    <w:rsid w:val="6D770698"/>
    <w:rsid w:val="6D797DFB"/>
    <w:rsid w:val="6D7D4B4F"/>
    <w:rsid w:val="6D7E5F02"/>
    <w:rsid w:val="6D834BAB"/>
    <w:rsid w:val="6D8B04D8"/>
    <w:rsid w:val="6D8D520F"/>
    <w:rsid w:val="6D932A0C"/>
    <w:rsid w:val="6D93407E"/>
    <w:rsid w:val="6D994B67"/>
    <w:rsid w:val="6D9E09D6"/>
    <w:rsid w:val="6D9E7300"/>
    <w:rsid w:val="6DA11F7D"/>
    <w:rsid w:val="6DA724B6"/>
    <w:rsid w:val="6DA8020C"/>
    <w:rsid w:val="6DA82ED8"/>
    <w:rsid w:val="6DAA2EAB"/>
    <w:rsid w:val="6DAA375A"/>
    <w:rsid w:val="6DAF121E"/>
    <w:rsid w:val="6DB048E9"/>
    <w:rsid w:val="6DB424E7"/>
    <w:rsid w:val="6DB66D15"/>
    <w:rsid w:val="6DB948A7"/>
    <w:rsid w:val="6DBC5E8B"/>
    <w:rsid w:val="6DCA47B8"/>
    <w:rsid w:val="6DCC58ED"/>
    <w:rsid w:val="6DD43A30"/>
    <w:rsid w:val="6DDA32A3"/>
    <w:rsid w:val="6DE918A7"/>
    <w:rsid w:val="6DEA73AE"/>
    <w:rsid w:val="6DF005D0"/>
    <w:rsid w:val="6DF07740"/>
    <w:rsid w:val="6DF31001"/>
    <w:rsid w:val="6DF45798"/>
    <w:rsid w:val="6DF4747E"/>
    <w:rsid w:val="6DF7041E"/>
    <w:rsid w:val="6DFD40E9"/>
    <w:rsid w:val="6DFD61AD"/>
    <w:rsid w:val="6E0360BF"/>
    <w:rsid w:val="6E204279"/>
    <w:rsid w:val="6E216825"/>
    <w:rsid w:val="6E2B6678"/>
    <w:rsid w:val="6E2C19D0"/>
    <w:rsid w:val="6E2F1112"/>
    <w:rsid w:val="6E2F3FD5"/>
    <w:rsid w:val="6E302E88"/>
    <w:rsid w:val="6E305DD4"/>
    <w:rsid w:val="6E3156A3"/>
    <w:rsid w:val="6E320DEC"/>
    <w:rsid w:val="6E3434DF"/>
    <w:rsid w:val="6E352EE9"/>
    <w:rsid w:val="6E363A38"/>
    <w:rsid w:val="6E3F3597"/>
    <w:rsid w:val="6E420793"/>
    <w:rsid w:val="6E44031D"/>
    <w:rsid w:val="6E4455E3"/>
    <w:rsid w:val="6E45218A"/>
    <w:rsid w:val="6E47723E"/>
    <w:rsid w:val="6E4C1934"/>
    <w:rsid w:val="6E4D1D10"/>
    <w:rsid w:val="6E536153"/>
    <w:rsid w:val="6E541023"/>
    <w:rsid w:val="6E5435EE"/>
    <w:rsid w:val="6E546890"/>
    <w:rsid w:val="6E553877"/>
    <w:rsid w:val="6E63134B"/>
    <w:rsid w:val="6E637F72"/>
    <w:rsid w:val="6E6B7B0E"/>
    <w:rsid w:val="6E7B54A4"/>
    <w:rsid w:val="6E80482A"/>
    <w:rsid w:val="6E844E34"/>
    <w:rsid w:val="6E873349"/>
    <w:rsid w:val="6E8D715A"/>
    <w:rsid w:val="6E9141E6"/>
    <w:rsid w:val="6E99460C"/>
    <w:rsid w:val="6E9F239E"/>
    <w:rsid w:val="6EA0417B"/>
    <w:rsid w:val="6EA06878"/>
    <w:rsid w:val="6EAB3BC4"/>
    <w:rsid w:val="6EAD09CD"/>
    <w:rsid w:val="6EB97D76"/>
    <w:rsid w:val="6EBA31F4"/>
    <w:rsid w:val="6EBE53B1"/>
    <w:rsid w:val="6EBF47A1"/>
    <w:rsid w:val="6EC00663"/>
    <w:rsid w:val="6EC170AE"/>
    <w:rsid w:val="6EC33F2A"/>
    <w:rsid w:val="6ED53ED7"/>
    <w:rsid w:val="6EDB037B"/>
    <w:rsid w:val="6EDB3C33"/>
    <w:rsid w:val="6EDD7BF3"/>
    <w:rsid w:val="6EDE787D"/>
    <w:rsid w:val="6EE334D5"/>
    <w:rsid w:val="6EEB6B19"/>
    <w:rsid w:val="6EF6365D"/>
    <w:rsid w:val="6EF72C2B"/>
    <w:rsid w:val="6EF90060"/>
    <w:rsid w:val="6EFA7B7B"/>
    <w:rsid w:val="6F117047"/>
    <w:rsid w:val="6F1521D7"/>
    <w:rsid w:val="6F17601E"/>
    <w:rsid w:val="6F1B249F"/>
    <w:rsid w:val="6F273116"/>
    <w:rsid w:val="6F3979B7"/>
    <w:rsid w:val="6F446B85"/>
    <w:rsid w:val="6F447195"/>
    <w:rsid w:val="6F4661C1"/>
    <w:rsid w:val="6F4E5BE2"/>
    <w:rsid w:val="6F4F0562"/>
    <w:rsid w:val="6F501605"/>
    <w:rsid w:val="6F572E76"/>
    <w:rsid w:val="6F5E3F06"/>
    <w:rsid w:val="6F5F40A6"/>
    <w:rsid w:val="6F603C1D"/>
    <w:rsid w:val="6F643410"/>
    <w:rsid w:val="6F676FB0"/>
    <w:rsid w:val="6F697E0B"/>
    <w:rsid w:val="6F6E3A08"/>
    <w:rsid w:val="6F6F5F8D"/>
    <w:rsid w:val="6F7A0088"/>
    <w:rsid w:val="6F7B5663"/>
    <w:rsid w:val="6F814DAA"/>
    <w:rsid w:val="6F832915"/>
    <w:rsid w:val="6F84304C"/>
    <w:rsid w:val="6F8547A1"/>
    <w:rsid w:val="6F8D202A"/>
    <w:rsid w:val="6F90266B"/>
    <w:rsid w:val="6F946BD7"/>
    <w:rsid w:val="6F9802BF"/>
    <w:rsid w:val="6FA12EF8"/>
    <w:rsid w:val="6FA2139E"/>
    <w:rsid w:val="6FA272F9"/>
    <w:rsid w:val="6FA43987"/>
    <w:rsid w:val="6FA52BD6"/>
    <w:rsid w:val="6FA9066B"/>
    <w:rsid w:val="6FA91746"/>
    <w:rsid w:val="6FAA5008"/>
    <w:rsid w:val="6FAE3F72"/>
    <w:rsid w:val="6FB4194E"/>
    <w:rsid w:val="6FB851AB"/>
    <w:rsid w:val="6FBB4F9D"/>
    <w:rsid w:val="6FBB7CF3"/>
    <w:rsid w:val="6FC07B42"/>
    <w:rsid w:val="6FC73E24"/>
    <w:rsid w:val="6FC74166"/>
    <w:rsid w:val="6FC74F24"/>
    <w:rsid w:val="6FD03FAF"/>
    <w:rsid w:val="6FD46D50"/>
    <w:rsid w:val="6FD651E8"/>
    <w:rsid w:val="6FD96F42"/>
    <w:rsid w:val="6FDD540A"/>
    <w:rsid w:val="6FDE34AC"/>
    <w:rsid w:val="6FE33EA5"/>
    <w:rsid w:val="6FE368F7"/>
    <w:rsid w:val="6FEB1333"/>
    <w:rsid w:val="6FEC43FB"/>
    <w:rsid w:val="6FEE00B9"/>
    <w:rsid w:val="6FEF1700"/>
    <w:rsid w:val="6FF85D7A"/>
    <w:rsid w:val="70052A03"/>
    <w:rsid w:val="7006431D"/>
    <w:rsid w:val="70065389"/>
    <w:rsid w:val="7008022D"/>
    <w:rsid w:val="700E71AF"/>
    <w:rsid w:val="70142AF7"/>
    <w:rsid w:val="70191235"/>
    <w:rsid w:val="701B235B"/>
    <w:rsid w:val="702020CF"/>
    <w:rsid w:val="70297780"/>
    <w:rsid w:val="702B2E50"/>
    <w:rsid w:val="70310061"/>
    <w:rsid w:val="70317B57"/>
    <w:rsid w:val="70401B76"/>
    <w:rsid w:val="70471B12"/>
    <w:rsid w:val="704E172A"/>
    <w:rsid w:val="705054E5"/>
    <w:rsid w:val="70514759"/>
    <w:rsid w:val="70526730"/>
    <w:rsid w:val="70590CFE"/>
    <w:rsid w:val="705B114C"/>
    <w:rsid w:val="70635B52"/>
    <w:rsid w:val="706676B4"/>
    <w:rsid w:val="70691D70"/>
    <w:rsid w:val="706B1E3D"/>
    <w:rsid w:val="70704724"/>
    <w:rsid w:val="707C0EF2"/>
    <w:rsid w:val="707E0B7C"/>
    <w:rsid w:val="707F7788"/>
    <w:rsid w:val="709D2181"/>
    <w:rsid w:val="709D6DEA"/>
    <w:rsid w:val="709F1E88"/>
    <w:rsid w:val="70A53CB7"/>
    <w:rsid w:val="70A738E3"/>
    <w:rsid w:val="70B6242A"/>
    <w:rsid w:val="70BD326A"/>
    <w:rsid w:val="70CA354E"/>
    <w:rsid w:val="70CC38F4"/>
    <w:rsid w:val="70D46510"/>
    <w:rsid w:val="70D52A96"/>
    <w:rsid w:val="70D6353E"/>
    <w:rsid w:val="70D87DB4"/>
    <w:rsid w:val="70DD0793"/>
    <w:rsid w:val="70DD07DA"/>
    <w:rsid w:val="70E36C1E"/>
    <w:rsid w:val="70E935B6"/>
    <w:rsid w:val="70EA613E"/>
    <w:rsid w:val="70F46AA0"/>
    <w:rsid w:val="70FD4836"/>
    <w:rsid w:val="70FE6A47"/>
    <w:rsid w:val="71031443"/>
    <w:rsid w:val="710C59BC"/>
    <w:rsid w:val="71100FA9"/>
    <w:rsid w:val="71123330"/>
    <w:rsid w:val="7117468A"/>
    <w:rsid w:val="711810BA"/>
    <w:rsid w:val="711F7A02"/>
    <w:rsid w:val="71214A20"/>
    <w:rsid w:val="7122200A"/>
    <w:rsid w:val="71231A37"/>
    <w:rsid w:val="712674FD"/>
    <w:rsid w:val="712A2322"/>
    <w:rsid w:val="712A3138"/>
    <w:rsid w:val="712C32A6"/>
    <w:rsid w:val="713E462E"/>
    <w:rsid w:val="71467806"/>
    <w:rsid w:val="714F706C"/>
    <w:rsid w:val="71554E52"/>
    <w:rsid w:val="71565E9A"/>
    <w:rsid w:val="715851BC"/>
    <w:rsid w:val="71642849"/>
    <w:rsid w:val="716C5427"/>
    <w:rsid w:val="716C7C0E"/>
    <w:rsid w:val="716D0D59"/>
    <w:rsid w:val="717370A5"/>
    <w:rsid w:val="717411B0"/>
    <w:rsid w:val="71753518"/>
    <w:rsid w:val="717C6FE6"/>
    <w:rsid w:val="717E1DAA"/>
    <w:rsid w:val="717E7E9D"/>
    <w:rsid w:val="717F24CD"/>
    <w:rsid w:val="71825623"/>
    <w:rsid w:val="718934E9"/>
    <w:rsid w:val="718C23D5"/>
    <w:rsid w:val="718F7BB9"/>
    <w:rsid w:val="7195588A"/>
    <w:rsid w:val="719576D1"/>
    <w:rsid w:val="7197399B"/>
    <w:rsid w:val="719859D1"/>
    <w:rsid w:val="719A6969"/>
    <w:rsid w:val="719E79B9"/>
    <w:rsid w:val="719F19DF"/>
    <w:rsid w:val="71A355EB"/>
    <w:rsid w:val="71B31729"/>
    <w:rsid w:val="71BA4157"/>
    <w:rsid w:val="71BC20FE"/>
    <w:rsid w:val="71C0200F"/>
    <w:rsid w:val="71C22DA2"/>
    <w:rsid w:val="71C73751"/>
    <w:rsid w:val="71CE1159"/>
    <w:rsid w:val="71DA76B0"/>
    <w:rsid w:val="71DE5B37"/>
    <w:rsid w:val="71EF3637"/>
    <w:rsid w:val="71F73C36"/>
    <w:rsid w:val="71F8721F"/>
    <w:rsid w:val="71FB1848"/>
    <w:rsid w:val="71FE17BB"/>
    <w:rsid w:val="720121A4"/>
    <w:rsid w:val="720D2869"/>
    <w:rsid w:val="720F2BF6"/>
    <w:rsid w:val="721B673A"/>
    <w:rsid w:val="72302C33"/>
    <w:rsid w:val="72347BA6"/>
    <w:rsid w:val="72350F0F"/>
    <w:rsid w:val="7236301D"/>
    <w:rsid w:val="723C0387"/>
    <w:rsid w:val="723D1E0F"/>
    <w:rsid w:val="723E3A0D"/>
    <w:rsid w:val="723E61D8"/>
    <w:rsid w:val="7244396D"/>
    <w:rsid w:val="724666E7"/>
    <w:rsid w:val="72472A35"/>
    <w:rsid w:val="724E14F8"/>
    <w:rsid w:val="724E7ED9"/>
    <w:rsid w:val="725368EE"/>
    <w:rsid w:val="72593070"/>
    <w:rsid w:val="725A316B"/>
    <w:rsid w:val="725B1186"/>
    <w:rsid w:val="72601813"/>
    <w:rsid w:val="7263689D"/>
    <w:rsid w:val="72651EFF"/>
    <w:rsid w:val="72686871"/>
    <w:rsid w:val="72707C55"/>
    <w:rsid w:val="727702EF"/>
    <w:rsid w:val="72776890"/>
    <w:rsid w:val="727F235F"/>
    <w:rsid w:val="728225B4"/>
    <w:rsid w:val="728923CC"/>
    <w:rsid w:val="728D5645"/>
    <w:rsid w:val="728E29BA"/>
    <w:rsid w:val="72903CB1"/>
    <w:rsid w:val="729A1EDC"/>
    <w:rsid w:val="729A7F27"/>
    <w:rsid w:val="72A14296"/>
    <w:rsid w:val="72A44FE0"/>
    <w:rsid w:val="72A579B9"/>
    <w:rsid w:val="72AA45E4"/>
    <w:rsid w:val="72B2485B"/>
    <w:rsid w:val="72B91580"/>
    <w:rsid w:val="72C439AF"/>
    <w:rsid w:val="72C563F9"/>
    <w:rsid w:val="72CA2C88"/>
    <w:rsid w:val="72CF00B7"/>
    <w:rsid w:val="72D95AA1"/>
    <w:rsid w:val="72DA3B8D"/>
    <w:rsid w:val="72DE7C9A"/>
    <w:rsid w:val="72E5037C"/>
    <w:rsid w:val="72E67DB7"/>
    <w:rsid w:val="72EB2046"/>
    <w:rsid w:val="72ED590F"/>
    <w:rsid w:val="72F35889"/>
    <w:rsid w:val="72F80A54"/>
    <w:rsid w:val="72F82049"/>
    <w:rsid w:val="72F87945"/>
    <w:rsid w:val="72FB14B8"/>
    <w:rsid w:val="730158CA"/>
    <w:rsid w:val="73020BE8"/>
    <w:rsid w:val="730237C9"/>
    <w:rsid w:val="73070D9E"/>
    <w:rsid w:val="730B6F3D"/>
    <w:rsid w:val="730C7C3B"/>
    <w:rsid w:val="730F59C1"/>
    <w:rsid w:val="73162BED"/>
    <w:rsid w:val="73201F7E"/>
    <w:rsid w:val="73261668"/>
    <w:rsid w:val="73267C21"/>
    <w:rsid w:val="732A391B"/>
    <w:rsid w:val="732C4520"/>
    <w:rsid w:val="732D21F5"/>
    <w:rsid w:val="732D2518"/>
    <w:rsid w:val="732F6E79"/>
    <w:rsid w:val="733444C8"/>
    <w:rsid w:val="7336559C"/>
    <w:rsid w:val="733D4795"/>
    <w:rsid w:val="733E49D8"/>
    <w:rsid w:val="73423C24"/>
    <w:rsid w:val="734312C6"/>
    <w:rsid w:val="73450408"/>
    <w:rsid w:val="73467000"/>
    <w:rsid w:val="73495EC3"/>
    <w:rsid w:val="734B03F6"/>
    <w:rsid w:val="734B5FDE"/>
    <w:rsid w:val="734E3DFF"/>
    <w:rsid w:val="73507237"/>
    <w:rsid w:val="73517242"/>
    <w:rsid w:val="735539FC"/>
    <w:rsid w:val="735A0ED4"/>
    <w:rsid w:val="735A3CC9"/>
    <w:rsid w:val="735F2D35"/>
    <w:rsid w:val="7367606B"/>
    <w:rsid w:val="736A7600"/>
    <w:rsid w:val="736D3AF3"/>
    <w:rsid w:val="736E4748"/>
    <w:rsid w:val="736F6692"/>
    <w:rsid w:val="73732861"/>
    <w:rsid w:val="7379750B"/>
    <w:rsid w:val="737C3D1E"/>
    <w:rsid w:val="738112CA"/>
    <w:rsid w:val="7382034F"/>
    <w:rsid w:val="73840E33"/>
    <w:rsid w:val="73843420"/>
    <w:rsid w:val="7388363E"/>
    <w:rsid w:val="738B3AFD"/>
    <w:rsid w:val="738C3409"/>
    <w:rsid w:val="738D6861"/>
    <w:rsid w:val="738F4A6F"/>
    <w:rsid w:val="7392380F"/>
    <w:rsid w:val="739564D0"/>
    <w:rsid w:val="73984DB4"/>
    <w:rsid w:val="739E0238"/>
    <w:rsid w:val="739E631C"/>
    <w:rsid w:val="739F6100"/>
    <w:rsid w:val="73A21291"/>
    <w:rsid w:val="73A32C34"/>
    <w:rsid w:val="73B272E1"/>
    <w:rsid w:val="73B34762"/>
    <w:rsid w:val="73B567E2"/>
    <w:rsid w:val="73BB22D0"/>
    <w:rsid w:val="73BD5B8D"/>
    <w:rsid w:val="73BE0082"/>
    <w:rsid w:val="73CD4ACA"/>
    <w:rsid w:val="73D1487C"/>
    <w:rsid w:val="73D23DA7"/>
    <w:rsid w:val="73D426D4"/>
    <w:rsid w:val="73D44865"/>
    <w:rsid w:val="73D61CED"/>
    <w:rsid w:val="73DD6676"/>
    <w:rsid w:val="73E67FAF"/>
    <w:rsid w:val="73E96C68"/>
    <w:rsid w:val="73EB1BA0"/>
    <w:rsid w:val="73F12D43"/>
    <w:rsid w:val="73F53C79"/>
    <w:rsid w:val="73F73EA1"/>
    <w:rsid w:val="73F7654F"/>
    <w:rsid w:val="73FC69BA"/>
    <w:rsid w:val="73FF4DF7"/>
    <w:rsid w:val="740171C7"/>
    <w:rsid w:val="7406151D"/>
    <w:rsid w:val="740933F4"/>
    <w:rsid w:val="740D2D20"/>
    <w:rsid w:val="740F6D54"/>
    <w:rsid w:val="741B1BEA"/>
    <w:rsid w:val="741C41A4"/>
    <w:rsid w:val="741E392E"/>
    <w:rsid w:val="741F1A79"/>
    <w:rsid w:val="74233414"/>
    <w:rsid w:val="742424A8"/>
    <w:rsid w:val="74267120"/>
    <w:rsid w:val="74267C64"/>
    <w:rsid w:val="742E7FB0"/>
    <w:rsid w:val="74306FC0"/>
    <w:rsid w:val="74330F6A"/>
    <w:rsid w:val="743B15F1"/>
    <w:rsid w:val="743D4E3B"/>
    <w:rsid w:val="743F13C0"/>
    <w:rsid w:val="74485080"/>
    <w:rsid w:val="744C12EA"/>
    <w:rsid w:val="744E39A9"/>
    <w:rsid w:val="74502D22"/>
    <w:rsid w:val="74522676"/>
    <w:rsid w:val="74531EE8"/>
    <w:rsid w:val="74532FD9"/>
    <w:rsid w:val="74567DC1"/>
    <w:rsid w:val="74571F34"/>
    <w:rsid w:val="74592C96"/>
    <w:rsid w:val="74597084"/>
    <w:rsid w:val="745A6D6C"/>
    <w:rsid w:val="745B4D5D"/>
    <w:rsid w:val="745F152D"/>
    <w:rsid w:val="74647336"/>
    <w:rsid w:val="74656ABF"/>
    <w:rsid w:val="7468286C"/>
    <w:rsid w:val="746E1573"/>
    <w:rsid w:val="74702FEB"/>
    <w:rsid w:val="74734D25"/>
    <w:rsid w:val="747542A8"/>
    <w:rsid w:val="74833980"/>
    <w:rsid w:val="74840067"/>
    <w:rsid w:val="74872ADD"/>
    <w:rsid w:val="748734F5"/>
    <w:rsid w:val="748822B5"/>
    <w:rsid w:val="748A125E"/>
    <w:rsid w:val="748D266F"/>
    <w:rsid w:val="748F5D31"/>
    <w:rsid w:val="7495764E"/>
    <w:rsid w:val="74A7645D"/>
    <w:rsid w:val="74AE11DF"/>
    <w:rsid w:val="74B30026"/>
    <w:rsid w:val="74B325F8"/>
    <w:rsid w:val="74BD7824"/>
    <w:rsid w:val="74BF2FE9"/>
    <w:rsid w:val="74C3678F"/>
    <w:rsid w:val="74C76ECC"/>
    <w:rsid w:val="74D3779F"/>
    <w:rsid w:val="74D470A7"/>
    <w:rsid w:val="74D50C84"/>
    <w:rsid w:val="74DC263A"/>
    <w:rsid w:val="74DF3E44"/>
    <w:rsid w:val="74E14F18"/>
    <w:rsid w:val="74E73CD5"/>
    <w:rsid w:val="74EA0233"/>
    <w:rsid w:val="74F91D5A"/>
    <w:rsid w:val="74FB18BD"/>
    <w:rsid w:val="750459F9"/>
    <w:rsid w:val="75062EE3"/>
    <w:rsid w:val="750A6C7D"/>
    <w:rsid w:val="750A743B"/>
    <w:rsid w:val="750F5C64"/>
    <w:rsid w:val="750F6231"/>
    <w:rsid w:val="75103D34"/>
    <w:rsid w:val="7510680D"/>
    <w:rsid w:val="75144954"/>
    <w:rsid w:val="7514631E"/>
    <w:rsid w:val="751A4D9F"/>
    <w:rsid w:val="751B10F8"/>
    <w:rsid w:val="751B668B"/>
    <w:rsid w:val="751D2CF1"/>
    <w:rsid w:val="751E3F46"/>
    <w:rsid w:val="75251E11"/>
    <w:rsid w:val="75297CBB"/>
    <w:rsid w:val="75332E3F"/>
    <w:rsid w:val="7536137A"/>
    <w:rsid w:val="755B43EC"/>
    <w:rsid w:val="755C2928"/>
    <w:rsid w:val="75663812"/>
    <w:rsid w:val="756B461D"/>
    <w:rsid w:val="75743F38"/>
    <w:rsid w:val="7574679A"/>
    <w:rsid w:val="75767250"/>
    <w:rsid w:val="757A7FA8"/>
    <w:rsid w:val="757D211D"/>
    <w:rsid w:val="757E4F9E"/>
    <w:rsid w:val="75811531"/>
    <w:rsid w:val="7584608F"/>
    <w:rsid w:val="75857D95"/>
    <w:rsid w:val="758D3004"/>
    <w:rsid w:val="758D6989"/>
    <w:rsid w:val="758E27A4"/>
    <w:rsid w:val="758F2B04"/>
    <w:rsid w:val="75981DE5"/>
    <w:rsid w:val="759A4AE9"/>
    <w:rsid w:val="759B3EDC"/>
    <w:rsid w:val="759F77D0"/>
    <w:rsid w:val="75A02F32"/>
    <w:rsid w:val="75A157C0"/>
    <w:rsid w:val="75A54A99"/>
    <w:rsid w:val="75A70E10"/>
    <w:rsid w:val="75A75F2B"/>
    <w:rsid w:val="75AA6A0D"/>
    <w:rsid w:val="75AF0207"/>
    <w:rsid w:val="75BD3D14"/>
    <w:rsid w:val="75C00FDB"/>
    <w:rsid w:val="75C65678"/>
    <w:rsid w:val="75CE06DA"/>
    <w:rsid w:val="75D33DF0"/>
    <w:rsid w:val="75DB588C"/>
    <w:rsid w:val="75DE7B31"/>
    <w:rsid w:val="75E0458E"/>
    <w:rsid w:val="75E359E4"/>
    <w:rsid w:val="75E63F4C"/>
    <w:rsid w:val="75E75FFA"/>
    <w:rsid w:val="75EA57E7"/>
    <w:rsid w:val="75F31A8A"/>
    <w:rsid w:val="76021CE9"/>
    <w:rsid w:val="76136047"/>
    <w:rsid w:val="76175D6A"/>
    <w:rsid w:val="7619007C"/>
    <w:rsid w:val="76207802"/>
    <w:rsid w:val="76213EF1"/>
    <w:rsid w:val="76214721"/>
    <w:rsid w:val="76290B7A"/>
    <w:rsid w:val="762C2CF9"/>
    <w:rsid w:val="762E6226"/>
    <w:rsid w:val="76317D06"/>
    <w:rsid w:val="76352219"/>
    <w:rsid w:val="76353F16"/>
    <w:rsid w:val="76366687"/>
    <w:rsid w:val="763F0704"/>
    <w:rsid w:val="76451B49"/>
    <w:rsid w:val="76474A28"/>
    <w:rsid w:val="7648667B"/>
    <w:rsid w:val="76506C54"/>
    <w:rsid w:val="76517468"/>
    <w:rsid w:val="76561576"/>
    <w:rsid w:val="76576DC3"/>
    <w:rsid w:val="765868DA"/>
    <w:rsid w:val="765A13CE"/>
    <w:rsid w:val="765A2EFC"/>
    <w:rsid w:val="765E67A2"/>
    <w:rsid w:val="766C56DB"/>
    <w:rsid w:val="766C71FF"/>
    <w:rsid w:val="766E24E3"/>
    <w:rsid w:val="76736289"/>
    <w:rsid w:val="767D141A"/>
    <w:rsid w:val="76810735"/>
    <w:rsid w:val="768912A9"/>
    <w:rsid w:val="76942611"/>
    <w:rsid w:val="76963E5C"/>
    <w:rsid w:val="76980E18"/>
    <w:rsid w:val="769A2525"/>
    <w:rsid w:val="76A95A49"/>
    <w:rsid w:val="76A96A0C"/>
    <w:rsid w:val="76B45B3A"/>
    <w:rsid w:val="76BA7AAC"/>
    <w:rsid w:val="76BE6D3F"/>
    <w:rsid w:val="76C30334"/>
    <w:rsid w:val="76C923BB"/>
    <w:rsid w:val="76CC1F5E"/>
    <w:rsid w:val="76CD0D25"/>
    <w:rsid w:val="76CD7515"/>
    <w:rsid w:val="76D42D72"/>
    <w:rsid w:val="76D663CC"/>
    <w:rsid w:val="76D74F04"/>
    <w:rsid w:val="76DA0D98"/>
    <w:rsid w:val="76DF69E5"/>
    <w:rsid w:val="76E4113B"/>
    <w:rsid w:val="77030DD4"/>
    <w:rsid w:val="77044864"/>
    <w:rsid w:val="77053A8A"/>
    <w:rsid w:val="770D5D38"/>
    <w:rsid w:val="77103F22"/>
    <w:rsid w:val="7715767E"/>
    <w:rsid w:val="771A5140"/>
    <w:rsid w:val="771F7D92"/>
    <w:rsid w:val="772B2778"/>
    <w:rsid w:val="772B42B1"/>
    <w:rsid w:val="772D38B2"/>
    <w:rsid w:val="772F7551"/>
    <w:rsid w:val="773473EA"/>
    <w:rsid w:val="7741636E"/>
    <w:rsid w:val="7748770B"/>
    <w:rsid w:val="7749645B"/>
    <w:rsid w:val="774A3DB2"/>
    <w:rsid w:val="774B62BA"/>
    <w:rsid w:val="77506533"/>
    <w:rsid w:val="77517451"/>
    <w:rsid w:val="77517F88"/>
    <w:rsid w:val="775333D4"/>
    <w:rsid w:val="77544DEF"/>
    <w:rsid w:val="77572998"/>
    <w:rsid w:val="775C437C"/>
    <w:rsid w:val="7761473B"/>
    <w:rsid w:val="776253DC"/>
    <w:rsid w:val="77627918"/>
    <w:rsid w:val="77631458"/>
    <w:rsid w:val="77733B64"/>
    <w:rsid w:val="77752C11"/>
    <w:rsid w:val="777D1F29"/>
    <w:rsid w:val="7782747B"/>
    <w:rsid w:val="778458E0"/>
    <w:rsid w:val="77864C13"/>
    <w:rsid w:val="7789128B"/>
    <w:rsid w:val="778B00CC"/>
    <w:rsid w:val="778E42DD"/>
    <w:rsid w:val="77933A30"/>
    <w:rsid w:val="779572A9"/>
    <w:rsid w:val="77961F8D"/>
    <w:rsid w:val="77996D93"/>
    <w:rsid w:val="779C0571"/>
    <w:rsid w:val="77A4369A"/>
    <w:rsid w:val="77A47389"/>
    <w:rsid w:val="77AC4C13"/>
    <w:rsid w:val="77B7162E"/>
    <w:rsid w:val="77B72532"/>
    <w:rsid w:val="77B85801"/>
    <w:rsid w:val="77BF1B5B"/>
    <w:rsid w:val="77C7029F"/>
    <w:rsid w:val="77C77D04"/>
    <w:rsid w:val="77C9059B"/>
    <w:rsid w:val="77CF7F24"/>
    <w:rsid w:val="77D05158"/>
    <w:rsid w:val="77D82660"/>
    <w:rsid w:val="77D92540"/>
    <w:rsid w:val="77DE049B"/>
    <w:rsid w:val="77DE66C8"/>
    <w:rsid w:val="77E16F4E"/>
    <w:rsid w:val="77E56F4B"/>
    <w:rsid w:val="77EC42B7"/>
    <w:rsid w:val="77EC44CA"/>
    <w:rsid w:val="77EF4FD4"/>
    <w:rsid w:val="77F23ED6"/>
    <w:rsid w:val="77F25BE5"/>
    <w:rsid w:val="77F4148A"/>
    <w:rsid w:val="77F768FF"/>
    <w:rsid w:val="77FA6377"/>
    <w:rsid w:val="77FB638D"/>
    <w:rsid w:val="780224F7"/>
    <w:rsid w:val="7805236C"/>
    <w:rsid w:val="780870D3"/>
    <w:rsid w:val="78092145"/>
    <w:rsid w:val="78143A47"/>
    <w:rsid w:val="78171D45"/>
    <w:rsid w:val="781C213F"/>
    <w:rsid w:val="781D0F9C"/>
    <w:rsid w:val="781F0B91"/>
    <w:rsid w:val="781F180F"/>
    <w:rsid w:val="782409AF"/>
    <w:rsid w:val="78240A3E"/>
    <w:rsid w:val="78283814"/>
    <w:rsid w:val="78293454"/>
    <w:rsid w:val="78336373"/>
    <w:rsid w:val="7834372E"/>
    <w:rsid w:val="78385776"/>
    <w:rsid w:val="783B18EC"/>
    <w:rsid w:val="783B64D5"/>
    <w:rsid w:val="783E4A5E"/>
    <w:rsid w:val="78412216"/>
    <w:rsid w:val="78434FF7"/>
    <w:rsid w:val="78471488"/>
    <w:rsid w:val="7848004A"/>
    <w:rsid w:val="784913BE"/>
    <w:rsid w:val="785813CE"/>
    <w:rsid w:val="78611FD1"/>
    <w:rsid w:val="786E1EA7"/>
    <w:rsid w:val="786E72C5"/>
    <w:rsid w:val="7877530F"/>
    <w:rsid w:val="787758FC"/>
    <w:rsid w:val="787810DA"/>
    <w:rsid w:val="78833BC8"/>
    <w:rsid w:val="788B24CA"/>
    <w:rsid w:val="7893375E"/>
    <w:rsid w:val="7893775F"/>
    <w:rsid w:val="7899481F"/>
    <w:rsid w:val="78A2356B"/>
    <w:rsid w:val="78A74106"/>
    <w:rsid w:val="78AC24EC"/>
    <w:rsid w:val="78B50DE6"/>
    <w:rsid w:val="78B67702"/>
    <w:rsid w:val="78BF0BF6"/>
    <w:rsid w:val="78C04C49"/>
    <w:rsid w:val="78C240D7"/>
    <w:rsid w:val="78C33345"/>
    <w:rsid w:val="78C34DC5"/>
    <w:rsid w:val="78C54A86"/>
    <w:rsid w:val="78C802FB"/>
    <w:rsid w:val="78C82ABC"/>
    <w:rsid w:val="78D32109"/>
    <w:rsid w:val="78D5045A"/>
    <w:rsid w:val="78E46FAF"/>
    <w:rsid w:val="78E5732B"/>
    <w:rsid w:val="78E8686B"/>
    <w:rsid w:val="78EC0B8E"/>
    <w:rsid w:val="78F330DF"/>
    <w:rsid w:val="78F756A1"/>
    <w:rsid w:val="790166E1"/>
    <w:rsid w:val="790667EB"/>
    <w:rsid w:val="79077FDE"/>
    <w:rsid w:val="790A5F1B"/>
    <w:rsid w:val="790C0DB1"/>
    <w:rsid w:val="790D4EA4"/>
    <w:rsid w:val="79160884"/>
    <w:rsid w:val="7916705E"/>
    <w:rsid w:val="792C672D"/>
    <w:rsid w:val="79393F8C"/>
    <w:rsid w:val="793D1AA3"/>
    <w:rsid w:val="79456BBB"/>
    <w:rsid w:val="794C1636"/>
    <w:rsid w:val="794D5917"/>
    <w:rsid w:val="79527E1E"/>
    <w:rsid w:val="7953412C"/>
    <w:rsid w:val="79547E61"/>
    <w:rsid w:val="795864B8"/>
    <w:rsid w:val="795C301A"/>
    <w:rsid w:val="79635C6A"/>
    <w:rsid w:val="79702A1D"/>
    <w:rsid w:val="79711E30"/>
    <w:rsid w:val="79730F86"/>
    <w:rsid w:val="797C2A26"/>
    <w:rsid w:val="798032F0"/>
    <w:rsid w:val="79814E18"/>
    <w:rsid w:val="798514AA"/>
    <w:rsid w:val="7986114B"/>
    <w:rsid w:val="79877E2F"/>
    <w:rsid w:val="79882438"/>
    <w:rsid w:val="798A3171"/>
    <w:rsid w:val="798E092B"/>
    <w:rsid w:val="798E7861"/>
    <w:rsid w:val="79902534"/>
    <w:rsid w:val="799309EC"/>
    <w:rsid w:val="79935BD4"/>
    <w:rsid w:val="79A62FED"/>
    <w:rsid w:val="79C0620F"/>
    <w:rsid w:val="79C24855"/>
    <w:rsid w:val="79CB51A0"/>
    <w:rsid w:val="79CE0E21"/>
    <w:rsid w:val="79D42752"/>
    <w:rsid w:val="79DA7BFB"/>
    <w:rsid w:val="79DB3DE3"/>
    <w:rsid w:val="79EA7AB2"/>
    <w:rsid w:val="79EC3DFE"/>
    <w:rsid w:val="79F03BF6"/>
    <w:rsid w:val="79F043F2"/>
    <w:rsid w:val="79F15F67"/>
    <w:rsid w:val="79F16CC1"/>
    <w:rsid w:val="79F54346"/>
    <w:rsid w:val="79F65A78"/>
    <w:rsid w:val="79F841D5"/>
    <w:rsid w:val="79F854AE"/>
    <w:rsid w:val="79FD32CC"/>
    <w:rsid w:val="7A0A142A"/>
    <w:rsid w:val="7A0D0EDD"/>
    <w:rsid w:val="7A0F7FC4"/>
    <w:rsid w:val="7A1602C0"/>
    <w:rsid w:val="7A174BF8"/>
    <w:rsid w:val="7A1A062E"/>
    <w:rsid w:val="7A1B1931"/>
    <w:rsid w:val="7A1D19E0"/>
    <w:rsid w:val="7A1D329A"/>
    <w:rsid w:val="7A202327"/>
    <w:rsid w:val="7A2851FA"/>
    <w:rsid w:val="7A295DB8"/>
    <w:rsid w:val="7A2A2126"/>
    <w:rsid w:val="7A367234"/>
    <w:rsid w:val="7A391A49"/>
    <w:rsid w:val="7A3A1D35"/>
    <w:rsid w:val="7A3F7389"/>
    <w:rsid w:val="7A4A1B26"/>
    <w:rsid w:val="7A527768"/>
    <w:rsid w:val="7A561007"/>
    <w:rsid w:val="7A5610D8"/>
    <w:rsid w:val="7A5C253B"/>
    <w:rsid w:val="7A65684F"/>
    <w:rsid w:val="7A6C3A3A"/>
    <w:rsid w:val="7A712005"/>
    <w:rsid w:val="7A7501F3"/>
    <w:rsid w:val="7A824EA2"/>
    <w:rsid w:val="7A82611C"/>
    <w:rsid w:val="7A912F51"/>
    <w:rsid w:val="7A935FEA"/>
    <w:rsid w:val="7A9864F7"/>
    <w:rsid w:val="7A99671A"/>
    <w:rsid w:val="7A9A5385"/>
    <w:rsid w:val="7AA268B5"/>
    <w:rsid w:val="7AA30520"/>
    <w:rsid w:val="7AA77A82"/>
    <w:rsid w:val="7AAB58DD"/>
    <w:rsid w:val="7AAE547C"/>
    <w:rsid w:val="7AAF680C"/>
    <w:rsid w:val="7AB540E5"/>
    <w:rsid w:val="7ABA1DB9"/>
    <w:rsid w:val="7ABD4FCD"/>
    <w:rsid w:val="7ABF4E40"/>
    <w:rsid w:val="7AC42435"/>
    <w:rsid w:val="7AC65E47"/>
    <w:rsid w:val="7ACC27EA"/>
    <w:rsid w:val="7AD03E4C"/>
    <w:rsid w:val="7AD1286B"/>
    <w:rsid w:val="7AD765F0"/>
    <w:rsid w:val="7ADB0432"/>
    <w:rsid w:val="7ADD0873"/>
    <w:rsid w:val="7ADF6D96"/>
    <w:rsid w:val="7AE343F9"/>
    <w:rsid w:val="7AF43C1F"/>
    <w:rsid w:val="7AFA0118"/>
    <w:rsid w:val="7B053153"/>
    <w:rsid w:val="7B1158DC"/>
    <w:rsid w:val="7B11710A"/>
    <w:rsid w:val="7B187DFC"/>
    <w:rsid w:val="7B1B6B8F"/>
    <w:rsid w:val="7B217168"/>
    <w:rsid w:val="7B261684"/>
    <w:rsid w:val="7B281FDA"/>
    <w:rsid w:val="7B2A7F1F"/>
    <w:rsid w:val="7B3C5676"/>
    <w:rsid w:val="7B3E6DC9"/>
    <w:rsid w:val="7B451A97"/>
    <w:rsid w:val="7B4F0350"/>
    <w:rsid w:val="7B4F0F36"/>
    <w:rsid w:val="7B504325"/>
    <w:rsid w:val="7B527963"/>
    <w:rsid w:val="7B53100C"/>
    <w:rsid w:val="7B5547EA"/>
    <w:rsid w:val="7B571B30"/>
    <w:rsid w:val="7B591081"/>
    <w:rsid w:val="7B591508"/>
    <w:rsid w:val="7B5D7110"/>
    <w:rsid w:val="7B5F032A"/>
    <w:rsid w:val="7B6F3621"/>
    <w:rsid w:val="7B7A627C"/>
    <w:rsid w:val="7B7A7953"/>
    <w:rsid w:val="7B7F5D3E"/>
    <w:rsid w:val="7B875AFE"/>
    <w:rsid w:val="7B8A770D"/>
    <w:rsid w:val="7B8E732A"/>
    <w:rsid w:val="7B8F06ED"/>
    <w:rsid w:val="7B9038B6"/>
    <w:rsid w:val="7B914DCC"/>
    <w:rsid w:val="7B9226B4"/>
    <w:rsid w:val="7B931F8A"/>
    <w:rsid w:val="7B946A54"/>
    <w:rsid w:val="7B970BFE"/>
    <w:rsid w:val="7B973653"/>
    <w:rsid w:val="7B9743F9"/>
    <w:rsid w:val="7BAF4502"/>
    <w:rsid w:val="7BB60F57"/>
    <w:rsid w:val="7BBA3671"/>
    <w:rsid w:val="7BC6505F"/>
    <w:rsid w:val="7BC82EBA"/>
    <w:rsid w:val="7BCB1949"/>
    <w:rsid w:val="7BCC408F"/>
    <w:rsid w:val="7BD7424C"/>
    <w:rsid w:val="7BDE1EBF"/>
    <w:rsid w:val="7BE02696"/>
    <w:rsid w:val="7BE6486B"/>
    <w:rsid w:val="7BEB7FC1"/>
    <w:rsid w:val="7BF552BA"/>
    <w:rsid w:val="7BF8153D"/>
    <w:rsid w:val="7BFB5920"/>
    <w:rsid w:val="7C004342"/>
    <w:rsid w:val="7C015B5E"/>
    <w:rsid w:val="7C0355FE"/>
    <w:rsid w:val="7C053C9F"/>
    <w:rsid w:val="7C06244F"/>
    <w:rsid w:val="7C0C0DCF"/>
    <w:rsid w:val="7C16380F"/>
    <w:rsid w:val="7C2077C0"/>
    <w:rsid w:val="7C2F55E2"/>
    <w:rsid w:val="7C372D22"/>
    <w:rsid w:val="7C373029"/>
    <w:rsid w:val="7C391D45"/>
    <w:rsid w:val="7C39602C"/>
    <w:rsid w:val="7C3B278B"/>
    <w:rsid w:val="7C4258A4"/>
    <w:rsid w:val="7C477A01"/>
    <w:rsid w:val="7C4B7EEE"/>
    <w:rsid w:val="7C4E46B2"/>
    <w:rsid w:val="7C5A551C"/>
    <w:rsid w:val="7C5D63BE"/>
    <w:rsid w:val="7C606B57"/>
    <w:rsid w:val="7C69522A"/>
    <w:rsid w:val="7C6A52F8"/>
    <w:rsid w:val="7C6E055B"/>
    <w:rsid w:val="7C7100F2"/>
    <w:rsid w:val="7C771791"/>
    <w:rsid w:val="7C780C42"/>
    <w:rsid w:val="7C7B335C"/>
    <w:rsid w:val="7C7D3D5F"/>
    <w:rsid w:val="7C7F3FDF"/>
    <w:rsid w:val="7C821EE8"/>
    <w:rsid w:val="7C8E2507"/>
    <w:rsid w:val="7C8F5623"/>
    <w:rsid w:val="7C904486"/>
    <w:rsid w:val="7C942504"/>
    <w:rsid w:val="7C9520BD"/>
    <w:rsid w:val="7C993700"/>
    <w:rsid w:val="7C9A2480"/>
    <w:rsid w:val="7CA27AB0"/>
    <w:rsid w:val="7CA95CE8"/>
    <w:rsid w:val="7CAC09DC"/>
    <w:rsid w:val="7CB737FC"/>
    <w:rsid w:val="7CB92B85"/>
    <w:rsid w:val="7CBA1E6F"/>
    <w:rsid w:val="7CBA2D77"/>
    <w:rsid w:val="7CC45B25"/>
    <w:rsid w:val="7CCD7550"/>
    <w:rsid w:val="7CD251B9"/>
    <w:rsid w:val="7CD8737D"/>
    <w:rsid w:val="7CDC32D0"/>
    <w:rsid w:val="7CE0165D"/>
    <w:rsid w:val="7CE420C7"/>
    <w:rsid w:val="7CF11814"/>
    <w:rsid w:val="7CF122FC"/>
    <w:rsid w:val="7CF317D9"/>
    <w:rsid w:val="7CF64C2E"/>
    <w:rsid w:val="7CFD2DDF"/>
    <w:rsid w:val="7CFE4C35"/>
    <w:rsid w:val="7D011E70"/>
    <w:rsid w:val="7D036F8E"/>
    <w:rsid w:val="7D052537"/>
    <w:rsid w:val="7D073673"/>
    <w:rsid w:val="7D096070"/>
    <w:rsid w:val="7D113B75"/>
    <w:rsid w:val="7D145DD3"/>
    <w:rsid w:val="7D163EDF"/>
    <w:rsid w:val="7D1E6024"/>
    <w:rsid w:val="7D214046"/>
    <w:rsid w:val="7D2232FE"/>
    <w:rsid w:val="7D2B1B08"/>
    <w:rsid w:val="7D333A05"/>
    <w:rsid w:val="7D345F5B"/>
    <w:rsid w:val="7D467210"/>
    <w:rsid w:val="7D4F7BBD"/>
    <w:rsid w:val="7D562F89"/>
    <w:rsid w:val="7D6154BC"/>
    <w:rsid w:val="7D616B38"/>
    <w:rsid w:val="7D634B34"/>
    <w:rsid w:val="7D6A7FE6"/>
    <w:rsid w:val="7D6D348E"/>
    <w:rsid w:val="7D705EB7"/>
    <w:rsid w:val="7D712D4F"/>
    <w:rsid w:val="7D7320E0"/>
    <w:rsid w:val="7D7769AC"/>
    <w:rsid w:val="7D792F5F"/>
    <w:rsid w:val="7D7A0CB1"/>
    <w:rsid w:val="7D7E7BED"/>
    <w:rsid w:val="7D8457A5"/>
    <w:rsid w:val="7D8914E0"/>
    <w:rsid w:val="7D8D2293"/>
    <w:rsid w:val="7D8F2D7E"/>
    <w:rsid w:val="7D9F267A"/>
    <w:rsid w:val="7DA239B1"/>
    <w:rsid w:val="7DA90675"/>
    <w:rsid w:val="7DB02EE1"/>
    <w:rsid w:val="7DB345BC"/>
    <w:rsid w:val="7DB96CC4"/>
    <w:rsid w:val="7DBE3479"/>
    <w:rsid w:val="7DC46E98"/>
    <w:rsid w:val="7DC97088"/>
    <w:rsid w:val="7DCC2624"/>
    <w:rsid w:val="7DD71D25"/>
    <w:rsid w:val="7DDB1E7D"/>
    <w:rsid w:val="7DDB550F"/>
    <w:rsid w:val="7DDB5F42"/>
    <w:rsid w:val="7DDC713C"/>
    <w:rsid w:val="7DE35DD9"/>
    <w:rsid w:val="7DE63EF0"/>
    <w:rsid w:val="7DEA37E0"/>
    <w:rsid w:val="7DEB0076"/>
    <w:rsid w:val="7DF062E4"/>
    <w:rsid w:val="7DF13526"/>
    <w:rsid w:val="7DF80CD4"/>
    <w:rsid w:val="7DF85953"/>
    <w:rsid w:val="7E04025C"/>
    <w:rsid w:val="7E053E33"/>
    <w:rsid w:val="7E0D16E8"/>
    <w:rsid w:val="7E0D6E5D"/>
    <w:rsid w:val="7E1209B2"/>
    <w:rsid w:val="7E135BA7"/>
    <w:rsid w:val="7E147357"/>
    <w:rsid w:val="7E167A93"/>
    <w:rsid w:val="7E1F1080"/>
    <w:rsid w:val="7E253F96"/>
    <w:rsid w:val="7E26235B"/>
    <w:rsid w:val="7E28025D"/>
    <w:rsid w:val="7E2B08ED"/>
    <w:rsid w:val="7E2F2891"/>
    <w:rsid w:val="7E312594"/>
    <w:rsid w:val="7E361365"/>
    <w:rsid w:val="7E397258"/>
    <w:rsid w:val="7E406D13"/>
    <w:rsid w:val="7E423F8E"/>
    <w:rsid w:val="7E4504D8"/>
    <w:rsid w:val="7E4519E7"/>
    <w:rsid w:val="7E465B43"/>
    <w:rsid w:val="7E487D45"/>
    <w:rsid w:val="7E4F1F01"/>
    <w:rsid w:val="7E572FD8"/>
    <w:rsid w:val="7E584BE5"/>
    <w:rsid w:val="7E5D5883"/>
    <w:rsid w:val="7E5E6C4C"/>
    <w:rsid w:val="7E6957EB"/>
    <w:rsid w:val="7E7424EC"/>
    <w:rsid w:val="7E783E43"/>
    <w:rsid w:val="7E7A044C"/>
    <w:rsid w:val="7E8470BE"/>
    <w:rsid w:val="7E847396"/>
    <w:rsid w:val="7E981A1D"/>
    <w:rsid w:val="7E992CF5"/>
    <w:rsid w:val="7E9B33DC"/>
    <w:rsid w:val="7EA16E20"/>
    <w:rsid w:val="7EA4585A"/>
    <w:rsid w:val="7EA46F6A"/>
    <w:rsid w:val="7EA731FC"/>
    <w:rsid w:val="7EAE0CEF"/>
    <w:rsid w:val="7EB36AD8"/>
    <w:rsid w:val="7EB46DF8"/>
    <w:rsid w:val="7EB8393E"/>
    <w:rsid w:val="7EBA772D"/>
    <w:rsid w:val="7EBE6AF5"/>
    <w:rsid w:val="7EC05567"/>
    <w:rsid w:val="7EC23826"/>
    <w:rsid w:val="7EC43B77"/>
    <w:rsid w:val="7ECD4D31"/>
    <w:rsid w:val="7ECF0017"/>
    <w:rsid w:val="7ECF1015"/>
    <w:rsid w:val="7ED033A5"/>
    <w:rsid w:val="7EE01FBF"/>
    <w:rsid w:val="7EE46489"/>
    <w:rsid w:val="7EEB638D"/>
    <w:rsid w:val="7EEB735F"/>
    <w:rsid w:val="7EEC19F9"/>
    <w:rsid w:val="7EF533D8"/>
    <w:rsid w:val="7EF70707"/>
    <w:rsid w:val="7F0470B6"/>
    <w:rsid w:val="7F0729BF"/>
    <w:rsid w:val="7F0874CA"/>
    <w:rsid w:val="7F093C5F"/>
    <w:rsid w:val="7F0945F6"/>
    <w:rsid w:val="7F0B426B"/>
    <w:rsid w:val="7F1127D8"/>
    <w:rsid w:val="7F112F6D"/>
    <w:rsid w:val="7F1B6E9F"/>
    <w:rsid w:val="7F1F3BB3"/>
    <w:rsid w:val="7F282D21"/>
    <w:rsid w:val="7F2835A0"/>
    <w:rsid w:val="7F2D659A"/>
    <w:rsid w:val="7F3235F6"/>
    <w:rsid w:val="7F342017"/>
    <w:rsid w:val="7F3851A4"/>
    <w:rsid w:val="7F533C36"/>
    <w:rsid w:val="7F535C15"/>
    <w:rsid w:val="7F5440CB"/>
    <w:rsid w:val="7F5678E9"/>
    <w:rsid w:val="7F5B4F2E"/>
    <w:rsid w:val="7F5C7467"/>
    <w:rsid w:val="7F5E579A"/>
    <w:rsid w:val="7F610AE3"/>
    <w:rsid w:val="7F623BC2"/>
    <w:rsid w:val="7F625D78"/>
    <w:rsid w:val="7F626A5F"/>
    <w:rsid w:val="7F6366F1"/>
    <w:rsid w:val="7F670596"/>
    <w:rsid w:val="7F6712D6"/>
    <w:rsid w:val="7F6B0C5F"/>
    <w:rsid w:val="7F6C1D96"/>
    <w:rsid w:val="7F7272F0"/>
    <w:rsid w:val="7F743E01"/>
    <w:rsid w:val="7F790B0F"/>
    <w:rsid w:val="7F7A45DC"/>
    <w:rsid w:val="7F80020C"/>
    <w:rsid w:val="7F8D559F"/>
    <w:rsid w:val="7F8E4F77"/>
    <w:rsid w:val="7F8F065D"/>
    <w:rsid w:val="7F9A5B63"/>
    <w:rsid w:val="7F9D7DD4"/>
    <w:rsid w:val="7F9E6F5E"/>
    <w:rsid w:val="7FA14219"/>
    <w:rsid w:val="7FA272A5"/>
    <w:rsid w:val="7FA7465C"/>
    <w:rsid w:val="7FA76FA8"/>
    <w:rsid w:val="7FAC191C"/>
    <w:rsid w:val="7FAC2AE5"/>
    <w:rsid w:val="7FAE5261"/>
    <w:rsid w:val="7FAF4B59"/>
    <w:rsid w:val="7FB66F3E"/>
    <w:rsid w:val="7FB74764"/>
    <w:rsid w:val="7FB9360F"/>
    <w:rsid w:val="7FC03840"/>
    <w:rsid w:val="7FC461CE"/>
    <w:rsid w:val="7FC753D5"/>
    <w:rsid w:val="7FCC1824"/>
    <w:rsid w:val="7FCE1B82"/>
    <w:rsid w:val="7FCE5C27"/>
    <w:rsid w:val="7FD429F0"/>
    <w:rsid w:val="7FD733C2"/>
    <w:rsid w:val="7FDA022A"/>
    <w:rsid w:val="7FDA60CE"/>
    <w:rsid w:val="7FDB352F"/>
    <w:rsid w:val="7FDC0451"/>
    <w:rsid w:val="7FE31743"/>
    <w:rsid w:val="7FE42656"/>
    <w:rsid w:val="7FE74402"/>
    <w:rsid w:val="7FEA32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自选图形 14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spacing w:line="300" w:lineRule="exact"/>
      <w:jc w:val="center"/>
      <w:outlineLvl w:val="0"/>
    </w:pPr>
    <w:rPr>
      <w:sz w:val="28"/>
    </w:rPr>
  </w:style>
  <w:style w:type="paragraph" w:styleId="6">
    <w:name w:val="heading 3"/>
    <w:basedOn w:val="1"/>
    <w:next w:val="1"/>
    <w:qFormat/>
    <w:uiPriority w:val="0"/>
    <w:pPr>
      <w:keepNext/>
      <w:keepLines/>
      <w:spacing w:before="260" w:after="260" w:line="416" w:lineRule="auto"/>
      <w:outlineLvl w:val="2"/>
    </w:pPr>
    <w:rPr>
      <w:b/>
      <w:bCs/>
      <w:sz w:val="32"/>
      <w:szCs w:val="32"/>
    </w:rPr>
  </w:style>
  <w:style w:type="paragraph" w:styleId="7">
    <w:name w:val="heading 4"/>
    <w:basedOn w:val="1"/>
    <w:next w:val="1"/>
    <w:qFormat/>
    <w:uiPriority w:val="0"/>
    <w:pPr>
      <w:keepNext/>
      <w:spacing w:line="340" w:lineRule="exact"/>
      <w:jc w:val="center"/>
      <w:outlineLvl w:val="3"/>
    </w:pPr>
    <w:rPr>
      <w:b/>
      <w:sz w:val="24"/>
    </w:rPr>
  </w:style>
  <w:style w:type="character" w:default="1" w:styleId="26">
    <w:name w:val="Default Paragraph Font"/>
    <w:semiHidden/>
    <w:unhideWhenUsed/>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tabs>
        <w:tab w:val="left" w:pos="210"/>
      </w:tabs>
      <w:spacing w:after="120"/>
      <w:ind w:left="420" w:leftChars="200" w:firstLine="420"/>
    </w:pPr>
    <w:rPr>
      <w:rFonts w:ascii="Times New Roman" w:hAnsi="Times New Roman"/>
    </w:rPr>
  </w:style>
  <w:style w:type="paragraph" w:styleId="3">
    <w:name w:val="Body Text Indent"/>
    <w:basedOn w:val="1"/>
    <w:next w:val="4"/>
    <w:link w:val="58"/>
    <w:qFormat/>
    <w:uiPriority w:val="0"/>
    <w:pPr>
      <w:spacing w:line="480" w:lineRule="exact"/>
      <w:ind w:firstLine="538" w:firstLineChars="192"/>
    </w:pPr>
    <w:rPr>
      <w:rFonts w:ascii="宋体" w:hAnsi="宋体"/>
      <w:sz w:val="28"/>
    </w:rPr>
  </w:style>
  <w:style w:type="paragraph" w:styleId="4">
    <w:name w:val="Body Text"/>
    <w:basedOn w:val="1"/>
    <w:link w:val="60"/>
    <w:qFormat/>
    <w:uiPriority w:val="0"/>
    <w:pPr>
      <w:spacing w:line="400" w:lineRule="exact"/>
    </w:pPr>
    <w:rPr>
      <w:sz w:val="28"/>
    </w:rPr>
  </w:style>
  <w:style w:type="paragraph" w:styleId="8">
    <w:name w:val="Normal Indent"/>
    <w:basedOn w:val="1"/>
    <w:qFormat/>
    <w:uiPriority w:val="0"/>
    <w:rPr>
      <w:sz w:val="24"/>
      <w:szCs w:val="20"/>
    </w:rPr>
  </w:style>
  <w:style w:type="paragraph" w:styleId="9">
    <w:name w:val="caption"/>
    <w:basedOn w:val="1"/>
    <w:next w:val="1"/>
    <w:qFormat/>
    <w:uiPriority w:val="0"/>
    <w:rPr>
      <w:rFonts w:ascii="Arial" w:hAnsi="Arial" w:eastAsia="黑体" w:cs="Arial"/>
      <w:sz w:val="20"/>
      <w:szCs w:val="20"/>
    </w:rPr>
  </w:style>
  <w:style w:type="paragraph" w:styleId="10">
    <w:name w:val="Document Map"/>
    <w:basedOn w:val="1"/>
    <w:link w:val="74"/>
    <w:qFormat/>
    <w:uiPriority w:val="0"/>
    <w:rPr>
      <w:rFonts w:ascii="宋体"/>
      <w:sz w:val="18"/>
      <w:szCs w:val="18"/>
    </w:rPr>
  </w:style>
  <w:style w:type="paragraph" w:styleId="11">
    <w:name w:val="annotation text"/>
    <w:basedOn w:val="1"/>
    <w:link w:val="57"/>
    <w:qFormat/>
    <w:uiPriority w:val="0"/>
    <w:pPr>
      <w:jc w:val="left"/>
    </w:pPr>
  </w:style>
  <w:style w:type="paragraph" w:styleId="12">
    <w:name w:val="Block Text"/>
    <w:basedOn w:val="1"/>
    <w:qFormat/>
    <w:uiPriority w:val="0"/>
    <w:pPr>
      <w:snapToGrid w:val="0"/>
      <w:spacing w:line="408" w:lineRule="auto"/>
      <w:ind w:left="-113" w:right="-510" w:firstLine="510"/>
    </w:pPr>
    <w:rPr>
      <w:sz w:val="24"/>
      <w:szCs w:val="20"/>
    </w:rPr>
  </w:style>
  <w:style w:type="paragraph" w:styleId="13">
    <w:name w:val="Plain Text"/>
    <w:basedOn w:val="1"/>
    <w:link w:val="83"/>
    <w:qFormat/>
    <w:uiPriority w:val="99"/>
    <w:rPr>
      <w:rFonts w:ascii="宋体" w:hAnsi="Courier New"/>
      <w:szCs w:val="20"/>
    </w:rPr>
  </w:style>
  <w:style w:type="paragraph" w:styleId="14">
    <w:name w:val="Body Text Indent 2"/>
    <w:basedOn w:val="1"/>
    <w:link w:val="73"/>
    <w:qFormat/>
    <w:uiPriority w:val="0"/>
    <w:pPr>
      <w:ind w:firstLine="570"/>
    </w:pPr>
    <w:rPr>
      <w:sz w:val="28"/>
    </w:rPr>
  </w:style>
  <w:style w:type="paragraph" w:styleId="15">
    <w:name w:val="Balloon Text"/>
    <w:basedOn w:val="1"/>
    <w:semiHidden/>
    <w:qFormat/>
    <w:uiPriority w:val="0"/>
    <w:rPr>
      <w:sz w:val="18"/>
      <w:szCs w:val="18"/>
    </w:rPr>
  </w:style>
  <w:style w:type="paragraph" w:styleId="16">
    <w:name w:val="footer"/>
    <w:basedOn w:val="1"/>
    <w:link w:val="46"/>
    <w:qFormat/>
    <w:uiPriority w:val="0"/>
    <w:pPr>
      <w:tabs>
        <w:tab w:val="center" w:pos="4153"/>
        <w:tab w:val="right" w:pos="8306"/>
      </w:tabs>
      <w:snapToGrid w:val="0"/>
      <w:jc w:val="left"/>
    </w:pPr>
    <w:rPr>
      <w:sz w:val="18"/>
      <w:szCs w:val="18"/>
    </w:rPr>
  </w:style>
  <w:style w:type="paragraph" w:styleId="1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18">
    <w:name w:val="footnote text"/>
    <w:basedOn w:val="1"/>
    <w:link w:val="72"/>
    <w:qFormat/>
    <w:uiPriority w:val="0"/>
    <w:pPr>
      <w:snapToGrid w:val="0"/>
      <w:jc w:val="left"/>
    </w:pPr>
    <w:rPr>
      <w:sz w:val="18"/>
      <w:szCs w:val="18"/>
    </w:rPr>
  </w:style>
  <w:style w:type="paragraph" w:styleId="19">
    <w:name w:val="Body Text Indent 3"/>
    <w:basedOn w:val="1"/>
    <w:qFormat/>
    <w:uiPriority w:val="0"/>
    <w:pPr>
      <w:spacing w:line="480" w:lineRule="exact"/>
      <w:ind w:firstLine="610" w:firstLineChars="218"/>
    </w:pPr>
    <w:rPr>
      <w:rFonts w:ascii="宋体" w:hAnsi="宋体"/>
      <w:sz w:val="28"/>
    </w:rPr>
  </w:style>
  <w:style w:type="paragraph" w:styleId="20">
    <w:name w:val="Body Text 2"/>
    <w:basedOn w:val="1"/>
    <w:qFormat/>
    <w:uiPriority w:val="0"/>
    <w:pPr>
      <w:spacing w:line="300" w:lineRule="exact"/>
    </w:pPr>
    <w:rPr>
      <w:rFonts w:ascii="宋体" w:hAnsi="宋体"/>
      <w:sz w:val="24"/>
    </w:rPr>
  </w:style>
  <w:style w:type="paragraph" w:styleId="21">
    <w:name w:val="Normal (Web)"/>
    <w:basedOn w:val="1"/>
    <w:qFormat/>
    <w:uiPriority w:val="99"/>
    <w:pPr>
      <w:widowControl/>
      <w:spacing w:before="100" w:beforeAutospacing="1" w:after="100" w:afterAutospacing="1"/>
      <w:jc w:val="left"/>
    </w:pPr>
    <w:rPr>
      <w:kern w:val="0"/>
      <w:sz w:val="24"/>
    </w:rPr>
  </w:style>
  <w:style w:type="paragraph" w:styleId="22">
    <w:name w:val="annotation subject"/>
    <w:basedOn w:val="11"/>
    <w:next w:val="11"/>
    <w:link w:val="80"/>
    <w:qFormat/>
    <w:uiPriority w:val="0"/>
    <w:rPr>
      <w:b/>
      <w:bCs/>
    </w:rPr>
  </w:style>
  <w:style w:type="paragraph" w:styleId="23">
    <w:name w:val="Body Text First Indent"/>
    <w:basedOn w:val="4"/>
    <w:qFormat/>
    <w:uiPriority w:val="0"/>
    <w:pPr>
      <w:spacing w:after="120" w:line="240" w:lineRule="auto"/>
      <w:ind w:firstLine="420" w:firstLineChars="100"/>
    </w:pPr>
    <w:rPr>
      <w:sz w:val="21"/>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style>
  <w:style w:type="character" w:styleId="28">
    <w:name w:val="page number"/>
    <w:basedOn w:val="26"/>
    <w:qFormat/>
    <w:uiPriority w:val="0"/>
  </w:style>
  <w:style w:type="character" w:styleId="29">
    <w:name w:val="FollowedHyperlink"/>
    <w:basedOn w:val="26"/>
    <w:qFormat/>
    <w:uiPriority w:val="0"/>
    <w:rPr>
      <w:color w:val="338DE6"/>
      <w:u w:val="none"/>
    </w:rPr>
  </w:style>
  <w:style w:type="character" w:styleId="30">
    <w:name w:val="Emphasis"/>
    <w:basedOn w:val="26"/>
    <w:qFormat/>
    <w:uiPriority w:val="0"/>
  </w:style>
  <w:style w:type="character" w:styleId="31">
    <w:name w:val="HTML Definition"/>
    <w:basedOn w:val="26"/>
    <w:qFormat/>
    <w:uiPriority w:val="0"/>
  </w:style>
  <w:style w:type="character" w:styleId="32">
    <w:name w:val="HTML Variable"/>
    <w:basedOn w:val="26"/>
    <w:qFormat/>
    <w:uiPriority w:val="0"/>
  </w:style>
  <w:style w:type="character" w:styleId="33">
    <w:name w:val="Hyperlink"/>
    <w:qFormat/>
    <w:uiPriority w:val="0"/>
    <w:rPr>
      <w:color w:val="000099"/>
      <w:u w:val="single"/>
    </w:rPr>
  </w:style>
  <w:style w:type="character" w:styleId="34">
    <w:name w:val="HTML Code"/>
    <w:basedOn w:val="26"/>
    <w:qFormat/>
    <w:uiPriority w:val="0"/>
    <w:rPr>
      <w:rFonts w:hint="default" w:ascii="serif" w:hAnsi="serif" w:eastAsia="serif" w:cs="serif"/>
      <w:sz w:val="21"/>
      <w:szCs w:val="21"/>
    </w:rPr>
  </w:style>
  <w:style w:type="character" w:styleId="35">
    <w:name w:val="annotation reference"/>
    <w:qFormat/>
    <w:uiPriority w:val="0"/>
    <w:rPr>
      <w:sz w:val="21"/>
      <w:szCs w:val="21"/>
    </w:rPr>
  </w:style>
  <w:style w:type="character" w:styleId="36">
    <w:name w:val="HTML Cite"/>
    <w:basedOn w:val="26"/>
    <w:qFormat/>
    <w:uiPriority w:val="0"/>
  </w:style>
  <w:style w:type="character" w:styleId="37">
    <w:name w:val="footnote reference"/>
    <w:qFormat/>
    <w:uiPriority w:val="0"/>
    <w:rPr>
      <w:rFonts w:ascii="Times New Roman" w:hAnsi="Times New Roman" w:eastAsia="宋体" w:cs="Times New Roman"/>
      <w:vertAlign w:val="superscript"/>
    </w:rPr>
  </w:style>
  <w:style w:type="character" w:styleId="38">
    <w:name w:val="HTML Keyboard"/>
    <w:basedOn w:val="26"/>
    <w:qFormat/>
    <w:uiPriority w:val="0"/>
    <w:rPr>
      <w:rFonts w:ascii="serif" w:hAnsi="serif" w:eastAsia="serif" w:cs="serif"/>
      <w:sz w:val="21"/>
      <w:szCs w:val="21"/>
    </w:rPr>
  </w:style>
  <w:style w:type="character" w:styleId="39">
    <w:name w:val="HTML Sample"/>
    <w:basedOn w:val="26"/>
    <w:qFormat/>
    <w:uiPriority w:val="0"/>
    <w:rPr>
      <w:rFonts w:hint="default" w:ascii="serif" w:hAnsi="serif" w:eastAsia="serif" w:cs="serif"/>
      <w:sz w:val="21"/>
      <w:szCs w:val="21"/>
    </w:rPr>
  </w:style>
  <w:style w:type="paragraph" w:customStyle="1" w:styleId="40">
    <w:name w:val="四级条标题"/>
    <w:basedOn w:val="41"/>
    <w:next w:val="45"/>
    <w:qFormat/>
    <w:uiPriority w:val="0"/>
    <w:pPr>
      <w:tabs>
        <w:tab w:val="left" w:pos="2160"/>
      </w:tabs>
      <w:outlineLvl w:val="5"/>
    </w:pPr>
    <w:rPr>
      <w:szCs w:val="20"/>
    </w:rPr>
  </w:style>
  <w:style w:type="paragraph" w:customStyle="1" w:styleId="41">
    <w:name w:val="三级条标题"/>
    <w:basedOn w:val="42"/>
    <w:next w:val="45"/>
    <w:qFormat/>
    <w:uiPriority w:val="0"/>
    <w:pPr>
      <w:tabs>
        <w:tab w:val="left" w:pos="2160"/>
      </w:tabs>
      <w:ind w:left="0" w:firstLine="0"/>
      <w:outlineLvl w:val="4"/>
    </w:pPr>
  </w:style>
  <w:style w:type="paragraph" w:customStyle="1" w:styleId="42">
    <w:name w:val="二级条标题"/>
    <w:basedOn w:val="43"/>
    <w:next w:val="45"/>
    <w:qFormat/>
    <w:uiPriority w:val="99"/>
    <w:pPr>
      <w:tabs>
        <w:tab w:val="left" w:pos="2160"/>
      </w:tabs>
      <w:outlineLvl w:val="3"/>
    </w:pPr>
    <w:rPr>
      <w:rFonts w:ascii="Times New Roman" w:hAnsi="Times New Roman" w:eastAsia="宋体"/>
    </w:rPr>
  </w:style>
  <w:style w:type="paragraph" w:customStyle="1" w:styleId="43">
    <w:name w:val="一级条标题"/>
    <w:basedOn w:val="44"/>
    <w:next w:val="45"/>
    <w:qFormat/>
    <w:uiPriority w:val="0"/>
    <w:pPr>
      <w:tabs>
        <w:tab w:val="left" w:pos="2160"/>
      </w:tabs>
      <w:spacing w:beforeLines="0" w:afterLines="0"/>
      <w:ind w:left="2160" w:hanging="360"/>
      <w:outlineLvl w:val="2"/>
    </w:pPr>
  </w:style>
  <w:style w:type="paragraph" w:customStyle="1" w:styleId="44">
    <w:name w:val="章标题"/>
    <w:next w:val="45"/>
    <w:qFormat/>
    <w:uiPriority w:val="0"/>
    <w:pPr>
      <w:spacing w:beforeLines="50" w:afterLines="50"/>
      <w:jc w:val="both"/>
      <w:outlineLvl w:val="1"/>
    </w:pPr>
    <w:rPr>
      <w:rFonts w:ascii="黑体" w:hAnsi="Calibri" w:eastAsia="黑体" w:cs="Times New Roman"/>
      <w:sz w:val="21"/>
      <w:szCs w:val="22"/>
      <w:lang w:val="en-US" w:eastAsia="zh-CN" w:bidi="ar-SA"/>
    </w:rPr>
  </w:style>
  <w:style w:type="paragraph" w:customStyle="1" w:styleId="45">
    <w:name w:val="段"/>
    <w:qFormat/>
    <w:uiPriority w:val="0"/>
    <w:pPr>
      <w:autoSpaceDE w:val="0"/>
      <w:autoSpaceDN w:val="0"/>
      <w:ind w:firstLine="200" w:firstLineChars="200"/>
      <w:jc w:val="both"/>
    </w:pPr>
    <w:rPr>
      <w:rFonts w:ascii="宋体" w:hAnsi="Calibri" w:eastAsia="宋体" w:cs="Times New Roman"/>
      <w:sz w:val="21"/>
      <w:szCs w:val="22"/>
      <w:lang w:val="zh-CN" w:eastAsia="zh-CN" w:bidi="ar-SA"/>
    </w:rPr>
  </w:style>
  <w:style w:type="character" w:customStyle="1" w:styleId="46">
    <w:name w:val="页脚 Char"/>
    <w:link w:val="16"/>
    <w:qFormat/>
    <w:uiPriority w:val="0"/>
    <w:rPr>
      <w:kern w:val="2"/>
      <w:sz w:val="18"/>
      <w:szCs w:val="18"/>
    </w:rPr>
  </w:style>
  <w:style w:type="character" w:customStyle="1" w:styleId="47">
    <w:name w:val="正文样式2 Char"/>
    <w:link w:val="48"/>
    <w:qFormat/>
    <w:uiPriority w:val="0"/>
    <w:rPr>
      <w:kern w:val="2"/>
      <w:sz w:val="24"/>
      <w:szCs w:val="22"/>
      <w:lang w:val="zh-CN"/>
    </w:rPr>
  </w:style>
  <w:style w:type="paragraph" w:customStyle="1" w:styleId="48">
    <w:name w:val="正文样式2"/>
    <w:basedOn w:val="1"/>
    <w:link w:val="47"/>
    <w:qFormat/>
    <w:uiPriority w:val="0"/>
    <w:pPr>
      <w:spacing w:line="500" w:lineRule="exact"/>
      <w:ind w:firstLine="480" w:firstLineChars="200"/>
    </w:pPr>
    <w:rPr>
      <w:sz w:val="24"/>
      <w:szCs w:val="22"/>
      <w:lang w:val="zh-CN"/>
    </w:rPr>
  </w:style>
  <w:style w:type="character" w:customStyle="1" w:styleId="49">
    <w:name w:val="样式 小四 行距: 固定值 24 磅 Char"/>
    <w:link w:val="50"/>
    <w:qFormat/>
    <w:uiPriority w:val="0"/>
    <w:rPr>
      <w:rFonts w:cs="宋体"/>
      <w:kern w:val="2"/>
      <w:sz w:val="24"/>
    </w:rPr>
  </w:style>
  <w:style w:type="paragraph" w:customStyle="1" w:styleId="50">
    <w:name w:val="样式 小四 行距: 固定值 24 磅"/>
    <w:basedOn w:val="1"/>
    <w:link w:val="49"/>
    <w:qFormat/>
    <w:uiPriority w:val="0"/>
    <w:pPr>
      <w:adjustRightInd w:val="0"/>
      <w:snapToGrid w:val="0"/>
      <w:spacing w:line="360" w:lineRule="auto"/>
      <w:ind w:firstLine="200" w:firstLineChars="200"/>
    </w:pPr>
    <w:rPr>
      <w:sz w:val="24"/>
      <w:szCs w:val="20"/>
    </w:rPr>
  </w:style>
  <w:style w:type="character" w:customStyle="1" w:styleId="51">
    <w:name w:val="样式 四号"/>
    <w:qFormat/>
    <w:uiPriority w:val="0"/>
    <w:rPr>
      <w:sz w:val="28"/>
    </w:rPr>
  </w:style>
  <w:style w:type="character" w:customStyle="1" w:styleId="52">
    <w:name w:val="页眉 Char"/>
    <w:link w:val="17"/>
    <w:qFormat/>
    <w:uiPriority w:val="0"/>
    <w:rPr>
      <w:kern w:val="2"/>
      <w:sz w:val="18"/>
      <w:szCs w:val="18"/>
    </w:rPr>
  </w:style>
  <w:style w:type="character" w:customStyle="1" w:styleId="53">
    <w:name w:val="c正文 字符"/>
    <w:link w:val="54"/>
    <w:qFormat/>
    <w:uiPriority w:val="0"/>
    <w:rPr>
      <w:sz w:val="24"/>
    </w:rPr>
  </w:style>
  <w:style w:type="paragraph" w:customStyle="1" w:styleId="54">
    <w:name w:val="c正文"/>
    <w:basedOn w:val="1"/>
    <w:link w:val="53"/>
    <w:qFormat/>
    <w:uiPriority w:val="0"/>
    <w:pPr>
      <w:adjustRightInd w:val="0"/>
      <w:snapToGrid w:val="0"/>
      <w:spacing w:line="500" w:lineRule="exact"/>
      <w:ind w:firstLine="480" w:firstLineChars="200"/>
    </w:pPr>
    <w:rPr>
      <w:kern w:val="0"/>
      <w:sz w:val="24"/>
      <w:szCs w:val="20"/>
    </w:rPr>
  </w:style>
  <w:style w:type="character" w:customStyle="1" w:styleId="55">
    <w:name w:val="宋小四缩 Char"/>
    <w:link w:val="56"/>
    <w:qFormat/>
    <w:uiPriority w:val="0"/>
    <w:rPr>
      <w:rFonts w:ascii="宋体" w:hAnsi="宋体" w:eastAsia="宋体"/>
      <w:color w:val="000000"/>
      <w:sz w:val="21"/>
      <w:szCs w:val="21"/>
      <w:lang w:val="en-US" w:eastAsia="zh-CN" w:bidi="ar-SA"/>
    </w:rPr>
  </w:style>
  <w:style w:type="paragraph" w:customStyle="1" w:styleId="56">
    <w:name w:val="宋小四缩"/>
    <w:basedOn w:val="1"/>
    <w:link w:val="55"/>
    <w:qFormat/>
    <w:uiPriority w:val="0"/>
    <w:pPr>
      <w:spacing w:line="300" w:lineRule="exact"/>
      <w:jc w:val="center"/>
    </w:pPr>
    <w:rPr>
      <w:rFonts w:ascii="宋体" w:hAnsi="宋体"/>
      <w:color w:val="000000"/>
      <w:kern w:val="0"/>
      <w:szCs w:val="21"/>
    </w:rPr>
  </w:style>
  <w:style w:type="character" w:customStyle="1" w:styleId="57">
    <w:name w:val="批注文字 Char"/>
    <w:link w:val="11"/>
    <w:qFormat/>
    <w:uiPriority w:val="0"/>
    <w:rPr>
      <w:kern w:val="2"/>
      <w:sz w:val="21"/>
      <w:szCs w:val="24"/>
    </w:rPr>
  </w:style>
  <w:style w:type="character" w:customStyle="1" w:styleId="58">
    <w:name w:val="正文文本缩进 Char"/>
    <w:link w:val="3"/>
    <w:qFormat/>
    <w:uiPriority w:val="0"/>
    <w:rPr>
      <w:rFonts w:ascii="宋体" w:hAnsi="宋体"/>
      <w:kern w:val="2"/>
      <w:sz w:val="28"/>
      <w:szCs w:val="24"/>
    </w:rPr>
  </w:style>
  <w:style w:type="character" w:customStyle="1" w:styleId="59">
    <w:name w:val="font41"/>
    <w:basedOn w:val="26"/>
    <w:qFormat/>
    <w:uiPriority w:val="0"/>
    <w:rPr>
      <w:rFonts w:hint="default" w:ascii="Times New Roman" w:hAnsi="Times New Roman" w:cs="Times New Roman"/>
      <w:color w:val="000000"/>
      <w:sz w:val="22"/>
      <w:szCs w:val="22"/>
      <w:u w:val="none"/>
    </w:rPr>
  </w:style>
  <w:style w:type="character" w:customStyle="1" w:styleId="60">
    <w:name w:val="正文文本 Char"/>
    <w:link w:val="4"/>
    <w:qFormat/>
    <w:uiPriority w:val="0"/>
    <w:rPr>
      <w:kern w:val="2"/>
      <w:sz w:val="28"/>
      <w:szCs w:val="24"/>
    </w:rPr>
  </w:style>
  <w:style w:type="character" w:customStyle="1" w:styleId="61">
    <w:name w:val="表头 Char1"/>
    <w:link w:val="62"/>
    <w:qFormat/>
    <w:uiPriority w:val="0"/>
    <w:rPr>
      <w:rFonts w:ascii="黑体" w:eastAsia="黑体"/>
      <w:spacing w:val="20"/>
      <w:kern w:val="2"/>
      <w:sz w:val="24"/>
      <w:szCs w:val="24"/>
    </w:rPr>
  </w:style>
  <w:style w:type="paragraph" w:customStyle="1" w:styleId="62">
    <w:name w:val="表头"/>
    <w:basedOn w:val="1"/>
    <w:link w:val="61"/>
    <w:qFormat/>
    <w:uiPriority w:val="0"/>
    <w:pPr>
      <w:widowControl/>
      <w:spacing w:before="200" w:line="500" w:lineRule="exact"/>
      <w:jc w:val="left"/>
    </w:pPr>
    <w:rPr>
      <w:rFonts w:ascii="黑体" w:eastAsia="黑体"/>
      <w:spacing w:val="20"/>
      <w:sz w:val="24"/>
    </w:rPr>
  </w:style>
  <w:style w:type="character" w:customStyle="1" w:styleId="63">
    <w:name w:val="fontborder"/>
    <w:basedOn w:val="26"/>
    <w:qFormat/>
    <w:uiPriority w:val="0"/>
    <w:rPr>
      <w:bdr w:val="single" w:color="000000" w:sz="6" w:space="0"/>
    </w:rPr>
  </w:style>
  <w:style w:type="character" w:customStyle="1" w:styleId="64">
    <w:name w:val="表格标题 Char"/>
    <w:link w:val="65"/>
    <w:qFormat/>
    <w:uiPriority w:val="0"/>
    <w:rPr>
      <w:b/>
      <w:kern w:val="2"/>
      <w:sz w:val="21"/>
      <w:szCs w:val="22"/>
    </w:rPr>
  </w:style>
  <w:style w:type="paragraph" w:customStyle="1" w:styleId="65">
    <w:name w:val="表格标题"/>
    <w:basedOn w:val="1"/>
    <w:next w:val="1"/>
    <w:link w:val="64"/>
    <w:qFormat/>
    <w:uiPriority w:val="0"/>
    <w:pPr>
      <w:spacing w:beforeLines="50"/>
      <w:ind w:left="420" w:hanging="420"/>
      <w:jc w:val="center"/>
    </w:pPr>
    <w:rPr>
      <w:b/>
      <w:szCs w:val="22"/>
    </w:rPr>
  </w:style>
  <w:style w:type="character" w:customStyle="1" w:styleId="66">
    <w:name w:val="font11"/>
    <w:basedOn w:val="26"/>
    <w:qFormat/>
    <w:uiPriority w:val="0"/>
    <w:rPr>
      <w:rFonts w:hint="default" w:ascii="Times New Roman" w:hAnsi="Times New Roman" w:cs="Times New Roman"/>
      <w:color w:val="000000"/>
      <w:sz w:val="22"/>
      <w:szCs w:val="22"/>
      <w:u w:val="none"/>
      <w:vertAlign w:val="subscript"/>
    </w:rPr>
  </w:style>
  <w:style w:type="character" w:customStyle="1" w:styleId="67">
    <w:name w:val="表格文字 Char"/>
    <w:link w:val="68"/>
    <w:qFormat/>
    <w:uiPriority w:val="0"/>
    <w:rPr>
      <w:kern w:val="2"/>
      <w:sz w:val="21"/>
      <w:szCs w:val="22"/>
    </w:rPr>
  </w:style>
  <w:style w:type="paragraph" w:customStyle="1" w:styleId="68">
    <w:name w:val="表格文字"/>
    <w:basedOn w:val="4"/>
    <w:link w:val="67"/>
    <w:qFormat/>
    <w:uiPriority w:val="0"/>
    <w:pPr>
      <w:jc w:val="center"/>
    </w:pPr>
    <w:rPr>
      <w:sz w:val="21"/>
      <w:szCs w:val="22"/>
    </w:rPr>
  </w:style>
  <w:style w:type="character" w:customStyle="1" w:styleId="69">
    <w:name w:val="5文章(治) Char"/>
    <w:link w:val="70"/>
    <w:qFormat/>
    <w:uiPriority w:val="0"/>
    <w:rPr>
      <w:kern w:val="2"/>
      <w:sz w:val="24"/>
    </w:rPr>
  </w:style>
  <w:style w:type="paragraph" w:customStyle="1" w:styleId="70">
    <w:name w:val="5文章(治)"/>
    <w:basedOn w:val="1"/>
    <w:link w:val="69"/>
    <w:qFormat/>
    <w:uiPriority w:val="0"/>
    <w:pPr>
      <w:widowControl/>
      <w:spacing w:line="360" w:lineRule="auto"/>
      <w:ind w:firstLine="560" w:firstLineChars="200"/>
      <w:jc w:val="left"/>
    </w:pPr>
    <w:rPr>
      <w:sz w:val="24"/>
      <w:szCs w:val="20"/>
    </w:rPr>
  </w:style>
  <w:style w:type="character" w:customStyle="1" w:styleId="71">
    <w:name w:val="apple-converted-space"/>
    <w:basedOn w:val="26"/>
    <w:qFormat/>
    <w:uiPriority w:val="0"/>
  </w:style>
  <w:style w:type="character" w:customStyle="1" w:styleId="72">
    <w:name w:val="脚注文本 Char"/>
    <w:basedOn w:val="26"/>
    <w:link w:val="18"/>
    <w:qFormat/>
    <w:uiPriority w:val="0"/>
    <w:rPr>
      <w:kern w:val="2"/>
      <w:sz w:val="18"/>
      <w:szCs w:val="18"/>
    </w:rPr>
  </w:style>
  <w:style w:type="character" w:customStyle="1" w:styleId="73">
    <w:name w:val="正文文本缩进 2 Char"/>
    <w:link w:val="14"/>
    <w:qFormat/>
    <w:uiPriority w:val="0"/>
    <w:rPr>
      <w:kern w:val="2"/>
      <w:sz w:val="28"/>
      <w:szCs w:val="24"/>
    </w:rPr>
  </w:style>
  <w:style w:type="character" w:customStyle="1" w:styleId="74">
    <w:name w:val="文档结构图 Char"/>
    <w:link w:val="10"/>
    <w:qFormat/>
    <w:uiPriority w:val="0"/>
    <w:rPr>
      <w:rFonts w:ascii="宋体"/>
      <w:kern w:val="2"/>
      <w:sz w:val="18"/>
      <w:szCs w:val="18"/>
    </w:rPr>
  </w:style>
  <w:style w:type="character" w:customStyle="1" w:styleId="75">
    <w:name w:val="font01"/>
    <w:basedOn w:val="26"/>
    <w:qFormat/>
    <w:uiPriority w:val="0"/>
    <w:rPr>
      <w:rFonts w:hint="eastAsia" w:ascii="宋体" w:hAnsi="宋体" w:eastAsia="宋体" w:cs="宋体"/>
      <w:color w:val="000000"/>
      <w:sz w:val="22"/>
      <w:szCs w:val="22"/>
      <w:u w:val="none"/>
      <w:vertAlign w:val="subscript"/>
    </w:rPr>
  </w:style>
  <w:style w:type="character" w:customStyle="1" w:styleId="76">
    <w:name w:val="表头 Char Char"/>
    <w:link w:val="77"/>
    <w:qFormat/>
    <w:uiPriority w:val="0"/>
    <w:rPr>
      <w:rFonts w:eastAsia="黑体"/>
      <w:kern w:val="2"/>
      <w:sz w:val="24"/>
    </w:rPr>
  </w:style>
  <w:style w:type="paragraph" w:customStyle="1" w:styleId="77">
    <w:name w:val="表头 Char"/>
    <w:basedOn w:val="1"/>
    <w:link w:val="76"/>
    <w:qFormat/>
    <w:uiPriority w:val="0"/>
    <w:pPr>
      <w:spacing w:before="200"/>
    </w:pPr>
    <w:rPr>
      <w:rFonts w:eastAsia="黑体"/>
      <w:sz w:val="24"/>
      <w:szCs w:val="20"/>
    </w:rPr>
  </w:style>
  <w:style w:type="character" w:customStyle="1" w:styleId="78">
    <w:name w:val="f141"/>
    <w:qFormat/>
    <w:uiPriority w:val="0"/>
    <w:rPr>
      <w:sz w:val="21"/>
      <w:szCs w:val="21"/>
    </w:rPr>
  </w:style>
  <w:style w:type="character" w:customStyle="1" w:styleId="79">
    <w:name w:val="font21"/>
    <w:basedOn w:val="26"/>
    <w:qFormat/>
    <w:uiPriority w:val="0"/>
    <w:rPr>
      <w:rFonts w:hint="eastAsia" w:ascii="宋体" w:hAnsi="宋体" w:eastAsia="宋体" w:cs="宋体"/>
      <w:color w:val="000000"/>
      <w:sz w:val="22"/>
      <w:szCs w:val="22"/>
      <w:u w:val="none"/>
    </w:rPr>
  </w:style>
  <w:style w:type="character" w:customStyle="1" w:styleId="80">
    <w:name w:val="批注主题 Char"/>
    <w:link w:val="22"/>
    <w:qFormat/>
    <w:uiPriority w:val="0"/>
    <w:rPr>
      <w:b/>
      <w:bCs/>
      <w:kern w:val="2"/>
      <w:sz w:val="21"/>
      <w:szCs w:val="24"/>
    </w:rPr>
  </w:style>
  <w:style w:type="character" w:customStyle="1" w:styleId="81">
    <w:name w:val="Char Char2"/>
    <w:qFormat/>
    <w:uiPriority w:val="0"/>
    <w:rPr>
      <w:color w:val="000000"/>
      <w:kern w:val="2"/>
      <w:sz w:val="28"/>
      <w:szCs w:val="24"/>
    </w:rPr>
  </w:style>
  <w:style w:type="character" w:customStyle="1" w:styleId="82">
    <w:name w:val="正文缩进 Char"/>
    <w:qFormat/>
    <w:uiPriority w:val="0"/>
    <w:rPr>
      <w:rFonts w:eastAsia="宋体"/>
      <w:kern w:val="2"/>
      <w:sz w:val="24"/>
      <w:lang w:val="en-US" w:eastAsia="zh-CN" w:bidi="ar-SA"/>
    </w:rPr>
  </w:style>
  <w:style w:type="character" w:customStyle="1" w:styleId="83">
    <w:name w:val="纯文本 Char"/>
    <w:link w:val="13"/>
    <w:qFormat/>
    <w:uiPriority w:val="99"/>
    <w:rPr>
      <w:rFonts w:ascii="宋体" w:hAnsi="Courier New"/>
      <w:kern w:val="2"/>
      <w:sz w:val="21"/>
    </w:rPr>
  </w:style>
  <w:style w:type="character" w:customStyle="1" w:styleId="84">
    <w:name w:val="段落 Char"/>
    <w:link w:val="85"/>
    <w:qFormat/>
    <w:uiPriority w:val="0"/>
    <w:rPr>
      <w:rFonts w:ascii="宋体" w:hAnsi="Courier New"/>
      <w:kern w:val="2"/>
      <w:sz w:val="28"/>
      <w:szCs w:val="24"/>
    </w:rPr>
  </w:style>
  <w:style w:type="paragraph" w:customStyle="1" w:styleId="85">
    <w:name w:val="段落"/>
    <w:basedOn w:val="13"/>
    <w:link w:val="84"/>
    <w:qFormat/>
    <w:uiPriority w:val="0"/>
    <w:pPr>
      <w:spacing w:line="500" w:lineRule="exact"/>
      <w:ind w:firstLine="578"/>
    </w:pPr>
    <w:rPr>
      <w:sz w:val="28"/>
      <w:szCs w:val="24"/>
    </w:rPr>
  </w:style>
  <w:style w:type="character" w:customStyle="1" w:styleId="86">
    <w:name w:val="fontstrikethrough"/>
    <w:basedOn w:val="26"/>
    <w:qFormat/>
    <w:uiPriority w:val="0"/>
    <w:rPr>
      <w:strike/>
    </w:rPr>
  </w:style>
  <w:style w:type="paragraph" w:customStyle="1" w:styleId="87">
    <w:name w:val="Char"/>
    <w:basedOn w:val="1"/>
    <w:qFormat/>
    <w:uiPriority w:val="0"/>
    <w:pPr>
      <w:snapToGrid w:val="0"/>
      <w:spacing w:line="360" w:lineRule="auto"/>
      <w:ind w:firstLine="529" w:firstLineChars="200"/>
    </w:pPr>
    <w:rPr>
      <w:rFonts w:ascii="宋体" w:hAnsi="宋体"/>
      <w:b/>
    </w:rPr>
  </w:style>
  <w:style w:type="paragraph" w:customStyle="1" w:styleId="88">
    <w:name w:val="表头格式"/>
    <w:basedOn w:val="1"/>
    <w:qFormat/>
    <w:uiPriority w:val="0"/>
    <w:pPr>
      <w:adjustRightInd w:val="0"/>
      <w:snapToGrid w:val="0"/>
      <w:spacing w:line="520" w:lineRule="exact"/>
      <w:ind w:firstLine="880"/>
      <w:jc w:val="left"/>
    </w:pPr>
    <w:rPr>
      <w:rFonts w:eastAsia="黑体"/>
      <w:snapToGrid w:val="0"/>
      <w:kern w:val="0"/>
      <w:sz w:val="28"/>
      <w:szCs w:val="20"/>
    </w:rPr>
  </w:style>
  <w:style w:type="paragraph" w:customStyle="1" w:styleId="89">
    <w:name w:val="Char Char Char Char"/>
    <w:basedOn w:val="1"/>
    <w:qFormat/>
    <w:uiPriority w:val="0"/>
    <w:pPr>
      <w:spacing w:beforeLines="20" w:line="440" w:lineRule="atLeast"/>
      <w:ind w:firstLine="200" w:firstLineChars="200"/>
    </w:pPr>
    <w:rPr>
      <w:sz w:val="24"/>
    </w:rPr>
  </w:style>
  <w:style w:type="paragraph" w:customStyle="1" w:styleId="90">
    <w:name w:val="中文报告书样式"/>
    <w:basedOn w:val="1"/>
    <w:qFormat/>
    <w:uiPriority w:val="0"/>
    <w:pPr>
      <w:adjustRightInd w:val="0"/>
      <w:spacing w:line="480" w:lineRule="atLeast"/>
      <w:ind w:firstLine="482"/>
      <w:textAlignment w:val="baseline"/>
    </w:pPr>
    <w:rPr>
      <w:rFonts w:cs="宋体"/>
      <w:color w:val="000000"/>
      <w:kern w:val="24"/>
      <w:sz w:val="24"/>
    </w:rPr>
  </w:style>
  <w:style w:type="paragraph" w:customStyle="1" w:styleId="91">
    <w:name w:val="样式 加粗 居中 行距: 固定值 25 磅"/>
    <w:basedOn w:val="1"/>
    <w:qFormat/>
    <w:uiPriority w:val="0"/>
    <w:pPr>
      <w:spacing w:line="500" w:lineRule="exact"/>
      <w:jc w:val="center"/>
    </w:pPr>
    <w:rPr>
      <w:rFonts w:cs="宋体"/>
      <w:b/>
      <w:bCs/>
      <w:szCs w:val="20"/>
    </w:rPr>
  </w:style>
  <w:style w:type="paragraph" w:customStyle="1" w:styleId="92">
    <w:name w:val="TableStyle12"/>
    <w:basedOn w:val="1"/>
    <w:qFormat/>
    <w:uiPriority w:val="0"/>
    <w:pPr>
      <w:jc w:val="center"/>
    </w:pPr>
    <w:rPr>
      <w:sz w:val="24"/>
    </w:rPr>
  </w:style>
  <w:style w:type="paragraph" w:customStyle="1" w:styleId="93">
    <w:name w:val="Char1"/>
    <w:basedOn w:val="1"/>
    <w:qFormat/>
    <w:uiPriority w:val="0"/>
    <w:pPr>
      <w:adjustRightInd w:val="0"/>
      <w:spacing w:line="360" w:lineRule="atLeast"/>
    </w:pPr>
    <w:rPr>
      <w:rFonts w:eastAsia="黑体"/>
      <w:b/>
      <w:kern w:val="28"/>
      <w:sz w:val="28"/>
      <w:szCs w:val="20"/>
    </w:rPr>
  </w:style>
  <w:style w:type="paragraph" w:customStyle="1" w:styleId="94">
    <w:name w:val="Char Char Char1 Char Char Char Char Char Char Char"/>
    <w:basedOn w:val="1"/>
    <w:qFormat/>
    <w:uiPriority w:val="0"/>
    <w:pPr>
      <w:spacing w:line="300" w:lineRule="auto"/>
    </w:pPr>
  </w:style>
  <w:style w:type="paragraph" w:customStyle="1" w:styleId="95">
    <w:name w:val="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6">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97">
    <w:name w:val="正文文本缩进1"/>
    <w:basedOn w:val="1"/>
    <w:qFormat/>
    <w:uiPriority w:val="0"/>
    <w:pPr>
      <w:tabs>
        <w:tab w:val="left" w:pos="210"/>
      </w:tabs>
      <w:spacing w:line="360" w:lineRule="auto"/>
      <w:ind w:firstLine="420" w:firstLineChars="175"/>
    </w:pPr>
    <w:rPr>
      <w:kern w:val="0"/>
      <w:sz w:val="20"/>
    </w:rPr>
  </w:style>
  <w:style w:type="paragraph" w:customStyle="1" w:styleId="98">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99">
    <w:name w:val="表格文字2"/>
    <w:basedOn w:val="1"/>
    <w:qFormat/>
    <w:uiPriority w:val="0"/>
    <w:pPr>
      <w:adjustRightInd w:val="0"/>
      <w:spacing w:before="60"/>
      <w:jc w:val="center"/>
      <w:textAlignment w:val="baseline"/>
    </w:pPr>
    <w:rPr>
      <w:rFonts w:ascii="宋体"/>
      <w:kern w:val="0"/>
      <w:sz w:val="24"/>
      <w:szCs w:val="20"/>
    </w:rPr>
  </w:style>
  <w:style w:type="paragraph" w:customStyle="1" w:styleId="100">
    <w:name w:val="报告正文"/>
    <w:basedOn w:val="1"/>
    <w:qFormat/>
    <w:uiPriority w:val="0"/>
    <w:pPr>
      <w:spacing w:line="480" w:lineRule="exact"/>
      <w:ind w:firstLine="200" w:firstLineChars="200"/>
    </w:pPr>
    <w:rPr>
      <w:color w:val="000000"/>
      <w:sz w:val="24"/>
    </w:rPr>
  </w:style>
  <w:style w:type="paragraph" w:customStyle="1" w:styleId="101">
    <w:name w:val="c表头"/>
    <w:basedOn w:val="1"/>
    <w:qFormat/>
    <w:uiPriority w:val="0"/>
    <w:pPr>
      <w:widowControl/>
      <w:spacing w:afterLines="20" w:line="400" w:lineRule="exact"/>
      <w:ind w:firstLine="413" w:firstLineChars="196"/>
    </w:pPr>
    <w:rPr>
      <w:b/>
      <w:szCs w:val="21"/>
    </w:rPr>
  </w:style>
  <w:style w:type="paragraph" w:customStyle="1" w:styleId="102">
    <w:name w:val="两倍行距"/>
    <w:qFormat/>
    <w:uiPriority w:val="0"/>
    <w:pPr>
      <w:spacing w:line="480" w:lineRule="auto"/>
    </w:pPr>
    <w:rPr>
      <w:rFonts w:ascii="Times New Roman" w:hAnsi="Times New Roman" w:eastAsia="宋体" w:cs="Times New Roman"/>
      <w:b/>
      <w:kern w:val="2"/>
      <w:sz w:val="24"/>
      <w:szCs w:val="24"/>
      <w:lang w:val="en-US" w:eastAsia="zh-CN" w:bidi="ar-SA"/>
    </w:rPr>
  </w:style>
  <w:style w:type="paragraph" w:customStyle="1" w:styleId="103">
    <w:name w:val="Normal Indent1"/>
    <w:basedOn w:val="1"/>
    <w:qFormat/>
    <w:uiPriority w:val="0"/>
    <w:pPr>
      <w:spacing w:line="520" w:lineRule="exact"/>
      <w:ind w:firstLine="624"/>
    </w:pPr>
    <w:rPr>
      <w:sz w:val="28"/>
      <w:szCs w:val="20"/>
    </w:rPr>
  </w:style>
  <w:style w:type="paragraph" w:customStyle="1" w:styleId="104">
    <w:name w:val="赵正文"/>
    <w:basedOn w:val="1"/>
    <w:qFormat/>
    <w:uiPriority w:val="0"/>
    <w:pPr>
      <w:spacing w:line="520" w:lineRule="exact"/>
      <w:ind w:firstLine="640" w:firstLineChars="200"/>
    </w:pPr>
    <w:rPr>
      <w:kern w:val="0"/>
      <w:sz w:val="24"/>
    </w:rPr>
  </w:style>
  <w:style w:type="paragraph" w:customStyle="1" w:styleId="105">
    <w:name w:val="表头 +1行"/>
    <w:basedOn w:val="88"/>
    <w:qFormat/>
    <w:uiPriority w:val="0"/>
    <w:pPr>
      <w:spacing w:before="312"/>
    </w:pPr>
    <w:rPr>
      <w:rFonts w:cs="宋体"/>
    </w:rPr>
  </w:style>
  <w:style w:type="paragraph" w:customStyle="1" w:styleId="10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7">
    <w:name w:val="正文缩进3"/>
    <w:basedOn w:val="1"/>
    <w:qFormat/>
    <w:uiPriority w:val="0"/>
    <w:rPr>
      <w:sz w:val="28"/>
      <w:szCs w:val="20"/>
    </w:rPr>
  </w:style>
  <w:style w:type="paragraph" w:customStyle="1" w:styleId="10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09">
    <w:name w:val="+正文"/>
    <w:basedOn w:val="1"/>
    <w:qFormat/>
    <w:uiPriority w:val="0"/>
    <w:pPr>
      <w:spacing w:line="360" w:lineRule="auto"/>
      <w:ind w:firstLine="200" w:firstLineChars="200"/>
    </w:pPr>
    <w:rPr>
      <w:sz w:val="24"/>
      <w:szCs w:val="28"/>
    </w:rPr>
  </w:style>
  <w:style w:type="paragraph" w:customStyle="1" w:styleId="110">
    <w:name w:val="正文缩进11"/>
    <w:basedOn w:val="1"/>
    <w:qFormat/>
    <w:uiPriority w:val="0"/>
  </w:style>
  <w:style w:type="paragraph" w:customStyle="1" w:styleId="111">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12">
    <w:name w:val="报告表表格文字"/>
    <w:basedOn w:val="1"/>
    <w:qFormat/>
    <w:uiPriority w:val="0"/>
    <w:pPr>
      <w:autoSpaceDE w:val="0"/>
      <w:autoSpaceDN w:val="0"/>
      <w:adjustRightInd w:val="0"/>
      <w:snapToGrid w:val="0"/>
      <w:spacing w:line="360" w:lineRule="exact"/>
      <w:jc w:val="center"/>
    </w:pPr>
    <w:rPr>
      <w:color w:val="000000"/>
      <w:kern w:val="0"/>
      <w:szCs w:val="21"/>
    </w:rPr>
  </w:style>
  <w:style w:type="paragraph" w:customStyle="1" w:styleId="113">
    <w:name w:val="Table Paragraph"/>
    <w:basedOn w:val="1"/>
    <w:qFormat/>
    <w:uiPriority w:val="1"/>
    <w:pPr>
      <w:autoSpaceDE w:val="0"/>
      <w:autoSpaceDN w:val="0"/>
      <w:adjustRightInd w:val="0"/>
      <w:jc w:val="left"/>
    </w:pPr>
    <w:rPr>
      <w:kern w:val="0"/>
      <w:sz w:val="24"/>
    </w:rPr>
  </w:style>
  <w:style w:type="paragraph" w:customStyle="1" w:styleId="114">
    <w:name w:val="TableStyle10.5"/>
    <w:basedOn w:val="1"/>
    <w:qFormat/>
    <w:uiPriority w:val="0"/>
    <w:pPr>
      <w:jc w:val="center"/>
    </w:pPr>
  </w:style>
  <w:style w:type="paragraph" w:customStyle="1" w:styleId="115">
    <w:name w:val="正文AAA"/>
    <w:basedOn w:val="1"/>
    <w:qFormat/>
    <w:uiPriority w:val="0"/>
    <w:pPr>
      <w:spacing w:line="500" w:lineRule="exact"/>
      <w:ind w:firstLine="480" w:firstLineChars="200"/>
    </w:pPr>
    <w:rPr>
      <w:rFonts w:ascii="宋体" w:hAnsi="宋体"/>
      <w:sz w:val="24"/>
      <w:szCs w:val="20"/>
    </w:rPr>
  </w:style>
  <w:style w:type="paragraph" w:customStyle="1" w:styleId="116">
    <w:name w:val="正文表"/>
    <w:basedOn w:val="1"/>
    <w:qFormat/>
    <w:uiPriority w:val="0"/>
    <w:pPr>
      <w:widowControl/>
      <w:tabs>
        <w:tab w:val="left" w:pos="0"/>
      </w:tabs>
      <w:spacing w:line="440" w:lineRule="exact"/>
      <w:jc w:val="center"/>
    </w:pPr>
    <w:rPr>
      <w:rFonts w:ascii="宋体" w:hAnsi="宋体" w:cs="宋体"/>
      <w:kern w:val="0"/>
      <w:sz w:val="24"/>
    </w:rPr>
  </w:style>
  <w:style w:type="paragraph" w:customStyle="1" w:styleId="117">
    <w:name w:val="c标3"/>
    <w:basedOn w:val="1"/>
    <w:qFormat/>
    <w:uiPriority w:val="0"/>
    <w:pPr>
      <w:spacing w:line="500" w:lineRule="exact"/>
      <w:ind w:firstLine="98" w:firstLineChars="98"/>
    </w:pPr>
    <w:rPr>
      <w:b/>
      <w:sz w:val="24"/>
      <w:szCs w:val="21"/>
    </w:rPr>
  </w:style>
  <w:style w:type="paragraph" w:customStyle="1" w:styleId="118">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119">
    <w:name w:val="text1"/>
    <w:basedOn w:val="1"/>
    <w:qFormat/>
    <w:uiPriority w:val="0"/>
    <w:pPr>
      <w:widowControl/>
      <w:spacing w:before="100" w:beforeAutospacing="1" w:after="100" w:afterAutospacing="1" w:line="300" w:lineRule="atLeast"/>
      <w:jc w:val="left"/>
    </w:pPr>
    <w:rPr>
      <w:rFonts w:ascii="Verdana" w:hAnsi="Verdana" w:cs="宋体"/>
      <w:color w:val="0067BA"/>
      <w:kern w:val="0"/>
      <w:sz w:val="18"/>
      <w:szCs w:val="18"/>
    </w:rPr>
  </w:style>
  <w:style w:type="paragraph" w:customStyle="1" w:styleId="120">
    <w:name w:val="报告书表格"/>
    <w:basedOn w:val="1"/>
    <w:qFormat/>
    <w:uiPriority w:val="0"/>
    <w:pPr>
      <w:adjustRightInd w:val="0"/>
      <w:spacing w:before="60" w:after="60" w:line="240" w:lineRule="atLeast"/>
      <w:jc w:val="center"/>
      <w:textAlignment w:val="baseline"/>
    </w:pPr>
    <w:rPr>
      <w:kern w:val="0"/>
      <w:szCs w:val="20"/>
    </w:rPr>
  </w:style>
  <w:style w:type="paragraph" w:customStyle="1" w:styleId="121">
    <w:name w:val="样式 样式 标题 211.1标题 21.1标题2标题 2 Char Char节SeHead wsa2二级标题节标题... + 段..."/>
    <w:basedOn w:val="1"/>
    <w:qFormat/>
    <w:uiPriority w:val="0"/>
    <w:pPr>
      <w:keepNext/>
      <w:keepLines/>
      <w:adjustRightInd w:val="0"/>
      <w:snapToGrid w:val="0"/>
      <w:spacing w:beforeLines="50" w:afterLines="50" w:line="360" w:lineRule="auto"/>
      <w:outlineLvl w:val="1"/>
    </w:pPr>
    <w:rPr>
      <w:rFonts w:cs="宋体"/>
      <w:b/>
      <w:bCs/>
      <w:sz w:val="28"/>
      <w:szCs w:val="20"/>
    </w:rPr>
  </w:style>
  <w:style w:type="paragraph" w:styleId="122">
    <w:name w:val="List Paragraph"/>
    <w:basedOn w:val="1"/>
    <w:qFormat/>
    <w:uiPriority w:val="0"/>
    <w:pPr>
      <w:ind w:firstLine="420" w:firstLineChars="200"/>
    </w:pPr>
  </w:style>
  <w:style w:type="paragraph" w:customStyle="1" w:styleId="123">
    <w:name w:val="报告"/>
    <w:basedOn w:val="1"/>
    <w:qFormat/>
    <w:uiPriority w:val="0"/>
    <w:pPr>
      <w:adjustRightInd w:val="0"/>
      <w:spacing w:line="360" w:lineRule="auto"/>
      <w:ind w:firstLine="505"/>
      <w:textAlignment w:val="baseline"/>
    </w:pPr>
    <w:rPr>
      <w:kern w:val="0"/>
      <w:sz w:val="24"/>
      <w:szCs w:val="20"/>
    </w:rPr>
  </w:style>
  <w:style w:type="paragraph" w:customStyle="1" w:styleId="124">
    <w:name w:val="正文缩进1"/>
    <w:basedOn w:val="1"/>
    <w:qFormat/>
    <w:uiPriority w:val="0"/>
    <w:rPr>
      <w:sz w:val="28"/>
    </w:rPr>
  </w:style>
  <w:style w:type="paragraph" w:customStyle="1" w:styleId="125">
    <w:name w:val="Char11"/>
    <w:basedOn w:val="1"/>
    <w:next w:val="1"/>
    <w:qFormat/>
    <w:uiPriority w:val="0"/>
    <w:pPr>
      <w:spacing w:line="360" w:lineRule="auto"/>
      <w:ind w:firstLine="200" w:firstLineChars="200"/>
    </w:pPr>
    <w:rPr>
      <w:b/>
      <w:sz w:val="24"/>
    </w:rPr>
  </w:style>
  <w:style w:type="paragraph" w:customStyle="1" w:styleId="126">
    <w:name w:val="五号表格"/>
    <w:basedOn w:val="1"/>
    <w:qFormat/>
    <w:uiPriority w:val="0"/>
    <w:pPr>
      <w:jc w:val="center"/>
    </w:pPr>
  </w:style>
  <w:style w:type="paragraph" w:customStyle="1" w:styleId="127">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128">
    <w:name w:val="默认段落字体 Para Char Char Char Char"/>
    <w:basedOn w:val="1"/>
    <w:qFormat/>
    <w:uiPriority w:val="0"/>
    <w:rPr>
      <w:sz w:val="24"/>
    </w:rPr>
  </w:style>
  <w:style w:type="paragraph" w:customStyle="1" w:styleId="129">
    <w:name w:val="表格"/>
    <w:basedOn w:val="1"/>
    <w:qFormat/>
    <w:uiPriority w:val="0"/>
    <w:pPr>
      <w:adjustRightInd w:val="0"/>
      <w:snapToGrid w:val="0"/>
      <w:spacing w:line="360" w:lineRule="atLeast"/>
      <w:jc w:val="center"/>
    </w:pPr>
    <w:rPr>
      <w:snapToGrid w:val="0"/>
      <w:kern w:val="0"/>
    </w:rPr>
  </w:style>
  <w:style w:type="paragraph" w:customStyle="1" w:styleId="130">
    <w:name w:val="正文五"/>
    <w:basedOn w:val="1"/>
    <w:qFormat/>
    <w:uiPriority w:val="0"/>
    <w:pPr>
      <w:snapToGrid w:val="0"/>
      <w:jc w:val="center"/>
    </w:pPr>
    <w:rPr>
      <w:sz w:val="24"/>
      <w:szCs w:val="20"/>
    </w:rPr>
  </w:style>
  <w:style w:type="paragraph" w:customStyle="1" w:styleId="131">
    <w:name w:val="content5"/>
    <w:basedOn w:val="1"/>
    <w:qFormat/>
    <w:uiPriority w:val="0"/>
    <w:pPr>
      <w:widowControl/>
      <w:spacing w:before="100" w:beforeAutospacing="1" w:after="100" w:afterAutospacing="1"/>
      <w:jc w:val="left"/>
    </w:pPr>
    <w:rPr>
      <w:rFonts w:ascii="宋体" w:hAnsi="宋体" w:cs="宋体"/>
      <w:kern w:val="0"/>
      <w:sz w:val="24"/>
    </w:rPr>
  </w:style>
  <w:style w:type="paragraph" w:customStyle="1" w:styleId="132">
    <w:name w:val="c表内容"/>
    <w:basedOn w:val="1"/>
    <w:qFormat/>
    <w:uiPriority w:val="0"/>
    <w:pPr>
      <w:spacing w:line="320" w:lineRule="exact"/>
      <w:jc w:val="center"/>
    </w:pPr>
    <w:rPr>
      <w:szCs w:val="21"/>
    </w:rPr>
  </w:style>
  <w:style w:type="character" w:customStyle="1" w:styleId="133">
    <w:name w:val="16"/>
    <w:basedOn w:val="26"/>
    <w:qFormat/>
    <w:uiPriority w:val="0"/>
    <w:rPr>
      <w:rFonts w:hint="default" w:ascii="Calibri" w:hAnsi="Calibri" w:cs="Calibri"/>
      <w:sz w:val="21"/>
      <w:szCs w:val="21"/>
    </w:rPr>
  </w:style>
  <w:style w:type="paragraph" w:customStyle="1" w:styleId="134">
    <w:name w:val="君邦正文"/>
    <w:qFormat/>
    <w:uiPriority w:val="0"/>
    <w:pPr>
      <w:spacing w:after="60" w:line="360" w:lineRule="auto"/>
      <w:ind w:firstLine="480" w:firstLineChars="200"/>
      <w:jc w:val="both"/>
    </w:pPr>
    <w:rPr>
      <w:rFonts w:ascii="宋体" w:hAnsi="宋体" w:eastAsia="宋体" w:cs="Times New Roman"/>
      <w:bCs/>
      <w:snapToGrid w:val="0"/>
      <w:sz w:val="24"/>
      <w:szCs w:val="22"/>
      <w:lang w:val="en-US" w:eastAsia="zh-CN" w:bidi="ar-SA"/>
    </w:rPr>
  </w:style>
  <w:style w:type="paragraph" w:customStyle="1" w:styleId="135">
    <w:name w:val="表格啊啊"/>
    <w:basedOn w:val="1"/>
    <w:qFormat/>
    <w:uiPriority w:val="0"/>
    <w:pPr>
      <w:autoSpaceDE w:val="0"/>
      <w:autoSpaceDN w:val="0"/>
      <w:adjustRightInd w:val="0"/>
      <w:snapToGrid w:val="0"/>
      <w:jc w:val="center"/>
    </w:pPr>
    <w:rPr>
      <w:rFonts w:hAnsi="宋体"/>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wmf"/><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wmf"/><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323"/>
    <customShpInfo spid="_x0000_s2321"/>
    <customShpInfo spid="_x0000_s2329"/>
    <customShpInfo spid="_x0000_s2330"/>
    <customShpInfo spid="_x0000_s2326"/>
    <customShpInfo spid="_x0000_s2328"/>
    <customShpInfo spid="_x0000_s2320"/>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58"/>
    <customShpInfo spid="_x0000_s2130"/>
    <customShpInfo spid="_x0000_s2117"/>
    <customShpInfo spid="_x0000_s2357"/>
    <customShpInfo spid="_x0000_s2314"/>
    <customShpInfo spid="_x0000_s231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4450</Words>
  <Characters>25367</Characters>
  <Lines>211</Lines>
  <Paragraphs>59</Paragraphs>
  <TotalTime>0</TotalTime>
  <ScaleCrop>false</ScaleCrop>
  <LinksUpToDate>false</LinksUpToDate>
  <CharactersWithSpaces>29758</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2019-11-27T09:04:00Z</dcterms:created>
  <dc:creator>user</dc:creator>
  <cp:lastModifiedBy>Administrator</cp:lastModifiedBy>
  <cp:lastPrinted>2020-09-02T11:01:00Z</cp:lastPrinted>
  <dcterms:modified xsi:type="dcterms:W3CDTF">2020-09-03T08:16:50Z</dcterms:modified>
  <dc:title>建设项目基本情况</dc:title>
  <cp:revision>1176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