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2399" w:firstLineChars="543"/>
        <w:outlineLvl w:val="0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转移支付情况说明</w:t>
      </w:r>
    </w:p>
    <w:p>
      <w:pPr>
        <w:adjustRightInd w:val="0"/>
        <w:snapToGrid w:val="0"/>
        <w:spacing w:line="580" w:lineRule="exact"/>
        <w:ind w:firstLine="883" w:firstLineChars="200"/>
        <w:jc w:val="center"/>
        <w:outlineLvl w:val="0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2020年我县收到上级补助收入69399万元，其中：返还性收入4494万元，一般性转移支付收入64099万元，专项转移支付收入806万元</w:t>
      </w:r>
      <w:r>
        <w:rPr>
          <w:rFonts w:hint="eastAsia" w:ascii="仿宋" w:hAnsi="仿宋" w:eastAsia="仿宋"/>
          <w:sz w:val="32"/>
          <w:szCs w:val="32"/>
        </w:rPr>
        <w:t>。具体项目情况是：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1、返还性收入4494万元，其中，增值税税收返还4319万元，消费税税收返还2万元，所得税基数返还2431万元，成品油税费改革税收返还991万元，增值税收入划分税收返还-3249万元。</w:t>
      </w:r>
    </w:p>
    <w:p>
      <w:pPr>
        <w:adjustRightInd w:val="0"/>
        <w:snapToGrid w:val="0"/>
        <w:spacing w:line="58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一般性转移支付收入64099万元，其中，均衡性转移支付26035万元，结算补助收入2527万元，产粮（油）大县奖励资金收入1141万元，贫困地区转移支付164万元，公共安全共同财政事权转移支付收入828万元，教育共同财政事权转移支付收入7440万元，文化旅游体育与传媒共同财政事权转移支付收入54万元，社会保障和就业共同财政事权转移支付收入10440万元，医疗卫生共同财政事权转移支付收入14683万元，农林水共同财政事权转移支付收入431万元，交通运输共同财政事权转移支付收入136万元，住房保障共同财政事权转移支付收入220万元。</w:t>
      </w:r>
    </w:p>
    <w:p>
      <w:pPr>
        <w:adjustRightInd w:val="0"/>
        <w:snapToGrid w:val="0"/>
        <w:spacing w:line="58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3、专项转移支付收入806万元，其中，一般公共服务转移支付4万元，教育转移支付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/>
          <w:sz w:val="32"/>
          <w:szCs w:val="32"/>
        </w:rPr>
        <w:t>万元，社会保障和就业转移支付12万元，卫生健康转移支付56万元，农林水转移支付574万元。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7B8"/>
    <w:rsid w:val="000B2522"/>
    <w:rsid w:val="0025342C"/>
    <w:rsid w:val="005703C8"/>
    <w:rsid w:val="006E241A"/>
    <w:rsid w:val="00AF77B8"/>
    <w:rsid w:val="257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3</Lines>
  <Paragraphs>1</Paragraphs>
  <TotalTime>22</TotalTime>
  <ScaleCrop>false</ScaleCrop>
  <LinksUpToDate>false</LinksUpToDate>
  <CharactersWithSpaces>557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2019-11-22T06:11:00Z</dcterms:created>
  <dc:creator>Windows 用户</dc:creator>
  <cp:lastModifiedBy>yusuan</cp:lastModifiedBy>
  <dcterms:modified xsi:type="dcterms:W3CDTF">2021-05-20T07:24:19Z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C8C67BBAF8F846DF89DECA7AAA6BCB56</vt:lpwstr>
  </property>
</Properties>
</file>