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jc w:val="center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  <w:t>新乡县基本公共文化服务目录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5102"/>
        <w:gridCol w:w="1433"/>
        <w:gridCol w:w="2150"/>
        <w:gridCol w:w="196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实施标准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公共文化场馆免费开放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图书馆、文化馆（站）、城市书房等公共文化设施免费开放，基本服务项目健全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全县公共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文化场所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各文化站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公共体育设施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免费开放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公共体育健身设施器材免费开放，基本服务健全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全县公共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健身场所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教体局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各文化站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收听广播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为农村居民提供日常广播服务，实现农村广播“村村通”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收看电视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通过直播卫星提供不少于25套电视节目，通过地面数字电视提供不少于15套电视节目。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观看电影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为农村群众提供数字电影公益放映服务，每个行政村每年放映12场。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融媒体中心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电影公司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送戏下乡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根据群众实际需求，开展为农村每年送戏曲下乡文艺演出，每年30场以上。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各文化站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群众性文体活动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组织群众文化活动20次以上，免费指导群众文体活动常态化开展，文化馆及文化站每年组织群众文体活动5次以上。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全县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文旅局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各文化站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公益性展览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文化馆每年举办公益性展览不少于5次。图书馆每年举办公益性展览不少于4次。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县级各公共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文化场馆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公益性培训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文化馆每年举办培训次数不少于6次。图书馆每年举办公益性讲座不少于6次。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县级各公共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文化场馆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文化信息资源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共享工程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免费向群众提供wifi上网服务，图书馆、文化馆建有面向群众服务的数字文化服务平台。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县级各公共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文化场馆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全民阅读活动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图书馆组织开展全民阅读活动每年不少于6次。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县图书馆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乡村文化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合作社建设</w:t>
            </w:r>
          </w:p>
        </w:tc>
        <w:tc>
          <w:tcPr>
            <w:tcW w:w="510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健全乡村文化合作社运行机制，规范文化合作社建设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、管理和运行，覆盖面应不低于20%。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村级文化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各文化站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0FC7"/>
    <w:rsid w:val="276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2022-02-11T06:33:00Z</dcterms:created>
  <dc:creator>WPS_1553736357</dc:creator>
  <cp:lastModifiedBy>WPS_1553736357</cp:lastModifiedBy>
  <dcterms:modified xsi:type="dcterms:W3CDTF">2022-02-11T06:33:21Z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57CB83140B5D45AA95D81591B66C3379</vt:lpwstr>
  </property>
</Properties>
</file>