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rFonts w:hint="default" w:ascii="Times New Roman" w:hAnsi="Times New Roman" w:cs="Times New Roman"/>
                <w:b/>
                <w:bCs/>
                <w:kern w:val="0"/>
                <w:sz w:val="36"/>
                <w:szCs w:val="36"/>
              </w:rPr>
            </w:pPr>
            <w:r>
              <w:rPr>
                <w:rFonts w:hint="default" w:ascii="Times New Roman" w:hAnsi="Times New Roman" w:cs="Times New Roman"/>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rFonts w:hint="default" w:ascii="Times New Roman" w:hAnsi="Times New Roman" w:cs="Times New Roman"/>
                <w:kern w:val="0"/>
                <w:sz w:val="32"/>
                <w:szCs w:val="32"/>
              </w:rPr>
            </w:pPr>
            <w:r>
              <w:rPr>
                <w:rFonts w:hint="default" w:ascii="Times New Roman" w:hAnsi="Times New Roman" w:cs="Times New Roman"/>
                <w:kern w:val="0"/>
                <w:sz w:val="24"/>
                <w:szCs w:val="24"/>
              </w:rPr>
              <w:t>（</w:t>
            </w:r>
            <w:r>
              <w:rPr>
                <w:rFonts w:hint="eastAsia" w:cs="Times New Roman"/>
                <w:kern w:val="0"/>
                <w:sz w:val="24"/>
                <w:szCs w:val="24"/>
                <w:lang w:val="en-US" w:eastAsia="zh-CN"/>
              </w:rPr>
              <w:t>2021</w:t>
            </w:r>
            <w:r>
              <w:rPr>
                <w:rFonts w:hint="default" w:ascii="Times New Roman" w:hAnsi="Times New Roman" w:cs="Times New Roman"/>
                <w:kern w:val="0"/>
                <w:sz w:val="24"/>
                <w:szCs w:val="24"/>
              </w:rPr>
              <w:t>年度）</w:t>
            </w:r>
          </w:p>
        </w:tc>
      </w:tr>
      <w:tr>
        <w:tblPrEx>
          <w:tblCellMar>
            <w:top w:w="0" w:type="dxa"/>
            <w:left w:w="108" w:type="dxa"/>
            <w:bottom w:w="0" w:type="dxa"/>
            <w:right w:w="108" w:type="dxa"/>
          </w:tblCellMar>
        </w:tblPrEx>
        <w:trPr>
          <w:trHeight w:val="13424" w:hRule="atLeast"/>
        </w:trPr>
        <w:tc>
          <w:tcPr>
            <w:tcW w:w="5000" w:type="pct"/>
            <w:tcBorders>
              <w:bottom w:val="single" w:color="auto" w:sz="4" w:space="0"/>
            </w:tcBorders>
            <w:vAlign w:val="center"/>
          </w:tcPr>
          <w:tbl>
            <w:tblPr>
              <w:tblStyle w:val="13"/>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一般行政管理事务、人大会议</w:t>
                  </w:r>
                  <w:r>
                    <w:rPr>
                      <w:rFonts w:hint="eastAsia" w:ascii="仿宋" w:hAnsi="仿宋" w:eastAsia="仿宋" w:cs="仿宋"/>
                      <w:kern w:val="0"/>
                      <w:sz w:val="24"/>
                      <w:szCs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新乡县人民代表大会常务委员会办公室</w:t>
                  </w:r>
                  <w:r>
                    <w:rPr>
                      <w:rFonts w:hint="eastAsia" w:ascii="仿宋" w:hAnsi="仿宋" w:eastAsia="仿宋" w:cs="仿宋"/>
                      <w:kern w:val="0"/>
                      <w:sz w:val="24"/>
                      <w:szCs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新乡县人大办公室</w:t>
                  </w:r>
                  <w:r>
                    <w:rPr>
                      <w:rFonts w:hint="eastAsia" w:ascii="仿宋" w:hAnsi="仿宋" w:eastAsia="仿宋" w:cs="仿宋"/>
                      <w:kern w:val="0"/>
                      <w:sz w:val="24"/>
                      <w:szCs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项目资金</w:t>
                  </w:r>
                  <w:r>
                    <w:rPr>
                      <w:rFonts w:hint="eastAsia" w:ascii="仿宋" w:hAnsi="仿宋" w:eastAsia="仿宋" w:cs="仿宋"/>
                      <w:kern w:val="0"/>
                      <w:sz w:val="24"/>
                      <w:szCs w:val="24"/>
                    </w:rPr>
                    <w:br w:type="textWrapping"/>
                  </w:r>
                  <w:r>
                    <w:rPr>
                      <w:rFonts w:hint="eastAsia" w:ascii="仿宋" w:hAnsi="仿宋" w:eastAsia="仿宋" w:cs="仿宋"/>
                      <w:kern w:val="0"/>
                      <w:sz w:val="24"/>
                      <w:szCs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rPr>
                    <w:t>　</w:t>
                  </w:r>
                  <w:r>
                    <w:rPr>
                      <w:rFonts w:hint="eastAsia" w:ascii="仿宋" w:hAnsi="仿宋" w:eastAsia="仿宋" w:cs="仿宋"/>
                      <w:kern w:val="0"/>
                      <w:sz w:val="24"/>
                      <w:szCs w:val="24"/>
                      <w:lang w:val="en-US" w:eastAsia="zh-CN"/>
                    </w:rPr>
                    <w:t>138.70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138.70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rPr>
                    <w:t>　</w:t>
                  </w:r>
                  <w:r>
                    <w:rPr>
                      <w:rFonts w:hint="eastAsia" w:ascii="仿宋" w:hAnsi="仿宋" w:eastAsia="仿宋" w:cs="仿宋"/>
                      <w:kern w:val="0"/>
                      <w:sz w:val="24"/>
                      <w:szCs w:val="24"/>
                      <w:lang w:val="en-US" w:eastAsia="zh-CN"/>
                    </w:rPr>
                    <w:t>138.70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138.70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绩</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效</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目</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目标1：</w:t>
                  </w:r>
                  <w:r>
                    <w:rPr>
                      <w:rFonts w:hint="eastAsia" w:ascii="仿宋" w:hAnsi="仿宋" w:eastAsia="仿宋" w:cs="仿宋"/>
                      <w:kern w:val="0"/>
                      <w:sz w:val="24"/>
                      <w:szCs w:val="24"/>
                      <w:lang w:val="en-US" w:eastAsia="zh-CN"/>
                    </w:rPr>
                    <w:t>保证人代会的顺利召开；</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目标2：</w:t>
                  </w:r>
                  <w:r>
                    <w:rPr>
                      <w:rFonts w:hint="eastAsia" w:ascii="仿宋" w:hAnsi="仿宋" w:eastAsia="仿宋" w:cs="仿宋"/>
                      <w:kern w:val="0"/>
                      <w:sz w:val="24"/>
                      <w:szCs w:val="24"/>
                      <w:lang w:val="en-US" w:eastAsia="zh-CN"/>
                    </w:rPr>
                    <w:t>保障人大机关日常办公的需要；</w:t>
                  </w:r>
                </w:p>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目标</w:t>
                  </w: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保障人大有效开展视察调研活动；</w:t>
                  </w:r>
                </w:p>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rPr>
                    <w:t>目标</w:t>
                  </w: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清晰了解新乡县人大的发展史；</w:t>
                  </w:r>
                </w:p>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rPr>
                    <w:t>目标</w:t>
                  </w:r>
                  <w:r>
                    <w:rPr>
                      <w:rFonts w:hint="eastAsia" w:ascii="仿宋" w:hAnsi="仿宋" w:eastAsia="仿宋" w:cs="仿宋"/>
                      <w:kern w:val="0"/>
                      <w:sz w:val="24"/>
                      <w:szCs w:val="24"/>
                      <w:lang w:val="en-US" w:eastAsia="zh-CN"/>
                    </w:rPr>
                    <w:t>5</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保障人大代表履行职务的需要；</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目标</w:t>
                  </w:r>
                  <w:r>
                    <w:rPr>
                      <w:rFonts w:hint="eastAsia" w:ascii="仿宋" w:hAnsi="仿宋" w:eastAsia="仿宋" w:cs="仿宋"/>
                      <w:kern w:val="0"/>
                      <w:sz w:val="24"/>
                      <w:szCs w:val="24"/>
                      <w:lang w:val="en-US" w:eastAsia="zh-CN"/>
                    </w:rPr>
                    <w:t>6</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保障人大代表履职信息的公开性。</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目标1：</w:t>
                  </w:r>
                  <w:r>
                    <w:rPr>
                      <w:rFonts w:hint="eastAsia" w:ascii="仿宋" w:hAnsi="仿宋" w:eastAsia="仿宋" w:cs="仿宋"/>
                      <w:kern w:val="0"/>
                      <w:sz w:val="24"/>
                      <w:szCs w:val="24"/>
                      <w:lang w:val="en-US" w:eastAsia="zh-CN"/>
                    </w:rPr>
                    <w:t>保证人代会的顺利召开；</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目标2：</w:t>
                  </w:r>
                  <w:r>
                    <w:rPr>
                      <w:rFonts w:hint="eastAsia" w:ascii="仿宋" w:hAnsi="仿宋" w:eastAsia="仿宋" w:cs="仿宋"/>
                      <w:kern w:val="0"/>
                      <w:sz w:val="24"/>
                      <w:szCs w:val="24"/>
                      <w:lang w:val="en-US" w:eastAsia="zh-CN"/>
                    </w:rPr>
                    <w:t>保障人大机关日常办公的需要；</w:t>
                  </w:r>
                </w:p>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目标</w:t>
                  </w: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保障人大有效开展视察调研活动；</w:t>
                  </w:r>
                </w:p>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rPr>
                    <w:t>目标</w:t>
                  </w: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清晰了解新乡县人大的发展史；</w:t>
                  </w:r>
                </w:p>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目标</w:t>
                  </w:r>
                  <w:r>
                    <w:rPr>
                      <w:rFonts w:hint="eastAsia" w:ascii="仿宋" w:hAnsi="仿宋" w:eastAsia="仿宋" w:cs="仿宋"/>
                      <w:kern w:val="0"/>
                      <w:sz w:val="24"/>
                      <w:szCs w:val="24"/>
                      <w:lang w:val="en-US" w:eastAsia="zh-CN"/>
                    </w:rPr>
                    <w:t>5</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保障人大代表履行职务的需要；</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目标</w:t>
                  </w:r>
                  <w:r>
                    <w:rPr>
                      <w:rFonts w:hint="eastAsia" w:ascii="仿宋" w:hAnsi="仿宋" w:eastAsia="仿宋" w:cs="仿宋"/>
                      <w:kern w:val="0"/>
                      <w:sz w:val="24"/>
                      <w:szCs w:val="24"/>
                      <w:lang w:val="en-US" w:eastAsia="zh-CN"/>
                    </w:rPr>
                    <w:t>6</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保障人大代表履职信息的公开性。</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绩</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效</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一级</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产</w:t>
                  </w:r>
                  <w:r>
                    <w:rPr>
                      <w:rFonts w:hint="eastAsia" w:ascii="仿宋" w:hAnsi="仿宋" w:eastAsia="仿宋" w:cs="仿宋"/>
                      <w:kern w:val="0"/>
                      <w:sz w:val="24"/>
                      <w:szCs w:val="24"/>
                    </w:rPr>
                    <w:br w:type="textWrapping"/>
                  </w:r>
                  <w:r>
                    <w:rPr>
                      <w:rFonts w:hint="eastAsia" w:ascii="仿宋" w:hAnsi="仿宋" w:eastAsia="仿宋" w:cs="仿宋"/>
                      <w:kern w:val="0"/>
                      <w:sz w:val="24"/>
                      <w:szCs w:val="24"/>
                    </w:rPr>
                    <w:t>出</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人大代表数量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168人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人大代表数量</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168人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购置设备件数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购置设备件数</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机关人员数量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48人</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机关人员数量</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48人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参会率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参会率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≥80%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办公效率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提高</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办公效率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提高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合格率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合格率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100%</w:t>
                  </w:r>
                </w:p>
              </w:tc>
            </w:tr>
            <w:tr>
              <w:tblPrEx>
                <w:tblCellMar>
                  <w:top w:w="0" w:type="dxa"/>
                  <w:left w:w="108" w:type="dxa"/>
                  <w:bottom w:w="0" w:type="dxa"/>
                  <w:right w:w="108" w:type="dxa"/>
                </w:tblCellMar>
              </w:tblPrEx>
              <w:trPr>
                <w:trHeight w:val="132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时效指标</w:t>
                  </w:r>
                </w:p>
              </w:tc>
              <w:tc>
                <w:tcPr>
                  <w:tcW w:w="1929" w:type="dxa"/>
                  <w:vMerge w:val="restart"/>
                  <w:tcBorders>
                    <w:top w:val="single" w:color="auto" w:sz="4" w:space="0"/>
                    <w:left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项目完成时间</w:t>
                  </w:r>
                </w:p>
              </w:tc>
              <w:tc>
                <w:tcPr>
                  <w:tcW w:w="1568" w:type="dxa"/>
                  <w:vMerge w:val="restart"/>
                  <w:tcBorders>
                    <w:top w:val="single" w:color="auto" w:sz="4" w:space="0"/>
                    <w:left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2021年12月31日之前</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时效指标</w:t>
                  </w:r>
                </w:p>
              </w:tc>
              <w:tc>
                <w:tcPr>
                  <w:tcW w:w="2371"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项目完成时间</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2021年12月31日之前</w:t>
                  </w:r>
                </w:p>
              </w:tc>
            </w:tr>
            <w:tr>
              <w:tblPrEx>
                <w:tblCellMar>
                  <w:top w:w="0" w:type="dxa"/>
                  <w:left w:w="108" w:type="dxa"/>
                  <w:bottom w:w="0" w:type="dxa"/>
                  <w:right w:w="108" w:type="dxa"/>
                </w:tblCellMar>
              </w:tblPrEx>
              <w:trPr>
                <w:trHeight w:val="177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成本指标</w:t>
                  </w:r>
                </w:p>
                <w:p>
                  <w:pPr>
                    <w:widowControl/>
                    <w:jc w:val="center"/>
                    <w:rPr>
                      <w:rFonts w:hint="eastAsia" w:ascii="仿宋" w:hAnsi="仿宋" w:eastAsia="仿宋" w:cs="仿宋"/>
                      <w:kern w:val="0"/>
                      <w:sz w:val="24"/>
                      <w:szCs w:val="24"/>
                    </w:rPr>
                  </w:pPr>
                </w:p>
              </w:tc>
              <w:tc>
                <w:tcPr>
                  <w:tcW w:w="1929" w:type="dxa"/>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总费用</w:t>
                  </w:r>
                </w:p>
              </w:tc>
              <w:tc>
                <w:tcPr>
                  <w:tcW w:w="1568" w:type="dxa"/>
                  <w:tcBorders>
                    <w:top w:val="single" w:color="auto" w:sz="4" w:space="0"/>
                    <w:left w:val="single" w:color="auto" w:sz="4" w:space="0"/>
                    <w:right w:val="single" w:color="auto" w:sz="4" w:space="0"/>
                  </w:tcBorders>
                  <w:vAlign w:val="center"/>
                </w:tcPr>
                <w:p>
                  <w:pPr>
                    <w:widowControl/>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≤项目预算支出</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成本指标</w:t>
                  </w:r>
                </w:p>
                <w:p>
                  <w:pPr>
                    <w:widowControl/>
                    <w:jc w:val="center"/>
                    <w:rPr>
                      <w:rFonts w:hint="eastAsia" w:ascii="仿宋" w:hAnsi="仿宋" w:eastAsia="仿宋" w:cs="仿宋"/>
                      <w:kern w:val="0"/>
                      <w:sz w:val="24"/>
                      <w:szCs w:val="24"/>
                    </w:rPr>
                  </w:pPr>
                </w:p>
              </w:tc>
              <w:tc>
                <w:tcPr>
                  <w:tcW w:w="2371" w:type="dxa"/>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总费用</w:t>
                  </w:r>
                </w:p>
                <w:p>
                  <w:pPr>
                    <w:widowControl/>
                    <w:jc w:val="left"/>
                    <w:rPr>
                      <w:rFonts w:hint="eastAsia" w:ascii="仿宋" w:hAnsi="仿宋" w:eastAsia="仿宋" w:cs="仿宋"/>
                      <w:kern w:val="0"/>
                      <w:sz w:val="24"/>
                      <w:szCs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≤项目预算支出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效</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益</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标</w:t>
                  </w: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rPr>
                  </w:pPr>
                  <w:r>
                    <w:rPr>
                      <w:rFonts w:hint="eastAsia" w:ascii="仿宋" w:hAnsi="仿宋" w:eastAsia="仿宋" w:cs="宋体"/>
                      <w:color w:val="000000"/>
                      <w:kern w:val="0"/>
                      <w:sz w:val="18"/>
                      <w:szCs w:val="18"/>
                      <w:lang w:val="en-US" w:eastAsia="zh-CN"/>
                    </w:rPr>
                    <w:t>人大代表依法履职有效保障</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有效保障</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val="en-US" w:eastAsia="zh-CN"/>
                    </w:rPr>
                    <w:t>人大代表依法履职有效保障</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有效保障</w:t>
                  </w:r>
                </w:p>
              </w:tc>
            </w:tr>
            <w:tr>
              <w:tblPrEx>
                <w:tblCellMar>
                  <w:top w:w="0" w:type="dxa"/>
                  <w:left w:w="108" w:type="dxa"/>
                  <w:bottom w:w="0" w:type="dxa"/>
                  <w:right w:w="108" w:type="dxa"/>
                </w:tblCellMar>
              </w:tblPrEx>
              <w:trPr>
                <w:trHeight w:val="40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rPr>
                  </w:pPr>
                  <w:r>
                    <w:rPr>
                      <w:rFonts w:hint="eastAsia" w:ascii="仿宋" w:hAnsi="仿宋" w:eastAsia="仿宋" w:cs="宋体"/>
                      <w:color w:val="000000"/>
                      <w:kern w:val="0"/>
                      <w:sz w:val="18"/>
                      <w:szCs w:val="18"/>
                      <w:lang w:val="en-US" w:eastAsia="zh-CN"/>
                    </w:rPr>
                    <w:t>人大机关各项工作效率显著提高</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显著提高</w:t>
                  </w:r>
                </w:p>
              </w:tc>
              <w:tc>
                <w:tcPr>
                  <w:tcW w:w="777"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val="en-US" w:eastAsia="zh-CN"/>
                    </w:rPr>
                    <w:t>人大机关各项工作效率显著提高</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显著提高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0"/>
                      <w:szCs w:val="20"/>
                      <w:lang w:val="en-US" w:eastAsia="zh-CN"/>
                    </w:rPr>
                    <w:t>人大发展史更加清晰和规范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清晰规范</w:t>
                  </w:r>
                </w:p>
              </w:tc>
              <w:tc>
                <w:tcPr>
                  <w:tcW w:w="777"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0"/>
                      <w:szCs w:val="20"/>
                      <w:lang w:val="en-US" w:eastAsia="zh-CN"/>
                    </w:rPr>
                    <w:t>人大发展史更加清晰和规范</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清晰规范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0"/>
                      <w:szCs w:val="20"/>
                      <w:lang w:val="en-US" w:eastAsia="zh-CN"/>
                    </w:rPr>
                    <w:t>代表履职信息公开</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公开透明</w:t>
                  </w:r>
                </w:p>
              </w:tc>
              <w:tc>
                <w:tcPr>
                  <w:tcW w:w="777" w:type="dxa"/>
                  <w:vMerge w:val="continue"/>
                  <w:tcBorders>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0"/>
                      <w:szCs w:val="20"/>
                      <w:lang w:val="en-US" w:eastAsia="zh-CN"/>
                    </w:rPr>
                    <w:t>代表履职信息公开</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公开透明</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1"/>
                      <w:szCs w:val="21"/>
                      <w:lang w:val="en-US" w:eastAsia="zh-CN"/>
                    </w:rPr>
                    <w:t>代表党性增强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增强</w:t>
                  </w:r>
                </w:p>
              </w:tc>
              <w:tc>
                <w:tcPr>
                  <w:tcW w:w="777"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1"/>
                      <w:szCs w:val="21"/>
                      <w:lang w:val="en-US" w:eastAsia="zh-CN"/>
                    </w:rPr>
                    <w:t>代表党性增强</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增强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777" w:type="dxa"/>
                  <w:vMerge w:val="continue"/>
                  <w:tcBorders>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宋体"/>
                      <w:color w:val="000000"/>
                      <w:kern w:val="0"/>
                      <w:sz w:val="18"/>
                      <w:szCs w:val="18"/>
                      <w:lang w:val="en-US" w:eastAsia="zh-CN"/>
                    </w:rPr>
                    <w:t>保障县人大机关工作人员的办公便利和合法权益，增强工作积极性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宋体"/>
                      <w:kern w:val="0"/>
                      <w:sz w:val="24"/>
                      <w:szCs w:val="24"/>
                      <w:lang w:val="en-US" w:eastAsia="zh-CN"/>
                    </w:rPr>
                    <w:t>保障和增强</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val="en-US" w:eastAsia="zh-CN"/>
                    </w:rPr>
                    <w:t>保障县人大机关工作人员的办公便利和合法权益，增强工作积极性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kern w:val="0"/>
                      <w:sz w:val="24"/>
                      <w:szCs w:val="24"/>
                      <w:lang w:val="en-US" w:eastAsia="zh-CN"/>
                    </w:rPr>
                    <w:t>保障和增强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宋体"/>
                      <w:color w:val="000000"/>
                      <w:kern w:val="0"/>
                      <w:sz w:val="18"/>
                      <w:szCs w:val="18"/>
                      <w:lang w:val="en-US" w:eastAsia="zh-CN"/>
                    </w:rPr>
                    <w:t>增强人大代表履职能力</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增强</w:t>
                  </w:r>
                </w:p>
              </w:tc>
              <w:tc>
                <w:tcPr>
                  <w:tcW w:w="777"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val="en-US" w:eastAsia="zh-CN"/>
                    </w:rPr>
                    <w:t>增强人大代表履职能力</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增强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宋体"/>
                      <w:color w:val="000000"/>
                      <w:kern w:val="0"/>
                      <w:sz w:val="18"/>
                      <w:szCs w:val="18"/>
                      <w:lang w:val="en-US" w:eastAsia="zh-CN"/>
                    </w:rPr>
                    <w:t>增强县人大代表对政府工作的监督和审查</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增强</w:t>
                  </w:r>
                </w:p>
              </w:tc>
              <w:tc>
                <w:tcPr>
                  <w:tcW w:w="777"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val="en-US" w:eastAsia="zh-CN"/>
                    </w:rPr>
                    <w:t>增强县人大代表对政府工作的监督和审查</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增强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0"/>
                      <w:szCs w:val="20"/>
                      <w:lang w:val="en-US" w:eastAsia="zh-CN"/>
                    </w:rPr>
                    <w:t>增强未来人大发展</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增强</w:t>
                  </w:r>
                </w:p>
              </w:tc>
              <w:tc>
                <w:tcPr>
                  <w:tcW w:w="777" w:type="dxa"/>
                  <w:vMerge w:val="continue"/>
                  <w:tcBorders>
                    <w:left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0"/>
                      <w:szCs w:val="20"/>
                      <w:lang w:val="en-US" w:eastAsia="zh-CN"/>
                    </w:rPr>
                    <w:t>增强未来人大发展</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增强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777"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工作人员</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工作人员</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人大代表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人大代表</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r>
          </w:tbl>
          <w:p>
            <w:pPr>
              <w:widowControl/>
              <w:jc w:val="center"/>
              <w:rPr>
                <w:rFonts w:hint="default" w:ascii="Times New Roman" w:hAnsi="Times New Roman" w:cs="Times New Roman"/>
                <w:kern w:val="0"/>
                <w:sz w:val="28"/>
                <w:szCs w:val="28"/>
              </w:rPr>
            </w:pPr>
          </w:p>
        </w:tc>
      </w:tr>
    </w:tbl>
    <w:p>
      <w:pPr>
        <w:widowControl/>
        <w:spacing w:line="320" w:lineRule="exact"/>
        <w:jc w:val="center"/>
        <w:rPr>
          <w:rFonts w:hint="default" w:ascii="Times New Roman" w:hAnsi="Times New Roman" w:eastAsia="宋体" w:cs="Times New Roman"/>
          <w:b/>
          <w:bCs/>
          <w:kern w:val="0"/>
          <w:sz w:val="28"/>
          <w:szCs w:val="28"/>
        </w:rPr>
        <w:sectPr>
          <w:headerReference r:id="rId3" w:type="default"/>
          <w:footerReference r:id="rId4" w:type="default"/>
          <w:pgSz w:w="11906" w:h="16838"/>
          <w:pgMar w:top="720" w:right="720" w:bottom="720" w:left="720" w:header="851" w:footer="227" w:gutter="0"/>
          <w:pgBorders>
            <w:top w:val="none" w:sz="0" w:space="0"/>
            <w:left w:val="none" w:sz="0" w:space="0"/>
            <w:bottom w:val="none" w:sz="0" w:space="0"/>
            <w:right w:val="none" w:sz="0" w:space="0"/>
          </w:pgBorders>
          <w:pgNumType w:fmt="decimal"/>
          <w:cols w:space="0" w:num="1"/>
          <w:rtlGutter w:val="0"/>
          <w:docGrid w:type="lines" w:linePitch="319" w:charSpace="0"/>
        </w:sectPr>
      </w:pPr>
    </w:p>
    <w:tbl>
      <w:tblPr>
        <w:tblStyle w:val="13"/>
        <w:tblW w:w="4998" w:type="pct"/>
        <w:tblInd w:w="0" w:type="dxa"/>
        <w:shd w:val="clear" w:color="auto" w:fill="auto"/>
        <w:tblLayout w:type="autofit"/>
        <w:tblCellMar>
          <w:top w:w="0" w:type="dxa"/>
          <w:left w:w="0" w:type="dxa"/>
          <w:bottom w:w="0" w:type="dxa"/>
          <w:right w:w="0" w:type="dxa"/>
        </w:tblCellMar>
      </w:tblPr>
      <w:tblGrid>
        <w:gridCol w:w="588"/>
        <w:gridCol w:w="1202"/>
        <w:gridCol w:w="1897"/>
        <w:gridCol w:w="995"/>
        <w:gridCol w:w="5810"/>
      </w:tblGrid>
      <w:tr>
        <w:tblPrEx>
          <w:shd w:val="clear" w:color="auto" w:fill="auto"/>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部门（单位）整体绩效目标申报表</w:t>
            </w:r>
          </w:p>
        </w:tc>
      </w:tr>
      <w:tr>
        <w:tblPrEx>
          <w:shd w:val="clear" w:color="auto" w:fill="auto"/>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24"/>
                <w:szCs w:val="24"/>
                <w:u w:val="none"/>
                <w:lang w:val="en-US" w:eastAsia="zh-CN" w:bidi="ar"/>
              </w:rPr>
              <w:t xml:space="preserve">（  </w:t>
            </w:r>
            <w:r>
              <w:rPr>
                <w:rFonts w:hint="eastAsia" w:ascii="宋体" w:hAnsi="宋体" w:cs="宋体"/>
                <w:b/>
                <w:i w:val="0"/>
                <w:color w:val="000000"/>
                <w:kern w:val="0"/>
                <w:sz w:val="24"/>
                <w:szCs w:val="24"/>
                <w:u w:val="none"/>
                <w:lang w:val="en-US" w:eastAsia="zh-CN" w:bidi="ar"/>
              </w:rPr>
              <w:t>2021</w:t>
            </w:r>
            <w:r>
              <w:rPr>
                <w:rFonts w:hint="eastAsia" w:ascii="宋体" w:hAnsi="宋体" w:eastAsia="宋体" w:cs="宋体"/>
                <w:b/>
                <w:i w:val="0"/>
                <w:color w:val="000000"/>
                <w:kern w:val="0"/>
                <w:sz w:val="24"/>
                <w:szCs w:val="24"/>
                <w:u w:val="none"/>
                <w:lang w:val="en-US" w:eastAsia="zh-CN" w:bidi="ar"/>
              </w:rPr>
              <w:t xml:space="preserve"> 年度）</w:t>
            </w:r>
          </w:p>
        </w:tc>
      </w:tr>
      <w:tr>
        <w:tblPrEx>
          <w:shd w:val="clear" w:color="auto" w:fill="auto"/>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新乡县人民代表大会常务委员会办公室</w:t>
            </w:r>
          </w:p>
        </w:tc>
      </w:tr>
      <w:tr>
        <w:tblPrEx>
          <w:shd w:val="clear" w:color="auto" w:fill="auto"/>
          <w:tblCellMar>
            <w:top w:w="0" w:type="dxa"/>
            <w:left w:w="0" w:type="dxa"/>
            <w:bottom w:w="0" w:type="dxa"/>
            <w:right w:w="0" w:type="dxa"/>
          </w:tblCellMar>
        </w:tblPrEx>
        <w:trPr>
          <w:trHeight w:val="450" w:hRule="atLeast"/>
        </w:trPr>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年度履职目标</w:t>
            </w:r>
          </w:p>
        </w:tc>
        <w:tc>
          <w:tcPr>
            <w:tcW w:w="4719"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目标1：加强党的领导，确保正确工作方向；</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目标2：加强监督工作，有效推动依法履职；</w:t>
            </w:r>
          </w:p>
          <w:p>
            <w:pPr>
              <w:keepNext w:val="0"/>
              <w:keepLines w:val="0"/>
              <w:widowControl/>
              <w:suppressLineNumbers w:val="0"/>
              <w:jc w:val="lef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目标3：加强代表工作，更好发挥代表作用；</w:t>
            </w:r>
          </w:p>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目标4：加强自身建设，全面夯实履职基础。</w:t>
            </w:r>
          </w:p>
        </w:tc>
      </w:tr>
      <w:tr>
        <w:tblPrEx>
          <w:shd w:val="clear" w:color="auto" w:fill="auto"/>
          <w:tblCellMar>
            <w:top w:w="0" w:type="dxa"/>
            <w:left w:w="0" w:type="dxa"/>
            <w:bottom w:w="0" w:type="dxa"/>
            <w:right w:w="0" w:type="dxa"/>
          </w:tblCellMar>
        </w:tblPrEx>
        <w:trPr>
          <w:trHeight w:val="45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71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shd w:val="clear" w:color="auto" w:fill="auto"/>
          <w:tblCellMar>
            <w:top w:w="0" w:type="dxa"/>
            <w:left w:w="0" w:type="dxa"/>
            <w:bottom w:w="0" w:type="dxa"/>
            <w:right w:w="0" w:type="dxa"/>
          </w:tblCellMar>
        </w:tblPrEx>
        <w:trPr>
          <w:trHeight w:val="1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71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shd w:val="clear" w:color="auto" w:fill="auto"/>
          <w:tblCellMar>
            <w:top w:w="0" w:type="dxa"/>
            <w:left w:w="0" w:type="dxa"/>
            <w:bottom w:w="0" w:type="dxa"/>
            <w:right w:w="0" w:type="dxa"/>
          </w:tblCellMar>
        </w:tblPrEx>
        <w:trPr>
          <w:trHeight w:val="4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71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shd w:val="clear" w:color="auto" w:fill="auto"/>
          <w:tblCellMar>
            <w:top w:w="0" w:type="dxa"/>
            <w:left w:w="0" w:type="dxa"/>
            <w:bottom w:w="0" w:type="dxa"/>
            <w:right w:w="0" w:type="dxa"/>
          </w:tblCellMar>
        </w:tblPrEx>
        <w:trPr>
          <w:trHeight w:val="400" w:hRule="atLeast"/>
        </w:trPr>
        <w:tc>
          <w:tcPr>
            <w:tcW w:w="28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年度主要任务</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主要内容</w:t>
            </w:r>
          </w:p>
        </w:tc>
      </w:tr>
      <w:tr>
        <w:tblPrEx>
          <w:shd w:val="clear" w:color="auto" w:fill="auto"/>
          <w:tblCellMar>
            <w:top w:w="0" w:type="dxa"/>
            <w:left w:w="0" w:type="dxa"/>
            <w:bottom w:w="0" w:type="dxa"/>
            <w:right w:w="0" w:type="dxa"/>
          </w:tblCellMar>
        </w:tblPrEx>
        <w:trPr>
          <w:trHeight w:val="44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b/>
                <w:i w:val="0"/>
                <w:color w:val="000000"/>
                <w:sz w:val="22"/>
                <w:szCs w:val="22"/>
                <w:u w:val="none"/>
                <w:lang w:val="en-US"/>
              </w:rPr>
            </w:pPr>
            <w:r>
              <w:rPr>
                <w:rFonts w:hint="eastAsia" w:ascii="仿宋" w:hAnsi="仿宋" w:eastAsia="仿宋" w:cs="仿宋"/>
                <w:b/>
                <w:i w:val="0"/>
                <w:color w:val="000000"/>
                <w:sz w:val="22"/>
                <w:szCs w:val="22"/>
                <w:u w:val="none"/>
                <w:lang w:val="en-US" w:eastAsia="zh-CN"/>
              </w:rPr>
              <w:t>强化思想政治建设和党的领导，依法行使重大事项决定权和人事任免权。</w:t>
            </w:r>
          </w:p>
        </w:tc>
      </w:tr>
      <w:tr>
        <w:tblPrEx>
          <w:shd w:val="clear" w:color="auto" w:fill="auto"/>
          <w:tblCellMar>
            <w:top w:w="0" w:type="dxa"/>
            <w:left w:w="0" w:type="dxa"/>
            <w:bottom w:w="0" w:type="dxa"/>
            <w:right w:w="0" w:type="dxa"/>
          </w:tblCellMar>
        </w:tblPrEx>
        <w:trPr>
          <w:trHeight w:val="34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2"/>
                <w:szCs w:val="22"/>
                <w:u w:val="none"/>
              </w:rPr>
            </w:pPr>
            <w:r>
              <w:rPr>
                <w:rFonts w:hint="eastAsia" w:ascii="仿宋" w:hAnsi="仿宋" w:eastAsia="仿宋" w:cs="仿宋"/>
                <w:b/>
                <w:i w:val="0"/>
                <w:color w:val="000000"/>
                <w:sz w:val="22"/>
                <w:szCs w:val="22"/>
                <w:u w:val="none"/>
                <w:lang w:val="en-US" w:eastAsia="zh-CN"/>
              </w:rPr>
              <w:t>加大工作监督力度，组织开展视察调研，认真做好执法检查、备案审查和人大信访工作。</w:t>
            </w:r>
          </w:p>
        </w:tc>
      </w:tr>
      <w:tr>
        <w:tblPrEx>
          <w:shd w:val="clear" w:color="auto" w:fill="auto"/>
          <w:tblCellMar>
            <w:top w:w="0" w:type="dxa"/>
            <w:left w:w="0" w:type="dxa"/>
            <w:bottom w:w="0" w:type="dxa"/>
            <w:right w:w="0" w:type="dxa"/>
          </w:tblCellMar>
        </w:tblPrEx>
        <w:trPr>
          <w:trHeight w:val="42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2"/>
                <w:szCs w:val="22"/>
                <w:u w:val="none"/>
              </w:rPr>
            </w:pPr>
            <w:r>
              <w:rPr>
                <w:rFonts w:hint="eastAsia" w:ascii="仿宋" w:hAnsi="仿宋" w:eastAsia="仿宋" w:cs="仿宋"/>
                <w:b/>
                <w:i w:val="0"/>
                <w:color w:val="000000"/>
                <w:sz w:val="22"/>
                <w:szCs w:val="22"/>
                <w:u w:val="none"/>
                <w:lang w:val="en-US" w:eastAsia="zh-CN"/>
              </w:rPr>
              <w:t>开展代表主题活动，加强代表联络站建设，高质量办理代表议案建议，做好代表服务工作</w:t>
            </w:r>
          </w:p>
        </w:tc>
      </w:tr>
      <w:tr>
        <w:tblPrEx>
          <w:shd w:val="clear" w:color="auto" w:fill="auto"/>
          <w:tblCellMar>
            <w:top w:w="0" w:type="dxa"/>
            <w:left w:w="0" w:type="dxa"/>
            <w:bottom w:w="0" w:type="dxa"/>
            <w:right w:w="0" w:type="dxa"/>
          </w:tblCellMar>
        </w:tblPrEx>
        <w:trPr>
          <w:trHeight w:val="42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2"/>
                <w:szCs w:val="22"/>
                <w:u w:val="none"/>
              </w:rPr>
            </w:pPr>
            <w:r>
              <w:rPr>
                <w:rFonts w:hint="eastAsia" w:ascii="仿宋" w:hAnsi="仿宋" w:eastAsia="仿宋" w:cs="仿宋"/>
                <w:b/>
                <w:i w:val="0"/>
                <w:color w:val="000000"/>
                <w:sz w:val="22"/>
                <w:szCs w:val="22"/>
                <w:u w:val="none"/>
                <w:lang w:val="en-US" w:eastAsia="zh-CN"/>
              </w:rPr>
              <w:t>强化机关党的建设，提升干部队伍素质，加强人大宣传工作，深入进行调查研究。</w:t>
            </w:r>
          </w:p>
        </w:tc>
      </w:tr>
      <w:tr>
        <w:tblPrEx>
          <w:shd w:val="clear" w:color="auto" w:fill="auto"/>
          <w:tblCellMar>
            <w:top w:w="0" w:type="dxa"/>
            <w:left w:w="0" w:type="dxa"/>
            <w:bottom w:w="0" w:type="dxa"/>
            <w:right w:w="0" w:type="dxa"/>
          </w:tblCellMar>
        </w:tblPrEx>
        <w:trPr>
          <w:trHeight w:val="440" w:hRule="atLeast"/>
        </w:trPr>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预算情况</w:t>
            </w:r>
          </w:p>
        </w:tc>
        <w:tc>
          <w:tcPr>
            <w:tcW w:w="147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年度部门预算总额（万元）</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884.71</w:t>
            </w:r>
            <w:bookmarkStart w:id="0" w:name="_GoBack"/>
            <w:bookmarkEnd w:id="0"/>
          </w:p>
        </w:tc>
      </w:tr>
      <w:tr>
        <w:tblPrEx>
          <w:shd w:val="clear" w:color="auto" w:fill="auto"/>
          <w:tblCellMar>
            <w:top w:w="0" w:type="dxa"/>
            <w:left w:w="0" w:type="dxa"/>
            <w:bottom w:w="0" w:type="dxa"/>
            <w:right w:w="0" w:type="dxa"/>
          </w:tblCellMar>
        </w:tblPrEx>
        <w:trPr>
          <w:trHeight w:val="46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47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23"/>
                <w:rFonts w:hint="eastAsia" w:ascii="仿宋" w:hAnsi="仿宋" w:eastAsia="仿宋" w:cs="仿宋"/>
                <w:lang w:val="en-US" w:eastAsia="zh-CN" w:bidi="ar"/>
              </w:rPr>
              <w:t>1、资金来源：（1）财政性资金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884.71</w:t>
            </w:r>
          </w:p>
        </w:tc>
      </w:tr>
      <w:tr>
        <w:tblPrEx>
          <w:shd w:val="clear" w:color="auto" w:fill="auto"/>
          <w:tblCellMar>
            <w:top w:w="0" w:type="dxa"/>
            <w:left w:w="0" w:type="dxa"/>
            <w:bottom w:w="0" w:type="dxa"/>
            <w:right w:w="0" w:type="dxa"/>
          </w:tblCellMar>
        </w:tblPrEx>
        <w:trPr>
          <w:trHeight w:val="36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47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23"/>
                <w:rFonts w:hint="eastAsia" w:ascii="仿宋" w:hAnsi="仿宋" w:eastAsia="仿宋" w:cs="仿宋"/>
                <w:lang w:val="en-US" w:eastAsia="zh-CN" w:bidi="ar"/>
              </w:rPr>
              <w:t>（2）其他资金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0</w:t>
            </w:r>
          </w:p>
        </w:tc>
      </w:tr>
      <w:tr>
        <w:tblPrEx>
          <w:shd w:val="clear" w:color="auto" w:fill="auto"/>
          <w:tblCellMar>
            <w:top w:w="0" w:type="dxa"/>
            <w:left w:w="0" w:type="dxa"/>
            <w:bottom w:w="0" w:type="dxa"/>
            <w:right w:w="0" w:type="dxa"/>
          </w:tblCellMar>
        </w:tblPrEx>
        <w:trPr>
          <w:trHeight w:val="40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47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23"/>
                <w:rFonts w:hint="eastAsia" w:ascii="仿宋" w:hAnsi="仿宋" w:eastAsia="仿宋" w:cs="仿宋"/>
                <w:lang w:val="en-US" w:eastAsia="zh-CN" w:bidi="ar"/>
              </w:rPr>
              <w:t>2、资金结构：（1）基本支出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746.01</w:t>
            </w:r>
          </w:p>
        </w:tc>
      </w:tr>
      <w:tr>
        <w:tblPrEx>
          <w:shd w:val="clear" w:color="auto" w:fill="auto"/>
          <w:tblCellMar>
            <w:top w:w="0" w:type="dxa"/>
            <w:left w:w="0" w:type="dxa"/>
            <w:bottom w:w="0" w:type="dxa"/>
            <w:right w:w="0" w:type="dxa"/>
          </w:tblCellMar>
        </w:tblPrEx>
        <w:trPr>
          <w:trHeight w:val="44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47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23"/>
                <w:rFonts w:hint="eastAsia" w:ascii="仿宋" w:hAnsi="仿宋" w:eastAsia="仿宋" w:cs="仿宋"/>
                <w:lang w:val="en-US" w:eastAsia="zh-CN" w:bidi="ar"/>
              </w:rPr>
              <w:t>（2）项目支出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138.70</w:t>
            </w:r>
          </w:p>
        </w:tc>
      </w:tr>
      <w:tr>
        <w:tblPrEx>
          <w:shd w:val="clear" w:color="auto" w:fill="auto"/>
          <w:tblCellMar>
            <w:top w:w="0" w:type="dxa"/>
            <w:left w:w="0" w:type="dxa"/>
            <w:bottom w:w="0" w:type="dxa"/>
            <w:right w:w="0" w:type="dxa"/>
          </w:tblCellMar>
        </w:tblPrEx>
        <w:trPr>
          <w:trHeight w:val="540" w:hRule="atLeast"/>
        </w:trPr>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一级指标</w:t>
            </w:r>
          </w:p>
        </w:tc>
        <w:tc>
          <w:tcPr>
            <w:tcW w:w="5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指标值</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指标值说明</w:t>
            </w:r>
          </w:p>
        </w:tc>
      </w:tr>
      <w:tr>
        <w:tblPrEx>
          <w:shd w:val="clear" w:color="auto" w:fill="auto"/>
          <w:tblCellMar>
            <w:top w:w="0" w:type="dxa"/>
            <w:left w:w="0" w:type="dxa"/>
            <w:bottom w:w="0" w:type="dxa"/>
            <w:right w:w="0" w:type="dxa"/>
          </w:tblCellMar>
        </w:tblPrEx>
        <w:trPr>
          <w:trHeight w:val="1280" w:hRule="atLeast"/>
        </w:trPr>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投入管理指标</w:t>
            </w: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相关</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shd w:val="clear" w:color="auto" w:fill="auto"/>
          <w:tblCellMar>
            <w:top w:w="0" w:type="dxa"/>
            <w:left w:w="0" w:type="dxa"/>
            <w:bottom w:w="0" w:type="dxa"/>
            <w:right w:w="0" w:type="dxa"/>
          </w:tblCellMar>
        </w:tblPrEx>
        <w:trPr>
          <w:trHeight w:val="12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科学</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shd w:val="clear" w:color="auto" w:fill="auto"/>
          <w:tblCellMar>
            <w:top w:w="0" w:type="dxa"/>
            <w:left w:w="0" w:type="dxa"/>
            <w:bottom w:w="0" w:type="dxa"/>
            <w:right w:w="0" w:type="dxa"/>
          </w:tblCellMar>
        </w:tblPrEx>
        <w:trPr>
          <w:trHeight w:val="12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2"/>
                <w:szCs w:val="22"/>
                <w:u w:val="none"/>
                <w:lang w:val="en-US" w:eastAsia="zh-CN"/>
              </w:rPr>
            </w:pPr>
            <w:r>
              <w:rPr>
                <w:rFonts w:hint="eastAsia" w:ascii="仿宋" w:hAnsi="仿宋" w:eastAsia="仿宋" w:cs="仿宋"/>
                <w:i w:val="0"/>
                <w:color w:val="000000"/>
                <w:sz w:val="22"/>
                <w:szCs w:val="22"/>
                <w:u w:val="none"/>
                <w:lang w:val="en-US" w:eastAsia="zh-CN"/>
              </w:rPr>
              <w:t>合理</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shd w:val="clear" w:color="auto" w:fill="auto"/>
          <w:tblCellMar>
            <w:top w:w="0" w:type="dxa"/>
            <w:left w:w="0" w:type="dxa"/>
            <w:bottom w:w="0" w:type="dxa"/>
            <w:right w:w="0" w:type="dxa"/>
          </w:tblCellMar>
        </w:tblPrEx>
        <w:trPr>
          <w:trHeight w:val="96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完整</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1.部门（单位）所有收入是否全部纳入部门（单位）预算；2.部门（单位）支出预算是否统筹各类资金来源，全部纳入部门（单位）预算管理。</w:t>
            </w:r>
          </w:p>
        </w:tc>
      </w:tr>
      <w:tr>
        <w:tblPrEx>
          <w:shd w:val="clear" w:color="auto" w:fill="auto"/>
          <w:tblCellMar>
            <w:top w:w="0" w:type="dxa"/>
            <w:left w:w="0" w:type="dxa"/>
            <w:bottom w:w="0" w:type="dxa"/>
            <w:right w:w="0" w:type="dxa"/>
          </w:tblCellMar>
        </w:tblPrEx>
        <w:trPr>
          <w:trHeight w:val="60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专项资金细化率=（已细化到具体县区和承担单位的资金数/部门（单位）参与分配资金总数）×100%。</w:t>
            </w:r>
          </w:p>
        </w:tc>
      </w:tr>
      <w:tr>
        <w:tblPrEx>
          <w:shd w:val="clear" w:color="auto" w:fill="auto"/>
          <w:tblCellMar>
            <w:top w:w="0" w:type="dxa"/>
            <w:left w:w="0" w:type="dxa"/>
            <w:bottom w:w="0" w:type="dxa"/>
            <w:right w:w="0" w:type="dxa"/>
          </w:tblCellMar>
        </w:tblPrEx>
        <w:trPr>
          <w:trHeight w:val="100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eastAsia="zh-CN"/>
              </w:rPr>
              <w:t>》</w:t>
            </w:r>
            <w:r>
              <w:rPr>
                <w:rFonts w:hint="eastAsia" w:ascii="仿宋" w:hAnsi="仿宋" w:eastAsia="仿宋" w:cs="仿宋"/>
                <w:i w:val="0"/>
                <w:color w:val="000000"/>
                <w:sz w:val="20"/>
                <w:szCs w:val="20"/>
                <w:u w:val="none"/>
                <w:lang w:val="en-US" w:eastAsia="zh-CN"/>
              </w:rPr>
              <w: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预算执行率=（预算完成数/预算数）×100%。预算完成数指部门（单位）实际执行的预算数；预算数指财政部门批复的本年度部门（单位）的（调整）预算数。</w:t>
            </w:r>
          </w:p>
        </w:tc>
      </w:tr>
      <w:tr>
        <w:tblPrEx>
          <w:shd w:val="clear" w:color="auto" w:fill="auto"/>
          <w:tblCellMar>
            <w:top w:w="0" w:type="dxa"/>
            <w:left w:w="0" w:type="dxa"/>
            <w:bottom w:w="0" w:type="dxa"/>
            <w:right w:w="0" w:type="dxa"/>
          </w:tblCellMar>
        </w:tblPrEx>
        <w:trPr>
          <w:trHeight w:val="12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w:t>
            </w:r>
            <w:r>
              <w:rPr>
                <w:rFonts w:hint="eastAsia" w:ascii="仿宋" w:hAnsi="仿宋" w:eastAsia="仿宋" w:cs="仿宋"/>
                <w:i w:val="0"/>
                <w:color w:val="000000"/>
                <w:sz w:val="20"/>
                <w:szCs w:val="20"/>
                <w:u w:val="none"/>
                <w:lang w:val="en-US" w:eastAsia="zh-CN"/>
              </w:rPr>
              <w:t>10%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shd w:val="clear" w:color="auto" w:fill="auto"/>
          <w:tblCellMar>
            <w:top w:w="0" w:type="dxa"/>
            <w:left w:w="0" w:type="dxa"/>
            <w:bottom w:w="0" w:type="dxa"/>
            <w:right w:w="0" w:type="dxa"/>
          </w:tblCellMar>
        </w:tblPrEx>
        <w:trPr>
          <w:trHeight w:val="90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结转结余率=结转结余总额/预算数*100%。结转结余总额是指部门（单位）本年度的结转结余资金之和。预算数是指财政部门批复的本年度部门（单位）的（调整）预算数。</w:t>
            </w:r>
          </w:p>
        </w:tc>
      </w:tr>
      <w:tr>
        <w:tblPrEx>
          <w:shd w:val="clear" w:color="auto" w:fill="auto"/>
          <w:tblCellMar>
            <w:top w:w="0" w:type="dxa"/>
            <w:left w:w="0" w:type="dxa"/>
            <w:bottom w:w="0" w:type="dxa"/>
            <w:right w:w="0" w:type="dxa"/>
          </w:tblCellMar>
        </w:tblPrEx>
        <w:trPr>
          <w:trHeight w:val="7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eastAsia="zh-CN"/>
              </w:rPr>
              <w:t>《</w:t>
            </w:r>
            <w:r>
              <w:rPr>
                <w:rFonts w:hint="eastAsia" w:ascii="仿宋" w:hAnsi="仿宋" w:eastAsia="仿宋" w:cs="仿宋"/>
                <w:i w:val="0"/>
                <w:color w:val="000000"/>
                <w:sz w:val="20"/>
                <w:szCs w:val="20"/>
                <w:u w:val="none"/>
                <w:lang w:val="en-US" w:eastAsia="zh-CN"/>
              </w:rPr>
              <w:t>95%</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“三公经费”控制率=本年度“三公经费”实际支出数/“三公经费”预算数*100%</w:t>
            </w:r>
          </w:p>
        </w:tc>
      </w:tr>
      <w:tr>
        <w:tblPrEx>
          <w:shd w:val="clear" w:color="auto" w:fill="auto"/>
          <w:tblCellMar>
            <w:top w:w="0" w:type="dxa"/>
            <w:left w:w="0" w:type="dxa"/>
            <w:bottom w:w="0" w:type="dxa"/>
            <w:right w:w="0" w:type="dxa"/>
          </w:tblCellMar>
        </w:tblPrEx>
        <w:trPr>
          <w:trHeight w:val="106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shd w:val="clear" w:color="auto" w:fill="auto"/>
          <w:tblCellMar>
            <w:top w:w="0" w:type="dxa"/>
            <w:left w:w="0" w:type="dxa"/>
            <w:bottom w:w="0" w:type="dxa"/>
            <w:right w:w="0" w:type="dxa"/>
          </w:tblCellMar>
        </w:tblPrEx>
        <w:trPr>
          <w:trHeight w:val="52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真实</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决算编制数据是否账表一致，即决算报表数据与会计账簿数据是否一致。</w:t>
            </w:r>
          </w:p>
        </w:tc>
      </w:tr>
      <w:tr>
        <w:tblPrEx>
          <w:shd w:val="clear" w:color="auto" w:fill="auto"/>
          <w:tblCellMar>
            <w:top w:w="0" w:type="dxa"/>
            <w:left w:w="0" w:type="dxa"/>
            <w:bottom w:w="0" w:type="dxa"/>
            <w:right w:w="0" w:type="dxa"/>
          </w:tblCellMar>
        </w:tblPrEx>
        <w:trPr>
          <w:trHeight w:val="2160" w:hRule="atLeast"/>
        </w:trPr>
        <w:tc>
          <w:tcPr>
            <w:tcW w:w="28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投入管理指标</w:t>
            </w:r>
          </w:p>
        </w:tc>
        <w:tc>
          <w:tcPr>
            <w:tcW w:w="572"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合规</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健全</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shd w:val="clear" w:color="auto" w:fill="auto"/>
          <w:tblCellMar>
            <w:top w:w="0" w:type="dxa"/>
            <w:left w:w="0" w:type="dxa"/>
            <w:bottom w:w="0" w:type="dxa"/>
            <w:right w:w="0" w:type="dxa"/>
          </w:tblCellMar>
        </w:tblPrEx>
        <w:trPr>
          <w:trHeight w:val="120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公开</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shd w:val="clear" w:color="auto" w:fill="auto"/>
          <w:tblCellMar>
            <w:top w:w="0" w:type="dxa"/>
            <w:left w:w="0" w:type="dxa"/>
            <w:bottom w:w="0" w:type="dxa"/>
            <w:right w:w="0" w:type="dxa"/>
          </w:tblCellMar>
        </w:tblPrEx>
        <w:trPr>
          <w:trHeight w:val="170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规范</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shd w:val="clear" w:color="auto" w:fill="auto"/>
          <w:tblCellMar>
            <w:top w:w="0" w:type="dxa"/>
            <w:left w:w="0" w:type="dxa"/>
            <w:bottom w:w="0" w:type="dxa"/>
            <w:right w:w="0" w:type="dxa"/>
          </w:tblCellMar>
        </w:tblPrEx>
        <w:trPr>
          <w:trHeight w:val="110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部门（单位）按要求实施事前评估的项目数量占应实施绩效评估项目总数的比重。部门（单位）事前评估完成率=已完成事前评估项目数量/部门（单位）应事前评估项目总数*100%</w:t>
            </w:r>
          </w:p>
        </w:tc>
      </w:tr>
      <w:tr>
        <w:tblPrEx>
          <w:shd w:val="clear" w:color="auto" w:fill="auto"/>
          <w:tblCellMar>
            <w:top w:w="0" w:type="dxa"/>
            <w:left w:w="0" w:type="dxa"/>
            <w:bottom w:w="0" w:type="dxa"/>
            <w:right w:w="0" w:type="dxa"/>
          </w:tblCellMar>
        </w:tblPrEx>
        <w:trPr>
          <w:trHeight w:val="110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部门（单位）按要求实施绩效监控的项目数量占应实施绩效监控项目总数的比重。部门（单位）绩效监控完成率=已完成绩效监控项目数量/部门（单位）项目总数*100%</w:t>
            </w:r>
          </w:p>
        </w:tc>
      </w:tr>
      <w:tr>
        <w:tblPrEx>
          <w:shd w:val="clear" w:color="auto" w:fill="auto"/>
          <w:tblCellMar>
            <w:top w:w="0" w:type="dxa"/>
            <w:left w:w="0" w:type="dxa"/>
            <w:bottom w:w="0" w:type="dxa"/>
            <w:right w:w="0" w:type="dxa"/>
          </w:tblCellMar>
        </w:tblPrEx>
        <w:trPr>
          <w:trHeight w:val="110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部门（单位）按要求实施绩效自评的项目数量占应实施绩效自评项目总数的比重。部门（单位）绩效自评完成率=已完成评价项目数量/部门（单位）项目总数*100%</w:t>
            </w:r>
          </w:p>
        </w:tc>
      </w:tr>
      <w:tr>
        <w:tblPrEx>
          <w:shd w:val="clear" w:color="auto" w:fill="auto"/>
          <w:tblCellMar>
            <w:top w:w="0" w:type="dxa"/>
            <w:left w:w="0" w:type="dxa"/>
            <w:bottom w:w="0" w:type="dxa"/>
            <w:right w:w="0" w:type="dxa"/>
          </w:tblCellMar>
        </w:tblPrEx>
        <w:trPr>
          <w:trHeight w:val="110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部门重点绩效评价项目评价完成情况。部门评价完成率=已完成评价项目数量/部门重点绩效评价项目数*100%</w:t>
            </w:r>
          </w:p>
        </w:tc>
      </w:tr>
      <w:tr>
        <w:tblPrEx>
          <w:shd w:val="clear" w:color="auto" w:fill="auto"/>
          <w:tblCellMar>
            <w:top w:w="0" w:type="dxa"/>
            <w:left w:w="0" w:type="dxa"/>
            <w:bottom w:w="0" w:type="dxa"/>
            <w:right w:w="0" w:type="dxa"/>
          </w:tblCellMar>
        </w:tblPrEx>
        <w:trPr>
          <w:trHeight w:val="1100" w:hRule="atLeast"/>
        </w:trPr>
        <w:tc>
          <w:tcPr>
            <w:tcW w:w="2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绩效监控、单位自评、部门评价、财政评价结果应用情况。评价结果应用率=评价提出的意见建议采纳数/提出的意见建议总数*100%</w:t>
            </w:r>
          </w:p>
        </w:tc>
      </w:tr>
      <w:tr>
        <w:tblPrEx>
          <w:shd w:val="clear" w:color="auto" w:fill="auto"/>
          <w:tblCellMar>
            <w:top w:w="0" w:type="dxa"/>
            <w:left w:w="0" w:type="dxa"/>
            <w:bottom w:w="0" w:type="dxa"/>
            <w:right w:w="0" w:type="dxa"/>
          </w:tblCellMar>
        </w:tblPrEx>
        <w:trPr>
          <w:trHeight w:val="540" w:hRule="atLeast"/>
        </w:trPr>
        <w:tc>
          <w:tcPr>
            <w:tcW w:w="280"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产出指标</w:t>
            </w:r>
          </w:p>
        </w:tc>
        <w:tc>
          <w:tcPr>
            <w:tcW w:w="572"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分项具体列示本部门（单位）重点工作任务推进情况，相关情况应予以细化、量化表述。</w:t>
            </w:r>
          </w:p>
        </w:tc>
      </w:tr>
      <w:tr>
        <w:tblPrEx>
          <w:shd w:val="clear" w:color="auto" w:fill="auto"/>
          <w:tblCellMar>
            <w:top w:w="0" w:type="dxa"/>
            <w:left w:w="0" w:type="dxa"/>
            <w:bottom w:w="0" w:type="dxa"/>
            <w:right w:w="0" w:type="dxa"/>
          </w:tblCellMar>
        </w:tblPrEx>
        <w:trPr>
          <w:trHeight w:val="540" w:hRule="atLeast"/>
        </w:trPr>
        <w:tc>
          <w:tcPr>
            <w:tcW w:w="28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shd w:val="clear" w:color="auto" w:fill="auto"/>
          <w:tblCellMar>
            <w:top w:w="0" w:type="dxa"/>
            <w:left w:w="0" w:type="dxa"/>
            <w:bottom w:w="0" w:type="dxa"/>
            <w:right w:w="0" w:type="dxa"/>
          </w:tblCellMar>
        </w:tblPrEx>
        <w:trPr>
          <w:trHeight w:val="380" w:hRule="atLeast"/>
        </w:trPr>
        <w:tc>
          <w:tcPr>
            <w:tcW w:w="28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重点工作3计划完成率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shd w:val="clear" w:color="auto" w:fill="auto"/>
          <w:tblCellMar>
            <w:top w:w="0" w:type="dxa"/>
            <w:left w:w="0" w:type="dxa"/>
            <w:bottom w:w="0" w:type="dxa"/>
            <w:right w:w="0" w:type="dxa"/>
          </w:tblCellMar>
        </w:tblPrEx>
        <w:trPr>
          <w:trHeight w:val="380" w:hRule="atLeast"/>
        </w:trPr>
        <w:tc>
          <w:tcPr>
            <w:tcW w:w="28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重点工作4计划完成率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8"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shd w:val="clear" w:color="auto" w:fill="auto"/>
          <w:tblCellMar>
            <w:top w:w="0" w:type="dxa"/>
            <w:left w:w="0" w:type="dxa"/>
            <w:bottom w:w="0" w:type="dxa"/>
            <w:right w:w="0" w:type="dxa"/>
          </w:tblCellMar>
        </w:tblPrEx>
        <w:trPr>
          <w:trHeight w:val="440" w:hRule="atLeast"/>
        </w:trPr>
        <w:tc>
          <w:tcPr>
            <w:tcW w:w="28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sz w:val="20"/>
                <w:szCs w:val="20"/>
                <w:u w:val="none"/>
                <w:lang w:val="en-US" w:eastAsia="zh-CN"/>
              </w:rPr>
              <w:t>100%</w:t>
            </w:r>
          </w:p>
        </w:tc>
        <w:tc>
          <w:tcPr>
            <w:tcW w:w="2768"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分项具体列示本部门（单位）年度工作目标达成情况，相关情况应予以细化、量化表述。</w:t>
            </w:r>
          </w:p>
        </w:tc>
      </w:tr>
      <w:tr>
        <w:tblPrEx>
          <w:shd w:val="clear" w:color="auto" w:fill="auto"/>
          <w:tblCellMar>
            <w:top w:w="0" w:type="dxa"/>
            <w:left w:w="0" w:type="dxa"/>
            <w:bottom w:w="0" w:type="dxa"/>
            <w:right w:w="0" w:type="dxa"/>
          </w:tblCellMar>
        </w:tblPrEx>
        <w:trPr>
          <w:trHeight w:val="380" w:hRule="atLeast"/>
        </w:trPr>
        <w:tc>
          <w:tcPr>
            <w:tcW w:w="28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sz w:val="20"/>
                <w:szCs w:val="20"/>
                <w:u w:val="none"/>
                <w:lang w:val="en-US" w:eastAsia="zh-CN"/>
              </w:rPr>
              <w:t>100%</w:t>
            </w:r>
          </w:p>
        </w:tc>
        <w:tc>
          <w:tcPr>
            <w:tcW w:w="276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shd w:val="clear" w:color="auto" w:fill="auto"/>
          <w:tblCellMar>
            <w:top w:w="0" w:type="dxa"/>
            <w:left w:w="0" w:type="dxa"/>
            <w:bottom w:w="0" w:type="dxa"/>
            <w:right w:w="0" w:type="dxa"/>
          </w:tblCellMar>
        </w:tblPrEx>
        <w:trPr>
          <w:trHeight w:val="270" w:hRule="atLeast"/>
        </w:trPr>
        <w:tc>
          <w:tcPr>
            <w:tcW w:w="28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年度工作目标3实现率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sz w:val="20"/>
                <w:szCs w:val="20"/>
                <w:u w:val="none"/>
                <w:lang w:val="en-US" w:eastAsia="zh-CN"/>
              </w:rPr>
              <w:t>100%</w:t>
            </w:r>
          </w:p>
        </w:tc>
        <w:tc>
          <w:tcPr>
            <w:tcW w:w="276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shd w:val="clear" w:color="auto" w:fill="auto"/>
          <w:tblCellMar>
            <w:top w:w="0" w:type="dxa"/>
            <w:left w:w="0" w:type="dxa"/>
            <w:bottom w:w="0" w:type="dxa"/>
            <w:right w:w="0" w:type="dxa"/>
          </w:tblCellMar>
        </w:tblPrEx>
        <w:trPr>
          <w:trHeight w:val="270" w:hRule="atLeast"/>
        </w:trPr>
        <w:tc>
          <w:tcPr>
            <w:tcW w:w="280"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年度工作目标4实现率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sz w:val="20"/>
                <w:szCs w:val="20"/>
                <w:u w:val="none"/>
                <w:lang w:val="en-US" w:eastAsia="zh-CN"/>
              </w:rPr>
              <w:t>100%</w:t>
            </w:r>
          </w:p>
        </w:tc>
        <w:tc>
          <w:tcPr>
            <w:tcW w:w="2768"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shd w:val="clear" w:color="auto" w:fill="auto"/>
          <w:tblCellMar>
            <w:top w:w="0" w:type="dxa"/>
            <w:left w:w="0" w:type="dxa"/>
            <w:bottom w:w="0" w:type="dxa"/>
            <w:right w:w="0" w:type="dxa"/>
          </w:tblCellMar>
        </w:tblPrEx>
        <w:trPr>
          <w:trHeight w:val="1234" w:hRule="atLeast"/>
        </w:trPr>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效益指标</w:t>
            </w: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显著提高</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反映部门（单位）履职对经济社会发展等所带来的社会效益、经济效益、生态效益等。可根据部门（单位）实际情况有选择的进行设置，并将三级指标细化为相应的个性化指标。</w:t>
            </w:r>
          </w:p>
        </w:tc>
      </w:tr>
      <w:tr>
        <w:tblPrEx>
          <w:shd w:val="clear" w:color="auto" w:fill="auto"/>
          <w:tblCellMar>
            <w:top w:w="0" w:type="dxa"/>
            <w:left w:w="0" w:type="dxa"/>
            <w:bottom w:w="0" w:type="dxa"/>
            <w:right w:w="0" w:type="dxa"/>
          </w:tblCellMar>
        </w:tblPrEx>
        <w:trPr>
          <w:trHeight w:val="129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eastAsia="zh-CN"/>
              </w:rPr>
              <w:t>》</w:t>
            </w:r>
            <w:r>
              <w:rPr>
                <w:rFonts w:hint="eastAsia" w:ascii="仿宋" w:hAnsi="仿宋" w:eastAsia="仿宋" w:cs="仿宋"/>
                <w:i w:val="0"/>
                <w:color w:val="000000"/>
                <w:sz w:val="20"/>
                <w:szCs w:val="20"/>
                <w:u w:val="none"/>
                <w:lang w:val="en-US" w:eastAsia="zh-CN"/>
              </w:rPr>
              <w: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反映社会公众或服务对象在部门（单位）履职效果、解决民众关心的热点问题等方面的满意程度。可根据部门（单位）实际情况有选择的进行设置，并将三级指标细化为相应的个性化指标。</w:t>
            </w:r>
          </w:p>
        </w:tc>
      </w:tr>
    </w:tbl>
    <w:p>
      <w:pPr>
        <w:pStyle w:val="12"/>
        <w:ind w:left="0" w:leftChars="0" w:firstLine="0" w:firstLineChars="0"/>
        <w:rPr>
          <w:rFonts w:hint="default"/>
        </w:rPr>
        <w:sectPr>
          <w:pgSz w:w="11906" w:h="16838"/>
          <w:pgMar w:top="720" w:right="720" w:bottom="720" w:left="720" w:header="851" w:footer="227" w:gutter="0"/>
          <w:pgBorders>
            <w:top w:val="none" w:sz="0" w:space="0"/>
            <w:left w:val="none" w:sz="0" w:space="0"/>
            <w:bottom w:val="none" w:sz="0" w:space="0"/>
            <w:right w:val="none" w:sz="0" w:space="0"/>
          </w:pgBorders>
          <w:pgNumType w:fmt="decimal"/>
          <w:cols w:space="0" w:num="1"/>
          <w:rtlGutter w:val="0"/>
          <w:docGrid w:type="lines" w:linePitch="319" w:charSpace="0"/>
        </w:sectPr>
      </w:pPr>
    </w:p>
    <w:p>
      <w:pPr>
        <w:pStyle w:val="12"/>
        <w:ind w:left="0" w:leftChars="0" w:firstLine="0" w:firstLineChars="0"/>
      </w:pPr>
    </w:p>
    <w:sectPr>
      <w:pgSz w:w="11906" w:h="16838"/>
      <w:pgMar w:top="720" w:right="720" w:bottom="720" w:left="720" w:header="851" w:footer="227" w:gutter="0"/>
      <w:pgBorders>
        <w:top w:val="none" w:sz="0" w:space="0"/>
        <w:left w:val="none" w:sz="0" w:space="0"/>
        <w:bottom w:val="none" w:sz="0" w:space="0"/>
        <w:right w:val="none" w:sz="0" w:space="0"/>
      </w:pgBorders>
      <w:pgNumType w:fmt="decimal"/>
      <w:cols w:space="0" w:num="1"/>
      <w:rtlGutter w:val="0"/>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eastAsia" w:eastAsia="宋体"/>
        <w:lang w:val="en-US" w:eastAsia="zh-CN"/>
      </w:rPr>
    </w:pPr>
    <w:r>
      <w:rPr>
        <w:rFonts w:hint="eastAsia"/>
        <w:b/>
        <w:bCs/>
        <w:sz w:val="22"/>
        <w:szCs w:val="36"/>
        <w:lang w:val="en-US" w:eastAsia="zh-CN"/>
      </w:rPr>
      <w:t>国远咨询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47D11"/>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2D614D4"/>
    <w:rsid w:val="23247CB7"/>
    <w:rsid w:val="232A0A7A"/>
    <w:rsid w:val="2451548A"/>
    <w:rsid w:val="24611640"/>
    <w:rsid w:val="2A4749CF"/>
    <w:rsid w:val="2BCF396A"/>
    <w:rsid w:val="2C020CF3"/>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530504E8"/>
    <w:rsid w:val="53D53D55"/>
    <w:rsid w:val="54FE107E"/>
    <w:rsid w:val="55163C24"/>
    <w:rsid w:val="5601198C"/>
    <w:rsid w:val="56104055"/>
    <w:rsid w:val="572C68E4"/>
    <w:rsid w:val="5C6B083C"/>
    <w:rsid w:val="5CE85B58"/>
    <w:rsid w:val="5D731A92"/>
    <w:rsid w:val="603E5DB0"/>
    <w:rsid w:val="62A47E73"/>
    <w:rsid w:val="62A85D16"/>
    <w:rsid w:val="642660CF"/>
    <w:rsid w:val="64D12C3C"/>
    <w:rsid w:val="6647282C"/>
    <w:rsid w:val="678B2E0B"/>
    <w:rsid w:val="68E02300"/>
    <w:rsid w:val="6988452D"/>
    <w:rsid w:val="6AB338D5"/>
    <w:rsid w:val="6D8652AD"/>
    <w:rsid w:val="707D36D5"/>
    <w:rsid w:val="70A6019A"/>
    <w:rsid w:val="721C39A2"/>
    <w:rsid w:val="72B91FCA"/>
    <w:rsid w:val="755D3DB4"/>
    <w:rsid w:val="77A44894"/>
    <w:rsid w:val="788B35BF"/>
    <w:rsid w:val="796F6487"/>
    <w:rsid w:val="7A17211E"/>
    <w:rsid w:val="7AC44184"/>
    <w:rsid w:val="7CA865D9"/>
    <w:rsid w:val="7EBF2BB0"/>
    <w:rsid w:val="7FA525D4"/>
    <w:rsid w:val="7FBE1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Courier New"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0"/>
    <w:pPr>
      <w:keepNext/>
      <w:keepLines/>
      <w:widowControl w:val="0"/>
      <w:adjustRightInd w:val="0"/>
      <w:snapToGrid w:val="0"/>
      <w:spacing w:before="340" w:after="330" w:line="360" w:lineRule="auto"/>
      <w:ind w:left="0" w:leftChars="0"/>
      <w:jc w:val="both"/>
      <w:outlineLvl w:val="0"/>
    </w:pPr>
    <w:rPr>
      <w:rFonts w:ascii="Times New Roman" w:hAnsi="Times New Roman" w:eastAsia="宋体" w:cs="Times New Roman"/>
      <w:b/>
      <w:bCs/>
      <w:kern w:val="44"/>
      <w:sz w:val="36"/>
      <w:szCs w:val="44"/>
    </w:rPr>
  </w:style>
  <w:style w:type="paragraph" w:styleId="4">
    <w:name w:val="heading 2"/>
    <w:basedOn w:val="1"/>
    <w:next w:val="1"/>
    <w:link w:val="16"/>
    <w:semiHidden/>
    <w:unhideWhenUsed/>
    <w:qFormat/>
    <w:uiPriority w:val="0"/>
    <w:pPr>
      <w:keepNext/>
      <w:keepLines/>
      <w:adjustRightInd w:val="0"/>
      <w:snapToGrid w:val="0"/>
      <w:spacing w:line="360" w:lineRule="auto"/>
      <w:outlineLvl w:val="1"/>
    </w:pPr>
    <w:rPr>
      <w:rFonts w:ascii="Arial" w:hAnsi="Arial" w:eastAsia="宋体" w:cs="Arial"/>
      <w:b/>
      <w:sz w:val="32"/>
    </w:rPr>
  </w:style>
  <w:style w:type="paragraph" w:styleId="5">
    <w:name w:val="heading 3"/>
    <w:basedOn w:val="1"/>
    <w:next w:val="1"/>
    <w:link w:val="18"/>
    <w:semiHidden/>
    <w:unhideWhenUsed/>
    <w:qFormat/>
    <w:uiPriority w:val="0"/>
    <w:pPr>
      <w:keepNext/>
      <w:keepLines/>
      <w:spacing w:before="100" w:after="100" w:line="360" w:lineRule="auto"/>
      <w:ind w:firstLine="1040" w:firstLineChars="200"/>
      <w:outlineLvl w:val="2"/>
    </w:pPr>
    <w:rPr>
      <w:rFonts w:ascii="Calibri" w:hAnsi="Calibri" w:eastAsia="宋体" w:cs="宋体"/>
      <w:b/>
      <w:sz w:val="30"/>
    </w:rPr>
  </w:style>
  <w:style w:type="paragraph" w:styleId="6">
    <w:name w:val="heading 4"/>
    <w:basedOn w:val="1"/>
    <w:next w:val="1"/>
    <w:link w:val="19"/>
    <w:semiHidden/>
    <w:unhideWhenUsed/>
    <w:qFormat/>
    <w:uiPriority w:val="0"/>
    <w:pPr>
      <w:keepNext/>
      <w:keepLines/>
      <w:spacing w:before="280" w:beforeLines="0" w:beforeAutospacing="0" w:after="290" w:afterLines="0" w:afterAutospacing="0" w:line="372" w:lineRule="auto"/>
      <w:ind w:firstLine="0" w:firstLineChars="0"/>
      <w:outlineLvl w:val="3"/>
    </w:pPr>
    <w:rPr>
      <w:rFonts w:ascii="宋体" w:hAnsi="宋体" w:eastAsia="宋体"/>
      <w:b/>
    </w:rPr>
  </w:style>
  <w:style w:type="character" w:default="1" w:styleId="15">
    <w:name w:val="Default Paragraph Font"/>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7">
    <w:name w:val="Body Text"/>
    <w:basedOn w:val="1"/>
    <w:qFormat/>
    <w:uiPriority w:val="0"/>
    <w:pPr>
      <w:spacing w:after="120" w:afterLines="0" w:afterAutospacing="0"/>
    </w:pPr>
  </w:style>
  <w:style w:type="paragraph" w:styleId="8">
    <w:name w:val="Body Text Indent"/>
    <w:basedOn w:val="1"/>
    <w:qFormat/>
    <w:uiPriority w:val="0"/>
    <w:pPr>
      <w:widowControl w:val="0"/>
      <w:adjustRightInd/>
      <w:snapToGrid/>
      <w:ind w:firstLine="645"/>
      <w:jc w:val="both"/>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2">
    <w:name w:val="Body Text First Indent"/>
    <w:basedOn w:val="7"/>
    <w:qFormat/>
    <w:uiPriority w:val="0"/>
    <w:pPr>
      <w:ind w:firstLine="420" w:firstLineChars="1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2 Char"/>
    <w:link w:val="4"/>
    <w:uiPriority w:val="9"/>
    <w:rPr>
      <w:rFonts w:ascii="Arial" w:hAnsi="Arial" w:eastAsia="宋体" w:cs="Arial"/>
      <w:b/>
      <w:bCs/>
      <w:sz w:val="32"/>
      <w:szCs w:val="32"/>
    </w:rPr>
  </w:style>
  <w:style w:type="character" w:customStyle="1" w:styleId="17">
    <w:name w:val="标题 1 Char"/>
    <w:link w:val="3"/>
    <w:qFormat/>
    <w:uiPriority w:val="0"/>
    <w:rPr>
      <w:rFonts w:ascii="Times New Roman" w:hAnsi="Times New Roman" w:eastAsia="宋体" w:cs="宋体"/>
      <w:b/>
      <w:kern w:val="44"/>
      <w:sz w:val="36"/>
    </w:rPr>
  </w:style>
  <w:style w:type="character" w:customStyle="1" w:styleId="18">
    <w:name w:val="标题 3 Char"/>
    <w:link w:val="5"/>
    <w:qFormat/>
    <w:uiPriority w:val="9"/>
    <w:rPr>
      <w:rFonts w:ascii="Calibri" w:hAnsi="Calibri" w:eastAsia="宋体" w:cs="宋体"/>
      <w:b/>
      <w:sz w:val="30"/>
    </w:rPr>
  </w:style>
  <w:style w:type="character" w:customStyle="1" w:styleId="19">
    <w:name w:val="标题 4 Char"/>
    <w:link w:val="6"/>
    <w:qFormat/>
    <w:uiPriority w:val="0"/>
    <w:rPr>
      <w:rFonts w:ascii="宋体" w:hAnsi="宋体" w:eastAsia="宋体"/>
      <w:b/>
    </w:rPr>
  </w:style>
  <w:style w:type="paragraph" w:customStyle="1" w:styleId="20">
    <w:name w:val="正文文本1"/>
    <w:basedOn w:val="1"/>
    <w:link w:val="22"/>
    <w:qFormat/>
    <w:uiPriority w:val="0"/>
    <w:pPr>
      <w:widowControl w:val="0"/>
      <w:shd w:val="clear" w:color="auto" w:fill="FFFFFF"/>
      <w:spacing w:before="540" w:line="595" w:lineRule="exact"/>
      <w:ind w:hanging="240"/>
      <w:jc w:val="distribute"/>
    </w:pPr>
    <w:rPr>
      <w:rFonts w:ascii="MingLiU" w:hAnsi="MingLiU" w:eastAsia="MingLiU" w:cs="MingLiU"/>
      <w:spacing w:val="40"/>
      <w:sz w:val="28"/>
      <w:szCs w:val="28"/>
      <w:u w:val="none"/>
    </w:rPr>
  </w:style>
  <w:style w:type="character" w:customStyle="1" w:styleId="21">
    <w:name w:val="正文文本 + 11 pt"/>
    <w:basedOn w:val="22"/>
    <w:qFormat/>
    <w:uiPriority w:val="0"/>
    <w:rPr>
      <w:color w:val="000000"/>
      <w:w w:val="100"/>
      <w:position w:val="0"/>
      <w:sz w:val="22"/>
      <w:szCs w:val="22"/>
      <w:lang w:val="en-US"/>
    </w:rPr>
  </w:style>
  <w:style w:type="character" w:customStyle="1" w:styleId="22">
    <w:name w:val="正文文本_"/>
    <w:basedOn w:val="15"/>
    <w:link w:val="20"/>
    <w:qFormat/>
    <w:uiPriority w:val="0"/>
    <w:rPr>
      <w:rFonts w:ascii="MingLiU" w:hAnsi="MingLiU" w:eastAsia="MingLiU" w:cs="MingLiU"/>
      <w:spacing w:val="40"/>
      <w:sz w:val="28"/>
      <w:szCs w:val="28"/>
      <w:u w:val="none"/>
    </w:rPr>
  </w:style>
  <w:style w:type="character" w:customStyle="1" w:styleId="23">
    <w:name w:val="font01"/>
    <w:basedOn w:val="1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Lenovo</cp:lastModifiedBy>
  <dcterms:modified xsi:type="dcterms:W3CDTF">2022-03-09T02:33:31Z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