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10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5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  <w:tc>
          <w:tcPr>
            <w:tcW w:w="25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5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  <w:tc>
          <w:tcPr>
            <w:tcW w:w="2500" w:type="pct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25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2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389"/>
              <w:gridCol w:w="2645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bidi="ar"/>
                    </w:rPr>
                    <w:t>新乡县商务中心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 w:bidi="ar"/>
                    </w:rPr>
                    <w:t>大楼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bidi="ar"/>
                    </w:rPr>
                    <w:t>运转费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bidi="ar"/>
                    </w:rPr>
                    <w:t>新乡县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 w:bidi="ar"/>
                    </w:rPr>
                    <w:t>机关事务中心</w:t>
                  </w:r>
                </w:p>
              </w:tc>
              <w:tc>
                <w:tcPr>
                  <w:tcW w:w="216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6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新乡县机关事务中心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2764</w:t>
                  </w:r>
                </w:p>
              </w:tc>
              <w:tc>
                <w:tcPr>
                  <w:tcW w:w="216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6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2764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2764</w:t>
                  </w:r>
                </w:p>
              </w:tc>
              <w:tc>
                <w:tcPr>
                  <w:tcW w:w="216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6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2764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16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6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52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spacing w:line="600" w:lineRule="exact"/>
                    <w:jc w:val="left"/>
                    <w:textAlignment w:val="center"/>
                    <w:rPr>
                      <w:rFonts w:hint="eastAsia" w:ascii="仿宋" w:hAnsi="仿宋" w:eastAsia="仿宋" w:cs="仿宋"/>
                      <w:sz w:val="22"/>
                      <w:szCs w:val="22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2"/>
                      <w:szCs w:val="22"/>
                    </w:rPr>
                    <w:t>目标1：</w:t>
                  </w:r>
                  <w:r>
                    <w:rPr>
                      <w:rFonts w:hint="eastAsia" w:ascii="仿宋" w:hAnsi="仿宋" w:eastAsia="仿宋" w:cs="仿宋"/>
                      <w:sz w:val="22"/>
                      <w:szCs w:val="22"/>
                    </w:rPr>
                    <w:t>负责新乡县县直党政机关的后勤服务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bidi="ar"/>
                    </w:rPr>
                    <w:t>目标2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eastAsia="zh-CN" w:bidi="ar"/>
                    </w:rPr>
                    <w:t>：</w:t>
                  </w:r>
                  <w:r>
                    <w:rPr>
                      <w:rFonts w:hint="eastAsia" w:ascii="仿宋" w:hAnsi="仿宋" w:eastAsia="仿宋" w:cs="仿宋"/>
                      <w:sz w:val="22"/>
                      <w:szCs w:val="22"/>
                    </w:rPr>
                    <w:t>公共机构节能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bidi="ar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bidi="ar"/>
                    </w:rPr>
                    <w:t>目标3：</w:t>
                  </w:r>
                  <w:r>
                    <w:rPr>
                      <w:rFonts w:hint="eastAsia" w:ascii="仿宋" w:hAnsi="仿宋" w:eastAsia="仿宋" w:cs="仿宋"/>
                      <w:sz w:val="22"/>
                      <w:szCs w:val="22"/>
                    </w:rPr>
                    <w:t>公务用车管理和办公用房管理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2"/>
                      <w:szCs w:val="22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spacing w:line="600" w:lineRule="exact"/>
                    <w:jc w:val="left"/>
                    <w:textAlignment w:val="center"/>
                    <w:rPr>
                      <w:rFonts w:hint="eastAsia" w:ascii="仿宋" w:hAnsi="仿宋" w:eastAsia="仿宋" w:cs="仿宋"/>
                      <w:sz w:val="22"/>
                      <w:szCs w:val="22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2"/>
                      <w:szCs w:val="22"/>
                    </w:rPr>
                    <w:t>目标1：</w:t>
                  </w:r>
                  <w:r>
                    <w:rPr>
                      <w:rFonts w:hint="eastAsia" w:ascii="仿宋" w:hAnsi="仿宋" w:eastAsia="仿宋" w:cs="仿宋"/>
                      <w:sz w:val="22"/>
                      <w:szCs w:val="22"/>
                    </w:rPr>
                    <w:t>负责新乡县县直党政机关的后勤服务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bidi="ar"/>
                    </w:rPr>
                    <w:t>目标2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eastAsia="zh-CN" w:bidi="ar"/>
                    </w:rPr>
                    <w:t>：</w:t>
                  </w:r>
                  <w:r>
                    <w:rPr>
                      <w:rFonts w:hint="eastAsia" w:ascii="仿宋" w:hAnsi="仿宋" w:eastAsia="仿宋" w:cs="仿宋"/>
                      <w:sz w:val="22"/>
                      <w:szCs w:val="22"/>
                    </w:rPr>
                    <w:t>公共机构节能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bidi="ar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bidi="ar"/>
                    </w:rPr>
                    <w:t>目标3：</w:t>
                  </w:r>
                  <w:r>
                    <w:rPr>
                      <w:rFonts w:hint="eastAsia" w:ascii="仿宋" w:hAnsi="仿宋" w:eastAsia="仿宋" w:cs="仿宋"/>
                      <w:sz w:val="22"/>
                      <w:szCs w:val="22"/>
                    </w:rPr>
                    <w:t>公务用车管理和办公用房管理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2"/>
                      <w:szCs w:val="22"/>
                    </w:rPr>
                    <w:br w:type="textWrapping"/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3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26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仿宋" w:hAnsi="仿宋" w:eastAsia="仿宋" w:cs="宋体"/>
                      <w:bCs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bCs/>
                      <w:color w:val="000000"/>
                      <w:sz w:val="21"/>
                      <w:szCs w:val="21"/>
                    </w:rPr>
                    <w:t>基础保障支出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338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数量指标</w:t>
                  </w:r>
                </w:p>
              </w:tc>
              <w:tc>
                <w:tcPr>
                  <w:tcW w:w="13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hint="eastAsia" w:ascii="仿宋" w:hAnsi="仿宋" w:eastAsia="仿宋" w:cs="宋体"/>
                      <w:bCs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bCs/>
                      <w:color w:val="000000"/>
                      <w:sz w:val="21"/>
                      <w:szCs w:val="21"/>
                    </w:rPr>
                    <w:t>基础保障支出</w:t>
                  </w:r>
                </w:p>
              </w:tc>
              <w:tc>
                <w:tcPr>
                  <w:tcW w:w="26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338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hint="default" w:ascii="仿宋" w:hAnsi="仿宋" w:eastAsia="仿宋" w:cs="宋体"/>
                      <w:bCs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外包劳务支出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594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3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hint="default" w:ascii="仿宋" w:hAnsi="仿宋" w:eastAsia="仿宋" w:cs="宋体"/>
                      <w:bCs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外包劳务支出</w:t>
                  </w:r>
                </w:p>
              </w:tc>
              <w:tc>
                <w:tcPr>
                  <w:tcW w:w="26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594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hint="default" w:ascii="仿宋" w:hAnsi="仿宋" w:eastAsia="仿宋" w:cs="宋体"/>
                      <w:bCs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租赁支出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622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3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hint="default" w:ascii="仿宋" w:hAnsi="仿宋" w:eastAsia="仿宋" w:cs="宋体"/>
                      <w:bCs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租赁支出</w:t>
                  </w:r>
                </w:p>
              </w:tc>
              <w:tc>
                <w:tcPr>
                  <w:tcW w:w="26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622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hint="eastAsia" w:ascii="仿宋" w:hAnsi="仿宋" w:eastAsia="仿宋" w:cs="宋体"/>
                      <w:bCs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bCs/>
                      <w:color w:val="000000"/>
                      <w:sz w:val="21"/>
                      <w:szCs w:val="21"/>
                    </w:rPr>
                    <w:t>维护维修</w:t>
                  </w:r>
                  <w:r>
                    <w:rPr>
                      <w:rFonts w:hint="eastAsia" w:ascii="仿宋" w:hAnsi="仿宋" w:eastAsia="仿宋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支出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177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3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hint="eastAsia" w:ascii="仿宋" w:hAnsi="仿宋" w:eastAsia="仿宋" w:cs="宋体"/>
                      <w:bCs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bCs/>
                      <w:color w:val="000000"/>
                      <w:sz w:val="21"/>
                      <w:szCs w:val="21"/>
                    </w:rPr>
                    <w:t>维护维修</w:t>
                  </w:r>
                  <w:r>
                    <w:rPr>
                      <w:rFonts w:hint="eastAsia" w:ascii="仿宋" w:hAnsi="仿宋" w:eastAsia="仿宋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支出</w:t>
                  </w:r>
                </w:p>
              </w:tc>
              <w:tc>
                <w:tcPr>
                  <w:tcW w:w="26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177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hint="eastAsia" w:ascii="仿宋" w:hAnsi="仿宋" w:eastAsia="仿宋" w:cs="Times New Roman"/>
                      <w:bCs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其他支出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938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3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hint="eastAsia" w:ascii="仿宋" w:hAnsi="仿宋" w:eastAsia="仿宋" w:cs="Times New Roman"/>
                      <w:bCs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其他支出</w:t>
                  </w:r>
                </w:p>
              </w:tc>
              <w:tc>
                <w:tcPr>
                  <w:tcW w:w="26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938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"/>
                    </w:rPr>
                    <w:t>资本性支出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95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3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"/>
                    </w:rPr>
                    <w:t>资本性支出</w:t>
                  </w:r>
                </w:p>
              </w:tc>
              <w:tc>
                <w:tcPr>
                  <w:tcW w:w="26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95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bidi="ar"/>
                    </w:rPr>
                    <w:t>工作人员安全、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"/>
                    </w:rPr>
                    <w:t>就餐、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bidi="ar"/>
                    </w:rPr>
                    <w:t>按时上下班，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"/>
                    </w:rPr>
                    <w:t>办公环境优美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1"/>
                      <w:szCs w:val="21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95%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质量指标</w:t>
                  </w:r>
                </w:p>
              </w:tc>
              <w:tc>
                <w:tcPr>
                  <w:tcW w:w="13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bidi="ar"/>
                    </w:rPr>
                    <w:t>工作人员安全、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"/>
                    </w:rPr>
                    <w:t>就餐、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bidi="ar"/>
                    </w:rPr>
                    <w:t>按时上下班，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"/>
                    </w:rPr>
                    <w:t>办公环境优美</w:t>
                  </w:r>
                </w:p>
              </w:tc>
              <w:tc>
                <w:tcPr>
                  <w:tcW w:w="26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1"/>
                      <w:szCs w:val="21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95%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3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bidi="ar"/>
                    </w:rPr>
                    <w:t>按时支付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"/>
                    </w:rPr>
                    <w:t>水电话、劳务、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bidi="ar"/>
                    </w:rPr>
                    <w:t>房屋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eastAsia="zh-CN" w:bidi="ar"/>
                    </w:rPr>
                    <w:t>、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"/>
                    </w:rPr>
                    <w:t>空调、班车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bidi="ar"/>
                    </w:rPr>
                    <w:t>租赁费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  <w:t>及时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时效指标</w:t>
                  </w:r>
                </w:p>
              </w:tc>
              <w:tc>
                <w:tcPr>
                  <w:tcW w:w="13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bidi="ar"/>
                    </w:rPr>
                    <w:t>按时支付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"/>
                    </w:rPr>
                    <w:t>水电话、劳务、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bidi="ar"/>
                    </w:rPr>
                    <w:t>房屋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eastAsia="zh-CN" w:bidi="ar"/>
                    </w:rPr>
                    <w:t>、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"/>
                    </w:rPr>
                    <w:t>空调、班车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bidi="ar"/>
                    </w:rPr>
                    <w:t>租赁费</w:t>
                  </w:r>
                </w:p>
              </w:tc>
              <w:tc>
                <w:tcPr>
                  <w:tcW w:w="26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b w:val="0"/>
                      <w:bCs w:val="0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b w:val="0"/>
                      <w:bCs w:val="0"/>
                      <w:kern w:val="0"/>
                      <w:sz w:val="21"/>
                      <w:szCs w:val="21"/>
                      <w:lang w:val="en-US" w:eastAsia="zh-CN" w:bidi="ar"/>
                    </w:rPr>
                    <w:t>商务中心大楼运转费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b w:val="0"/>
                      <w:bCs w:val="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Arial" w:hAnsi="Arial" w:eastAsia="仿宋" w:cs="Arial"/>
                      <w:b w:val="0"/>
                      <w:bCs w:val="0"/>
                      <w:kern w:val="0"/>
                      <w:sz w:val="21"/>
                      <w:szCs w:val="21"/>
                    </w:rPr>
                    <w:t>≤</w:t>
                  </w:r>
                  <w:r>
                    <w:rPr>
                      <w:rFonts w:hint="eastAsia" w:ascii="Arial" w:hAnsi="Arial" w:eastAsia="仿宋" w:cs="Arial"/>
                      <w:b w:val="0"/>
                      <w:bCs w:val="0"/>
                      <w:kern w:val="0"/>
                      <w:sz w:val="21"/>
                      <w:szCs w:val="21"/>
                      <w:lang w:val="en-US" w:eastAsia="zh-CN"/>
                    </w:rPr>
                    <w:t>2669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成本指标</w:t>
                  </w:r>
                </w:p>
              </w:tc>
              <w:tc>
                <w:tcPr>
                  <w:tcW w:w="13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b w:val="0"/>
                      <w:bCs w:val="0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b w:val="0"/>
                      <w:bCs w:val="0"/>
                      <w:kern w:val="0"/>
                      <w:sz w:val="21"/>
                      <w:szCs w:val="21"/>
                      <w:lang w:val="en-US" w:eastAsia="zh-CN" w:bidi="ar"/>
                    </w:rPr>
                    <w:t>商务中心大楼运转费</w:t>
                  </w:r>
                </w:p>
              </w:tc>
              <w:tc>
                <w:tcPr>
                  <w:tcW w:w="26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b w:val="0"/>
                      <w:bCs w:val="0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b w:val="0"/>
                      <w:bCs w:val="0"/>
                      <w:kern w:val="0"/>
                      <w:sz w:val="21"/>
                      <w:szCs w:val="21"/>
                    </w:rPr>
                    <w:t>≤</w:t>
                  </w:r>
                  <w:r>
                    <w:rPr>
                      <w:rFonts w:hint="eastAsia" w:ascii="Arial" w:hAnsi="Arial" w:eastAsia="仿宋" w:cs="Arial"/>
                      <w:b w:val="0"/>
                      <w:bCs w:val="0"/>
                      <w:kern w:val="0"/>
                      <w:sz w:val="21"/>
                      <w:szCs w:val="21"/>
                      <w:lang w:val="en-US" w:eastAsia="zh-CN"/>
                    </w:rPr>
                    <w:t>2669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bidi="ar"/>
                    </w:rPr>
                    <w:t>保障商务中心工作人员按时上下班，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"/>
                    </w:rPr>
                    <w:t>及就餐，环境优美、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bidi="ar"/>
                    </w:rPr>
                    <w:t>提高工作效率，同时为社会增加就业机会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  <w:t>147人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经济效益指标</w:t>
                  </w:r>
                </w:p>
              </w:tc>
              <w:tc>
                <w:tcPr>
                  <w:tcW w:w="13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bidi="ar"/>
                    </w:rPr>
                    <w:t>保障商务中心工作人员按时上下班，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"/>
                    </w:rPr>
                    <w:t>及就餐，环境优美、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bidi="ar"/>
                    </w:rPr>
                    <w:t>提高工作效率，同时为社会增加就业机会</w:t>
                  </w:r>
                </w:p>
              </w:tc>
              <w:tc>
                <w:tcPr>
                  <w:tcW w:w="26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  <w:t>147人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bidi="ar"/>
                    </w:rPr>
                    <w:t>创造安全良好的办公环境，保障工作正常开展。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  <w:t>保障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社会效益指标</w:t>
                  </w:r>
                </w:p>
              </w:tc>
              <w:tc>
                <w:tcPr>
                  <w:tcW w:w="13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bidi="ar"/>
                    </w:rPr>
                    <w:t>创造安全良好的办公环境，保障工作正常开展。</w:t>
                  </w:r>
                </w:p>
              </w:tc>
              <w:tc>
                <w:tcPr>
                  <w:tcW w:w="26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  <w:t>保障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bidi="ar"/>
                    </w:rPr>
                    <w:t>持续性提供服务，保障工作人员工作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"/>
                    </w:rPr>
                    <w:t>环境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bidi="ar"/>
                    </w:rPr>
                    <w:t>、生活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"/>
                    </w:rPr>
                    <w:t>质量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  <w:t>持续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可持续影响指标</w:t>
                  </w:r>
                </w:p>
              </w:tc>
              <w:tc>
                <w:tcPr>
                  <w:tcW w:w="13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bidi="ar"/>
                    </w:rPr>
                    <w:t>持续性提供服务，保障工作人员工作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"/>
                    </w:rPr>
                    <w:t>环境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bidi="ar"/>
                    </w:rPr>
                    <w:t>、生活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"/>
                    </w:rPr>
                    <w:t>质量</w:t>
                  </w:r>
                </w:p>
              </w:tc>
              <w:tc>
                <w:tcPr>
                  <w:tcW w:w="26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b w:val="0"/>
                      <w:bCs w:val="0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bidi="ar"/>
                    </w:rPr>
                    <w:t>保障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val="en-US" w:eastAsia="zh-CN" w:bidi="ar"/>
                    </w:rPr>
                    <w:t>办公环境，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bidi="ar"/>
                    </w:rPr>
                    <w:t>工作人员上下班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val="en-US" w:eastAsia="zh-CN" w:bidi="ar"/>
                    </w:rPr>
                    <w:t>及就餐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bidi="ar"/>
                    </w:rPr>
                    <w:t>安全，准时；全体职工满意度达9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val="en-US" w:eastAsia="zh-CN" w:bidi="ar"/>
                    </w:rPr>
                    <w:t>5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bidi="ar"/>
                    </w:rPr>
                    <w:t>%以上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kern w:val="0"/>
                      <w:sz w:val="21"/>
                      <w:szCs w:val="21"/>
                    </w:rPr>
                    <w:t>≥95%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服务对象满意度指标</w:t>
                  </w:r>
                </w:p>
              </w:tc>
              <w:tc>
                <w:tcPr>
                  <w:tcW w:w="13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b w:val="0"/>
                      <w:bCs w:val="0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bidi="ar"/>
                    </w:rPr>
                    <w:t>保障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val="en-US" w:eastAsia="zh-CN" w:bidi="ar"/>
                    </w:rPr>
                    <w:t>办公环境，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bidi="ar"/>
                    </w:rPr>
                    <w:t>工作人员上下班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val="en-US" w:eastAsia="zh-CN" w:bidi="ar"/>
                    </w:rPr>
                    <w:t>及就餐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bidi="ar"/>
                    </w:rPr>
                    <w:t>安全，准时；全体职工满意度达9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val="en-US" w:eastAsia="zh-CN" w:bidi="ar"/>
                    </w:rPr>
                    <w:t>5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bidi="ar"/>
                    </w:rPr>
                    <w:t>%以上</w:t>
                  </w:r>
                </w:p>
              </w:tc>
              <w:tc>
                <w:tcPr>
                  <w:tcW w:w="26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kern w:val="0"/>
                      <w:sz w:val="21"/>
                      <w:szCs w:val="21"/>
                    </w:rPr>
                    <w:t>≥95%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2500" w:type="pct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</w:pPr>
    </w:p>
    <w:p>
      <w:pPr>
        <w:bidi w:val="0"/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tbl>
      <w:tblPr>
        <w:tblStyle w:val="12"/>
        <w:tblW w:w="10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500" w:type="pct"/>
            <w:vAlign w:val="center"/>
          </w:tcPr>
          <w:p>
            <w:pPr>
              <w:widowControl/>
              <w:jc w:val="left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500" w:type="pct"/>
            <w:vAlign w:val="center"/>
          </w:tcPr>
          <w:p>
            <w:pPr>
              <w:widowControl/>
              <w:jc w:val="left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25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2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389"/>
              <w:gridCol w:w="2645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bidi="ar"/>
                    </w:rPr>
                    <w:t>新乡县商务中心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 w:bidi="ar"/>
                    </w:rPr>
                    <w:t>大楼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bidi="ar"/>
                    </w:rPr>
                    <w:t>运转费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bidi="ar"/>
                    </w:rPr>
                    <w:t>新乡县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 w:bidi="ar"/>
                    </w:rPr>
                    <w:t>机关事务中心</w:t>
                  </w:r>
                </w:p>
              </w:tc>
              <w:tc>
                <w:tcPr>
                  <w:tcW w:w="216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6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新乡县机关事务中心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2764</w:t>
                  </w:r>
                </w:p>
              </w:tc>
              <w:tc>
                <w:tcPr>
                  <w:tcW w:w="216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6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2764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2764</w:t>
                  </w:r>
                </w:p>
              </w:tc>
              <w:tc>
                <w:tcPr>
                  <w:tcW w:w="216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6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2764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16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6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52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spacing w:line="600" w:lineRule="exact"/>
                    <w:jc w:val="left"/>
                    <w:textAlignment w:val="center"/>
                    <w:rPr>
                      <w:rFonts w:hint="eastAsia" w:ascii="仿宋" w:hAnsi="仿宋" w:eastAsia="仿宋" w:cs="仿宋"/>
                      <w:sz w:val="22"/>
                      <w:szCs w:val="22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2"/>
                      <w:szCs w:val="22"/>
                    </w:rPr>
                    <w:t>目标1：</w:t>
                  </w:r>
                  <w:r>
                    <w:rPr>
                      <w:rFonts w:hint="eastAsia" w:ascii="仿宋" w:hAnsi="仿宋" w:eastAsia="仿宋" w:cs="仿宋"/>
                      <w:sz w:val="22"/>
                      <w:szCs w:val="22"/>
                    </w:rPr>
                    <w:t>负责新乡县县直党政机关的后勤服务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bidi="ar"/>
                    </w:rPr>
                    <w:t>目标2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eastAsia="zh-CN" w:bidi="ar"/>
                    </w:rPr>
                    <w:t>：</w:t>
                  </w:r>
                  <w:r>
                    <w:rPr>
                      <w:rFonts w:hint="eastAsia" w:ascii="仿宋" w:hAnsi="仿宋" w:eastAsia="仿宋" w:cs="仿宋"/>
                      <w:sz w:val="22"/>
                      <w:szCs w:val="22"/>
                    </w:rPr>
                    <w:t>公共机构节能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bidi="ar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bidi="ar"/>
                    </w:rPr>
                    <w:t>目标3：</w:t>
                  </w:r>
                  <w:r>
                    <w:rPr>
                      <w:rFonts w:hint="eastAsia" w:ascii="仿宋" w:hAnsi="仿宋" w:eastAsia="仿宋" w:cs="仿宋"/>
                      <w:sz w:val="22"/>
                      <w:szCs w:val="22"/>
                    </w:rPr>
                    <w:t>公务用车管理和办公用房管理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2"/>
                      <w:szCs w:val="22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spacing w:line="600" w:lineRule="exact"/>
                    <w:jc w:val="left"/>
                    <w:textAlignment w:val="center"/>
                    <w:rPr>
                      <w:rFonts w:hint="eastAsia" w:ascii="仿宋" w:hAnsi="仿宋" w:eastAsia="仿宋" w:cs="仿宋"/>
                      <w:sz w:val="22"/>
                      <w:szCs w:val="22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2"/>
                      <w:szCs w:val="22"/>
                    </w:rPr>
                    <w:t>目标1：</w:t>
                  </w:r>
                  <w:r>
                    <w:rPr>
                      <w:rFonts w:hint="eastAsia" w:ascii="仿宋" w:hAnsi="仿宋" w:eastAsia="仿宋" w:cs="仿宋"/>
                      <w:sz w:val="22"/>
                      <w:szCs w:val="22"/>
                    </w:rPr>
                    <w:t>负责新乡县县直党政机关的后勤服务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bidi="ar"/>
                    </w:rPr>
                    <w:t>目标2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eastAsia="zh-CN" w:bidi="ar"/>
                    </w:rPr>
                    <w:t>：</w:t>
                  </w:r>
                  <w:r>
                    <w:rPr>
                      <w:rFonts w:hint="eastAsia" w:ascii="仿宋" w:hAnsi="仿宋" w:eastAsia="仿宋" w:cs="仿宋"/>
                      <w:sz w:val="22"/>
                      <w:szCs w:val="22"/>
                    </w:rPr>
                    <w:t>公共机构节能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bidi="ar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bidi="ar"/>
                    </w:rPr>
                    <w:t>目标3：</w:t>
                  </w:r>
                  <w:r>
                    <w:rPr>
                      <w:rFonts w:hint="eastAsia" w:ascii="仿宋" w:hAnsi="仿宋" w:eastAsia="仿宋" w:cs="仿宋"/>
                      <w:sz w:val="22"/>
                      <w:szCs w:val="22"/>
                    </w:rPr>
                    <w:t>公务用车管理和办公用房管理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2"/>
                      <w:szCs w:val="22"/>
                    </w:rPr>
                    <w:br w:type="textWrapping"/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3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26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仿宋" w:hAnsi="仿宋" w:eastAsia="仿宋" w:cs="宋体"/>
                      <w:bCs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bCs/>
                      <w:color w:val="000000"/>
                      <w:sz w:val="21"/>
                      <w:szCs w:val="21"/>
                    </w:rPr>
                    <w:t>基础保障支出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338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数量指标</w:t>
                  </w:r>
                </w:p>
              </w:tc>
              <w:tc>
                <w:tcPr>
                  <w:tcW w:w="13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hint="eastAsia" w:ascii="仿宋" w:hAnsi="仿宋" w:eastAsia="仿宋" w:cs="宋体"/>
                      <w:bCs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bCs/>
                      <w:color w:val="000000"/>
                      <w:sz w:val="21"/>
                      <w:szCs w:val="21"/>
                    </w:rPr>
                    <w:t>基础保障支出</w:t>
                  </w:r>
                </w:p>
              </w:tc>
              <w:tc>
                <w:tcPr>
                  <w:tcW w:w="26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338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hint="default" w:ascii="仿宋" w:hAnsi="仿宋" w:eastAsia="仿宋" w:cs="宋体"/>
                      <w:bCs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外包劳务支出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594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3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hint="default" w:ascii="仿宋" w:hAnsi="仿宋" w:eastAsia="仿宋" w:cs="宋体"/>
                      <w:bCs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外包劳务支出</w:t>
                  </w:r>
                </w:p>
              </w:tc>
              <w:tc>
                <w:tcPr>
                  <w:tcW w:w="26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594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hint="default" w:ascii="仿宋" w:hAnsi="仿宋" w:eastAsia="仿宋" w:cs="宋体"/>
                      <w:bCs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租赁支出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622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3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hint="default" w:ascii="仿宋" w:hAnsi="仿宋" w:eastAsia="仿宋" w:cs="宋体"/>
                      <w:bCs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租赁支出</w:t>
                  </w:r>
                </w:p>
              </w:tc>
              <w:tc>
                <w:tcPr>
                  <w:tcW w:w="26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622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hint="eastAsia" w:ascii="仿宋" w:hAnsi="仿宋" w:eastAsia="仿宋" w:cs="宋体"/>
                      <w:bCs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bCs/>
                      <w:color w:val="000000"/>
                      <w:sz w:val="21"/>
                      <w:szCs w:val="21"/>
                    </w:rPr>
                    <w:t>维护维修</w:t>
                  </w:r>
                  <w:r>
                    <w:rPr>
                      <w:rFonts w:hint="eastAsia" w:ascii="仿宋" w:hAnsi="仿宋" w:eastAsia="仿宋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支出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177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3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hint="eastAsia" w:ascii="仿宋" w:hAnsi="仿宋" w:eastAsia="仿宋" w:cs="宋体"/>
                      <w:bCs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bCs/>
                      <w:color w:val="000000"/>
                      <w:sz w:val="21"/>
                      <w:szCs w:val="21"/>
                    </w:rPr>
                    <w:t>维护维修</w:t>
                  </w:r>
                  <w:r>
                    <w:rPr>
                      <w:rFonts w:hint="eastAsia" w:ascii="仿宋" w:hAnsi="仿宋" w:eastAsia="仿宋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支出</w:t>
                  </w:r>
                </w:p>
              </w:tc>
              <w:tc>
                <w:tcPr>
                  <w:tcW w:w="26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177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hint="eastAsia" w:ascii="仿宋" w:hAnsi="仿宋" w:eastAsia="仿宋"/>
                      <w:bCs/>
                      <w:color w:val="00000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后勤</w:t>
                  </w:r>
                  <w:r>
                    <w:rPr>
                      <w:rFonts w:hint="eastAsia" w:ascii="仿宋" w:hAnsi="仿宋" w:eastAsia="仿宋"/>
                      <w:bCs/>
                      <w:color w:val="000000"/>
                      <w:sz w:val="21"/>
                      <w:szCs w:val="21"/>
                    </w:rPr>
                    <w:t>保障支出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938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3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hint="eastAsia" w:ascii="仿宋" w:hAnsi="仿宋" w:eastAsia="仿宋" w:cs="宋体"/>
                      <w:bCs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后勤</w:t>
                  </w:r>
                  <w:r>
                    <w:rPr>
                      <w:rFonts w:hint="eastAsia" w:ascii="仿宋" w:hAnsi="仿宋" w:eastAsia="仿宋"/>
                      <w:bCs/>
                      <w:color w:val="000000"/>
                      <w:sz w:val="21"/>
                      <w:szCs w:val="21"/>
                    </w:rPr>
                    <w:t>保障支出</w:t>
                  </w:r>
                </w:p>
              </w:tc>
              <w:tc>
                <w:tcPr>
                  <w:tcW w:w="26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938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hint="eastAsia" w:ascii="仿宋" w:hAnsi="仿宋" w:eastAsia="仿宋" w:cs="Times New Roman"/>
                      <w:bCs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其他支出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95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3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hint="eastAsia" w:ascii="仿宋" w:hAnsi="仿宋" w:eastAsia="仿宋" w:cs="Times New Roman"/>
                      <w:bCs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>其他支出</w:t>
                  </w:r>
                </w:p>
              </w:tc>
              <w:tc>
                <w:tcPr>
                  <w:tcW w:w="26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95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"/>
                    </w:rPr>
                    <w:t>资本性支出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338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3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"/>
                    </w:rPr>
                    <w:t>资本性支出</w:t>
                  </w:r>
                </w:p>
              </w:tc>
              <w:tc>
                <w:tcPr>
                  <w:tcW w:w="26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338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bidi="ar"/>
                    </w:rPr>
                    <w:t>工作人员安全、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"/>
                    </w:rPr>
                    <w:t>就餐、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bidi="ar"/>
                    </w:rPr>
                    <w:t>按时上下班，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"/>
                    </w:rPr>
                    <w:t>办公环境优美，解决东方宾馆改制遗留问题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1"/>
                      <w:szCs w:val="21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95%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质量指标</w:t>
                  </w:r>
                </w:p>
              </w:tc>
              <w:tc>
                <w:tcPr>
                  <w:tcW w:w="13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bidi="ar"/>
                    </w:rPr>
                    <w:t>工作人员安全、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"/>
                    </w:rPr>
                    <w:t>就餐、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bidi="ar"/>
                    </w:rPr>
                    <w:t>按时上下班，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"/>
                    </w:rPr>
                    <w:t>办公环境优美解决东方宾馆改制遗留问题</w:t>
                  </w:r>
                </w:p>
              </w:tc>
              <w:tc>
                <w:tcPr>
                  <w:tcW w:w="26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1"/>
                      <w:szCs w:val="21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95%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3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bidi="ar"/>
                    </w:rPr>
                    <w:t>按时支付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"/>
                    </w:rPr>
                    <w:t>水电话、劳务、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bidi="ar"/>
                    </w:rPr>
                    <w:t>房屋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eastAsia="zh-CN" w:bidi="ar"/>
                    </w:rPr>
                    <w:t>、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"/>
                    </w:rPr>
                    <w:t>空调、班车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bidi="ar"/>
                    </w:rPr>
                    <w:t>租赁费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  <w:t>及时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时效指标</w:t>
                  </w:r>
                </w:p>
              </w:tc>
              <w:tc>
                <w:tcPr>
                  <w:tcW w:w="13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bidi="ar"/>
                    </w:rPr>
                    <w:t>按时支付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"/>
                    </w:rPr>
                    <w:t>水电话、劳务、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bidi="ar"/>
                    </w:rPr>
                    <w:t>房屋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eastAsia="zh-CN" w:bidi="ar"/>
                    </w:rPr>
                    <w:t>、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"/>
                    </w:rPr>
                    <w:t>空调、班车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bidi="ar"/>
                    </w:rPr>
                    <w:t>租赁费</w:t>
                  </w:r>
                </w:p>
              </w:tc>
              <w:tc>
                <w:tcPr>
                  <w:tcW w:w="26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b w:val="0"/>
                      <w:bCs w:val="0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b w:val="0"/>
                      <w:bCs w:val="0"/>
                      <w:kern w:val="0"/>
                      <w:sz w:val="21"/>
                      <w:szCs w:val="21"/>
                      <w:lang w:val="en-US" w:eastAsia="zh-CN" w:bidi="ar"/>
                    </w:rPr>
                    <w:t>商务中心大楼运转费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b w:val="0"/>
                      <w:bCs w:val="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Arial" w:hAnsi="Arial" w:eastAsia="仿宋" w:cs="Arial"/>
                      <w:b w:val="0"/>
                      <w:bCs w:val="0"/>
                      <w:kern w:val="0"/>
                      <w:sz w:val="21"/>
                      <w:szCs w:val="21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2764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成本指标</w:t>
                  </w:r>
                </w:p>
              </w:tc>
              <w:tc>
                <w:tcPr>
                  <w:tcW w:w="13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b w:val="0"/>
                      <w:bCs w:val="0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b w:val="0"/>
                      <w:bCs w:val="0"/>
                      <w:kern w:val="0"/>
                      <w:sz w:val="21"/>
                      <w:szCs w:val="21"/>
                      <w:lang w:val="en-US" w:eastAsia="zh-CN" w:bidi="ar"/>
                    </w:rPr>
                    <w:t>商务中心大楼运转费</w:t>
                  </w:r>
                </w:p>
              </w:tc>
              <w:tc>
                <w:tcPr>
                  <w:tcW w:w="26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b w:val="0"/>
                      <w:bCs w:val="0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b w:val="0"/>
                      <w:bCs w:val="0"/>
                      <w:kern w:val="0"/>
                      <w:sz w:val="21"/>
                      <w:szCs w:val="21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2764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bidi="ar"/>
                    </w:rPr>
                    <w:t>保障商务中心工作人员按时上下班，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"/>
                    </w:rPr>
                    <w:t>及就餐，环境优美、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bidi="ar"/>
                    </w:rPr>
                    <w:t>提高工作效率，同时为社会增加就业机会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  <w:t>147人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经济效益指标</w:t>
                  </w:r>
                </w:p>
              </w:tc>
              <w:tc>
                <w:tcPr>
                  <w:tcW w:w="13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bidi="ar"/>
                    </w:rPr>
                    <w:t>保障商务中心工作人员按时上下班，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"/>
                    </w:rPr>
                    <w:t>及就餐，环境优美、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bidi="ar"/>
                    </w:rPr>
                    <w:t>提高工作效率，同时为社会增加就业机会</w:t>
                  </w:r>
                </w:p>
              </w:tc>
              <w:tc>
                <w:tcPr>
                  <w:tcW w:w="26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  <w:t>147人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bidi="ar"/>
                    </w:rPr>
                    <w:t>创造安全良好的办公环境，保障工作正常开展。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  <w:t>保障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社会效益指标</w:t>
                  </w:r>
                </w:p>
              </w:tc>
              <w:tc>
                <w:tcPr>
                  <w:tcW w:w="13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bidi="ar"/>
                    </w:rPr>
                    <w:t>创造安全良好的办公环境，保障工作正常开展。</w:t>
                  </w:r>
                </w:p>
              </w:tc>
              <w:tc>
                <w:tcPr>
                  <w:tcW w:w="26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  <w:t>保障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bidi="ar"/>
                    </w:rPr>
                    <w:t>持续性提供服务，保障工作人员工作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"/>
                    </w:rPr>
                    <w:t>环境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bidi="ar"/>
                    </w:rPr>
                    <w:t>、生活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"/>
                    </w:rPr>
                    <w:t>质量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  <w:t>持续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可持续影响指标</w:t>
                  </w:r>
                </w:p>
              </w:tc>
              <w:tc>
                <w:tcPr>
                  <w:tcW w:w="13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bidi="ar"/>
                    </w:rPr>
                    <w:t>持续性提供服务，保障工作人员工作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"/>
                    </w:rPr>
                    <w:t>环境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bidi="ar"/>
                    </w:rPr>
                    <w:t>、生活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"/>
                    </w:rPr>
                    <w:t>质量</w:t>
                  </w:r>
                </w:p>
              </w:tc>
              <w:tc>
                <w:tcPr>
                  <w:tcW w:w="26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b w:val="0"/>
                      <w:bCs w:val="0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bidi="ar"/>
                    </w:rPr>
                    <w:t>保障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val="en-US" w:eastAsia="zh-CN" w:bidi="ar"/>
                    </w:rPr>
                    <w:t>办公环境，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bidi="ar"/>
                    </w:rPr>
                    <w:t>工作人员上下班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val="en-US" w:eastAsia="zh-CN" w:bidi="ar"/>
                    </w:rPr>
                    <w:t>及就餐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bidi="ar"/>
                    </w:rPr>
                    <w:t>安全，准时；全体职工满意度达9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val="en-US" w:eastAsia="zh-CN" w:bidi="ar"/>
                    </w:rPr>
                    <w:t>5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bidi="ar"/>
                    </w:rPr>
                    <w:t>%以上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kern w:val="0"/>
                      <w:sz w:val="21"/>
                      <w:szCs w:val="21"/>
                    </w:rPr>
                    <w:t>≥95%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服务对象满意度指标</w:t>
                  </w:r>
                </w:p>
              </w:tc>
              <w:tc>
                <w:tcPr>
                  <w:tcW w:w="138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b w:val="0"/>
                      <w:bCs w:val="0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bidi="ar"/>
                    </w:rPr>
                    <w:t>保障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val="en-US" w:eastAsia="zh-CN" w:bidi="ar"/>
                    </w:rPr>
                    <w:t>办公环境，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bidi="ar"/>
                    </w:rPr>
                    <w:t>工作人员上下班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val="en-US" w:eastAsia="zh-CN" w:bidi="ar"/>
                    </w:rPr>
                    <w:t>及就餐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bidi="ar"/>
                    </w:rPr>
                    <w:t>安全，准时；全体职工满意度达9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val="en-US" w:eastAsia="zh-CN" w:bidi="ar"/>
                    </w:rPr>
                    <w:t>5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bidi="ar"/>
                    </w:rPr>
                    <w:t>%以上</w:t>
                  </w:r>
                </w:p>
              </w:tc>
              <w:tc>
                <w:tcPr>
                  <w:tcW w:w="26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kern w:val="0"/>
                      <w:sz w:val="21"/>
                      <w:szCs w:val="21"/>
                    </w:rPr>
                    <w:t>≥95%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bidi w:val="0"/>
        <w:rPr>
          <w:lang w:val="en-US" w:eastAsia="zh-CN"/>
        </w:rPr>
      </w:pPr>
    </w:p>
    <w:p>
      <w:pPr>
        <w:tabs>
          <w:tab w:val="left" w:pos="367"/>
        </w:tabs>
        <w:bidi w:val="0"/>
        <w:jc w:val="left"/>
        <w:rPr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  <w:r>
        <w:rPr>
          <w:rFonts w:hint="eastAsia"/>
          <w:lang w:val="en-US" w:eastAsia="zh-CN"/>
        </w:rPr>
        <w:tab/>
      </w:r>
    </w:p>
    <w:p>
      <w:pPr>
        <w:pStyle w:val="11"/>
        <w:ind w:firstLine="210"/>
        <w:sectPr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  <w:bookmarkStart w:id="0" w:name="_GoBack"/>
      <w:bookmarkEnd w:id="0"/>
    </w:p>
    <w:p>
      <w:pPr>
        <w:pStyle w:val="11"/>
        <w:ind w:firstLine="0" w:firstLineChars="0"/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37C5A64"/>
    <w:rsid w:val="039F3544"/>
    <w:rsid w:val="03D078F1"/>
    <w:rsid w:val="04CC7B54"/>
    <w:rsid w:val="0591655C"/>
    <w:rsid w:val="0601105B"/>
    <w:rsid w:val="07432C73"/>
    <w:rsid w:val="088F195B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D672BBB"/>
    <w:rsid w:val="1F091BEE"/>
    <w:rsid w:val="20BF55C8"/>
    <w:rsid w:val="215B43BB"/>
    <w:rsid w:val="21C11718"/>
    <w:rsid w:val="22302EBD"/>
    <w:rsid w:val="22B90070"/>
    <w:rsid w:val="22BB4AB2"/>
    <w:rsid w:val="23247CB7"/>
    <w:rsid w:val="232A0A7A"/>
    <w:rsid w:val="23BA380F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1055180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8C4B06"/>
    <w:rsid w:val="62A47E73"/>
    <w:rsid w:val="62A85D16"/>
    <w:rsid w:val="642660CF"/>
    <w:rsid w:val="64D12C3C"/>
    <w:rsid w:val="6647282C"/>
    <w:rsid w:val="678B2E0B"/>
    <w:rsid w:val="6988452D"/>
    <w:rsid w:val="707D36D5"/>
    <w:rsid w:val="71211B1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ourier New" w:hAnsi="Courier New" w:eastAsiaTheme="minorEastAsia" w:cs="Courier New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6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5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8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</w:style>
  <w:style w:type="paragraph" w:styleId="3">
    <w:name w:val="Body Text Indent 2"/>
    <w:basedOn w:val="1"/>
    <w:qFormat/>
    <w:uiPriority w:val="0"/>
    <w:pPr>
      <w:spacing w:after="120" w:afterLines="0" w:afterAutospacing="0" w:line="480" w:lineRule="auto"/>
      <w:ind w:left="420" w:leftChars="200"/>
    </w:pPr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Body Text First Indent"/>
    <w:basedOn w:val="2"/>
    <w:qFormat/>
    <w:uiPriority w:val="0"/>
    <w:pPr>
      <w:ind w:firstLine="420" w:firstLineChars="100"/>
    </w:p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6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7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8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9">
    <w:name w:val="正文文本1"/>
    <w:basedOn w:val="1"/>
    <w:link w:val="21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20">
    <w:name w:val="正文文本 + 11 pt"/>
    <w:basedOn w:val="21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1">
    <w:name w:val="正文文本_"/>
    <w:basedOn w:val="14"/>
    <w:link w:val="19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2">
    <w:name w:val="font01"/>
    <w:basedOn w:val="1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4</TotalTime>
  <ScaleCrop>false</ScaleCrop>
  <LinksUpToDate>false</LinksUpToDate>
  <CharactersWithSpaces>3401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xzf</cp:lastModifiedBy>
  <cp:lastPrinted>2021-09-13T07:28:00Z</cp:lastPrinted>
  <dcterms:modified xsi:type="dcterms:W3CDTF">2022-03-14T02:00:37Z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  <property fmtid="{D5CDD505-2E9C-101B-9397-08002B2CF9AE}" pid="3" name="ICV">
    <vt:lpwstr>29F76A3167CE4797878B0B5DE3985DC4</vt:lpwstr>
  </property>
</Properties>
</file>