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5000" w:type="pct"/>
        <w:tblInd w:w="0" w:type="dxa"/>
        <w:tblLayout w:type="fixed"/>
        <w:tblCellMar>
          <w:top w:w="0" w:type="dxa"/>
          <w:left w:w="0" w:type="dxa"/>
          <w:bottom w:w="0" w:type="dxa"/>
          <w:right w:w="0" w:type="dxa"/>
        </w:tblCellMar>
      </w:tblPr>
      <w:tblGrid>
        <w:gridCol w:w="558"/>
        <w:gridCol w:w="621"/>
        <w:gridCol w:w="2045"/>
        <w:gridCol w:w="1100"/>
        <w:gridCol w:w="6172"/>
      </w:tblGrid>
      <w:tr>
        <w:tblPrEx>
          <w:tblCellMar>
            <w:top w:w="0" w:type="dxa"/>
            <w:left w:w="0" w:type="dxa"/>
            <w:bottom w:w="0" w:type="dxa"/>
            <w:right w:w="0" w:type="dxa"/>
          </w:tblCellMar>
        </w:tblPrEx>
        <w:trPr>
          <w:trHeight w:val="750"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CellMar>
            <w:top w:w="0" w:type="dxa"/>
            <w:left w:w="0" w:type="dxa"/>
            <w:bottom w:w="0" w:type="dxa"/>
            <w:right w:w="0" w:type="dxa"/>
          </w:tblCellMar>
        </w:tblPrEx>
        <w:trPr>
          <w:trHeight w:val="416" w:hRule="atLeast"/>
        </w:trPr>
        <w:tc>
          <w:tcPr>
            <w:tcW w:w="5000" w:type="pct"/>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xml:space="preserve">（ </w:t>
            </w:r>
            <w:r>
              <w:rPr>
                <w:rFonts w:hint="eastAsia" w:ascii="宋体" w:hAnsi="宋体" w:cs="宋体"/>
                <w:b/>
                <w:color w:val="000000"/>
                <w:kern w:val="0"/>
                <w:sz w:val="24"/>
                <w:lang w:val="en-US" w:eastAsia="zh-CN"/>
              </w:rPr>
              <w:t>2021</w:t>
            </w:r>
            <w:r>
              <w:rPr>
                <w:rFonts w:hint="eastAsia" w:ascii="宋体" w:hAnsi="宋体" w:cs="宋体"/>
                <w:b/>
                <w:color w:val="000000"/>
                <w:kern w:val="0"/>
                <w:sz w:val="24"/>
              </w:rPr>
              <w:t xml:space="preserve"> 年度）</w:t>
            </w:r>
          </w:p>
        </w:tc>
      </w:tr>
      <w:tr>
        <w:tblPrEx>
          <w:tblCellMar>
            <w:top w:w="0" w:type="dxa"/>
            <w:left w:w="0" w:type="dxa"/>
            <w:bottom w:w="0" w:type="dxa"/>
            <w:right w:w="0" w:type="dxa"/>
          </w:tblCellMar>
        </w:tblPrEx>
        <w:trPr>
          <w:trHeight w:val="450" w:hRule="atLeast"/>
        </w:trPr>
        <w:tc>
          <w:tcPr>
            <w:tcW w:w="561"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4438"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color w:val="000000"/>
                <w:sz w:val="22"/>
                <w:szCs w:val="22"/>
                <w:lang w:eastAsia="zh-CN"/>
              </w:rPr>
            </w:pPr>
            <w:r>
              <w:rPr>
                <w:rFonts w:hint="eastAsia" w:ascii="仿宋" w:hAnsi="仿宋" w:eastAsia="仿宋" w:cs="仿宋"/>
                <w:b/>
                <w:color w:val="000000"/>
                <w:sz w:val="22"/>
                <w:szCs w:val="22"/>
                <w:lang w:eastAsia="zh-CN"/>
              </w:rPr>
              <w:t>新乡县财政局</w:t>
            </w:r>
          </w:p>
        </w:tc>
      </w:tr>
      <w:tr>
        <w:tblPrEx>
          <w:tblCellMar>
            <w:top w:w="0" w:type="dxa"/>
            <w:left w:w="0" w:type="dxa"/>
            <w:bottom w:w="0" w:type="dxa"/>
            <w:right w:w="0" w:type="dxa"/>
          </w:tblCellMar>
        </w:tblPrEx>
        <w:trPr>
          <w:trHeight w:val="450" w:hRule="atLeast"/>
        </w:trPr>
        <w:tc>
          <w:tcPr>
            <w:tcW w:w="2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4734" w:type="pct"/>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sz w:val="21"/>
                <w:szCs w:val="21"/>
                <w:lang w:val="en-US" w:eastAsia="zh-CN"/>
              </w:rPr>
            </w:pPr>
            <w:r>
              <w:rPr>
                <w:rFonts w:hint="eastAsia" w:ascii="仿宋" w:hAnsi="仿宋" w:eastAsia="仿宋" w:cs="仿宋"/>
                <w:sz w:val="21"/>
                <w:szCs w:val="21"/>
              </w:rPr>
              <w:t>目标1：</w:t>
            </w:r>
            <w:r>
              <w:rPr>
                <w:rFonts w:hint="eastAsia" w:ascii="仿宋" w:hAnsi="仿宋" w:eastAsia="仿宋" w:cs="仿宋"/>
                <w:sz w:val="21"/>
                <w:szCs w:val="21"/>
                <w:lang w:val="en-US" w:eastAsia="zh-CN"/>
              </w:rPr>
              <w:t>依法组织收入，确保收入均衡入库，</w:t>
            </w:r>
            <w:r>
              <w:rPr>
                <w:rFonts w:hint="eastAsia" w:ascii="仿宋_GB2312" w:hAnsi="仿宋_GB2312" w:eastAsia="仿宋_GB2312" w:cs="仿宋_GB2312"/>
                <w:b w:val="0"/>
                <w:bCs w:val="0"/>
                <w:sz w:val="21"/>
                <w:szCs w:val="21"/>
                <w:lang w:val="en-US" w:eastAsia="zh-CN"/>
              </w:rPr>
              <w:t>完成一般公共财政预算收入115430万元，较上年增长7.5</w:t>
            </w:r>
            <w:r>
              <w:rPr>
                <w:rFonts w:hint="default" w:ascii="Times New Roman" w:hAnsi="Times New Roman" w:eastAsia="仿宋_GB2312" w:cs="Times New Roman"/>
                <w:b w:val="0"/>
                <w:bCs w:val="0"/>
                <w:sz w:val="21"/>
                <w:szCs w:val="21"/>
                <w:lang w:val="en-US" w:eastAsia="zh-CN"/>
              </w:rPr>
              <w:t>%</w:t>
            </w:r>
            <w:r>
              <w:rPr>
                <w:rFonts w:hint="eastAsia" w:ascii="Times New Roman" w:hAnsi="Times New Roman" w:eastAsia="仿宋_GB2312" w:cs="Times New Roman"/>
                <w:b w:val="0"/>
                <w:bCs w:val="0"/>
                <w:sz w:val="21"/>
                <w:szCs w:val="21"/>
                <w:lang w:val="en-US" w:eastAsia="zh-CN"/>
              </w:rPr>
              <w:t>，税收收入占一般公共财政预算收入的比重达到</w:t>
            </w:r>
            <w:r>
              <w:rPr>
                <w:rFonts w:hint="eastAsia" w:eastAsia="仿宋_GB2312" w:cs="Times New Roman"/>
                <w:b w:val="0"/>
                <w:bCs w:val="0"/>
                <w:sz w:val="21"/>
                <w:szCs w:val="21"/>
                <w:lang w:val="en-US" w:eastAsia="zh-CN"/>
              </w:rPr>
              <w:t>80%以上</w:t>
            </w:r>
            <w:r>
              <w:rPr>
                <w:rFonts w:hint="eastAsia" w:ascii="Times New Roman" w:hAnsi="Times New Roman" w:eastAsia="仿宋_GB2312" w:cs="Times New Roman"/>
                <w:b w:val="0"/>
                <w:bCs w:val="0"/>
                <w:sz w:val="21"/>
                <w:szCs w:val="21"/>
                <w:lang w:val="en-US" w:eastAsia="zh-CN"/>
              </w:rPr>
              <w:t>。</w:t>
            </w:r>
            <w:r>
              <w:rPr>
                <w:rFonts w:hint="eastAsia" w:ascii="仿宋" w:hAnsi="仿宋" w:eastAsia="仿宋" w:cs="仿宋"/>
                <w:sz w:val="21"/>
                <w:szCs w:val="21"/>
              </w:rPr>
              <w:br w:type="textWrapping"/>
            </w:r>
            <w:r>
              <w:rPr>
                <w:rFonts w:hint="eastAsia" w:ascii="仿宋" w:hAnsi="仿宋" w:eastAsia="仿宋" w:cs="仿宋"/>
                <w:sz w:val="21"/>
                <w:szCs w:val="21"/>
              </w:rPr>
              <w:t>目标2：</w:t>
            </w:r>
            <w:r>
              <w:rPr>
                <w:rFonts w:hint="eastAsia" w:ascii="仿宋" w:hAnsi="仿宋" w:eastAsia="仿宋" w:cs="仿宋"/>
                <w:sz w:val="21"/>
                <w:szCs w:val="21"/>
                <w:lang w:val="en-US" w:eastAsia="zh-CN"/>
              </w:rPr>
              <w:t>稳步推进预算管理一体化系统实施，根据上级部署，扎实做好部署实施准备工作，按时完成系统部署与配置，确保系统按时上线运行。</w:t>
            </w:r>
            <w:r>
              <w:rPr>
                <w:rFonts w:hint="eastAsia" w:ascii="仿宋" w:hAnsi="仿宋" w:eastAsia="仿宋" w:cs="仿宋"/>
                <w:sz w:val="21"/>
                <w:szCs w:val="21"/>
              </w:rPr>
              <w:br w:type="textWrapping"/>
            </w:r>
            <w:r>
              <w:rPr>
                <w:rFonts w:hint="eastAsia" w:ascii="仿宋" w:hAnsi="仿宋" w:eastAsia="仿宋" w:cs="仿宋"/>
                <w:sz w:val="21"/>
                <w:szCs w:val="21"/>
              </w:rPr>
              <w:t>目标3：</w:t>
            </w:r>
            <w:r>
              <w:rPr>
                <w:rFonts w:hint="eastAsia" w:ascii="仿宋" w:hAnsi="仿宋" w:eastAsia="仿宋" w:cs="仿宋"/>
                <w:sz w:val="21"/>
                <w:szCs w:val="21"/>
                <w:lang w:val="en-US" w:eastAsia="zh-CN"/>
              </w:rPr>
              <w:t>进一步加强全面预算绩效管理工作，完善规章制度，加强绩效目标管理，实施绩效监控，组织部门开展绩效自评工作。</w:t>
            </w:r>
          </w:p>
          <w:p>
            <w:pPr>
              <w:pStyle w:val="2"/>
              <w:ind w:left="0" w:leftChars="0" w:firstLine="0" w:firstLineChars="0"/>
              <w:rPr>
                <w:rFonts w:hint="default"/>
                <w:lang w:val="en-US"/>
              </w:rPr>
            </w:pPr>
            <w:r>
              <w:rPr>
                <w:rFonts w:hint="eastAsia" w:ascii="仿宋" w:hAnsi="仿宋" w:eastAsia="仿宋" w:cs="仿宋"/>
                <w:b w:val="0"/>
                <w:bCs w:val="0"/>
                <w:sz w:val="21"/>
                <w:szCs w:val="21"/>
                <w:lang w:val="en-US" w:eastAsia="zh-CN"/>
              </w:rPr>
              <w:t>目标4：积极应对经济下行和疫情给财政带来的减收增支影响，兜牢“三保”底线，统筹安排资金，保证全县全供人员工资发放、机关运转和基本民生支出。</w:t>
            </w:r>
          </w:p>
        </w:tc>
      </w:tr>
      <w:tr>
        <w:tblPrEx>
          <w:tblCellMar>
            <w:top w:w="0" w:type="dxa"/>
            <w:left w:w="0" w:type="dxa"/>
            <w:bottom w:w="0" w:type="dxa"/>
            <w:right w:w="0" w:type="dxa"/>
          </w:tblCellMar>
        </w:tblPrEx>
        <w:trPr>
          <w:trHeight w:val="450" w:hRule="atLeast"/>
        </w:trPr>
        <w:tc>
          <w:tcPr>
            <w:tcW w:w="2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734"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2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734"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2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734"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00" w:hRule="atLeast"/>
        </w:trPr>
        <w:tc>
          <w:tcPr>
            <w:tcW w:w="265"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2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4438"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CellMar>
            <w:top w:w="0" w:type="dxa"/>
            <w:left w:w="0" w:type="dxa"/>
            <w:bottom w:w="0" w:type="dxa"/>
            <w:right w:w="0" w:type="dxa"/>
          </w:tblCellMar>
        </w:tblPrEx>
        <w:trPr>
          <w:trHeight w:val="440" w:hRule="atLeast"/>
        </w:trPr>
        <w:tc>
          <w:tcPr>
            <w:tcW w:w="265"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4438"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仿宋" w:hAnsi="仿宋" w:eastAsia="仿宋" w:cs="仿宋"/>
                <w:b/>
                <w:color w:val="000000"/>
                <w:sz w:val="22"/>
                <w:szCs w:val="22"/>
              </w:rPr>
            </w:pPr>
            <w:r>
              <w:rPr>
                <w:rFonts w:hint="eastAsia" w:ascii="仿宋" w:hAnsi="仿宋" w:eastAsia="仿宋" w:cs="仿宋"/>
                <w:sz w:val="21"/>
                <w:szCs w:val="21"/>
                <w:lang w:val="en-US" w:eastAsia="zh-CN"/>
              </w:rPr>
              <w:t>依法组织收入，确保收入均衡入库，</w:t>
            </w:r>
            <w:r>
              <w:rPr>
                <w:rFonts w:hint="eastAsia" w:ascii="仿宋_GB2312" w:hAnsi="仿宋_GB2312" w:eastAsia="仿宋_GB2312" w:cs="仿宋_GB2312"/>
                <w:b w:val="0"/>
                <w:bCs w:val="0"/>
                <w:sz w:val="21"/>
                <w:szCs w:val="21"/>
                <w:lang w:val="en-US" w:eastAsia="zh-CN"/>
              </w:rPr>
              <w:t>完成一般公共财政预算收入115430万元，较上年增长7.5</w:t>
            </w:r>
            <w:r>
              <w:rPr>
                <w:rFonts w:hint="default" w:ascii="Times New Roman" w:hAnsi="Times New Roman" w:eastAsia="仿宋_GB2312" w:cs="Times New Roman"/>
                <w:b w:val="0"/>
                <w:bCs w:val="0"/>
                <w:sz w:val="21"/>
                <w:szCs w:val="21"/>
                <w:lang w:val="en-US" w:eastAsia="zh-CN"/>
              </w:rPr>
              <w:t>%</w:t>
            </w:r>
            <w:r>
              <w:rPr>
                <w:rFonts w:hint="eastAsia" w:ascii="Times New Roman" w:hAnsi="Times New Roman" w:eastAsia="仿宋_GB2312" w:cs="Times New Roman"/>
                <w:b w:val="0"/>
                <w:bCs w:val="0"/>
                <w:sz w:val="21"/>
                <w:szCs w:val="21"/>
                <w:lang w:val="en-US" w:eastAsia="zh-CN"/>
              </w:rPr>
              <w:t>，税收收入占一般公共财政预算收入的比重达到</w:t>
            </w:r>
            <w:r>
              <w:rPr>
                <w:rFonts w:hint="eastAsia" w:eastAsia="仿宋_GB2312" w:cs="Times New Roman"/>
                <w:b w:val="0"/>
                <w:bCs w:val="0"/>
                <w:sz w:val="21"/>
                <w:szCs w:val="21"/>
                <w:lang w:val="en-US" w:eastAsia="zh-CN"/>
              </w:rPr>
              <w:t>80%以上</w:t>
            </w:r>
            <w:r>
              <w:rPr>
                <w:rFonts w:hint="eastAsia" w:ascii="Times New Roman" w:hAnsi="Times New Roman" w:eastAsia="仿宋_GB2312" w:cs="Times New Roman"/>
                <w:b w:val="0"/>
                <w:bCs w:val="0"/>
                <w:sz w:val="21"/>
                <w:szCs w:val="21"/>
                <w:lang w:val="en-US" w:eastAsia="zh-CN"/>
              </w:rPr>
              <w:t>。</w:t>
            </w:r>
          </w:p>
        </w:tc>
      </w:tr>
      <w:tr>
        <w:tblPrEx>
          <w:tblCellMar>
            <w:top w:w="0" w:type="dxa"/>
            <w:left w:w="0" w:type="dxa"/>
            <w:bottom w:w="0" w:type="dxa"/>
            <w:right w:w="0" w:type="dxa"/>
          </w:tblCellMar>
        </w:tblPrEx>
        <w:trPr>
          <w:trHeight w:val="340" w:hRule="atLeast"/>
        </w:trPr>
        <w:tc>
          <w:tcPr>
            <w:tcW w:w="265"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4438"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仿宋" w:hAnsi="仿宋" w:eastAsia="仿宋" w:cs="仿宋"/>
                <w:b/>
                <w:color w:val="000000"/>
                <w:sz w:val="22"/>
                <w:szCs w:val="22"/>
              </w:rPr>
            </w:pPr>
            <w:r>
              <w:rPr>
                <w:rFonts w:hint="eastAsia" w:ascii="仿宋" w:hAnsi="仿宋" w:eastAsia="仿宋" w:cs="仿宋"/>
                <w:sz w:val="21"/>
                <w:szCs w:val="21"/>
                <w:lang w:val="en-US" w:eastAsia="zh-CN"/>
              </w:rPr>
              <w:t>稳步推进预算管理一体化系统实施，根据上级部署，扎实做好部署实施准备工作，按时完成系统部署与配置，确保系统按时上线运行。</w:t>
            </w:r>
          </w:p>
        </w:tc>
      </w:tr>
      <w:tr>
        <w:tblPrEx>
          <w:tblCellMar>
            <w:top w:w="0" w:type="dxa"/>
            <w:left w:w="0" w:type="dxa"/>
            <w:bottom w:w="0" w:type="dxa"/>
            <w:right w:w="0" w:type="dxa"/>
          </w:tblCellMar>
        </w:tblPrEx>
        <w:trPr>
          <w:trHeight w:val="420" w:hRule="atLeast"/>
        </w:trPr>
        <w:tc>
          <w:tcPr>
            <w:tcW w:w="265"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4438"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仿宋" w:hAnsi="仿宋" w:eastAsia="仿宋" w:cs="仿宋"/>
                <w:b/>
                <w:color w:val="000000"/>
                <w:sz w:val="22"/>
                <w:szCs w:val="22"/>
              </w:rPr>
            </w:pPr>
            <w:r>
              <w:rPr>
                <w:rFonts w:hint="eastAsia" w:ascii="仿宋" w:hAnsi="仿宋" w:eastAsia="仿宋" w:cs="仿宋"/>
                <w:sz w:val="21"/>
                <w:szCs w:val="21"/>
                <w:lang w:val="en-US" w:eastAsia="zh-CN"/>
              </w:rPr>
              <w:t>进一步加强全面预算绩效管理工作，完善规章制度，加强绩效目标管理，实施绩效监控，组织部门开展绩效自评工作。</w:t>
            </w:r>
          </w:p>
        </w:tc>
      </w:tr>
      <w:tr>
        <w:tblPrEx>
          <w:tblCellMar>
            <w:top w:w="0" w:type="dxa"/>
            <w:left w:w="0" w:type="dxa"/>
            <w:bottom w:w="0" w:type="dxa"/>
            <w:right w:w="0" w:type="dxa"/>
          </w:tblCellMar>
        </w:tblPrEx>
        <w:trPr>
          <w:trHeight w:val="420" w:hRule="atLeast"/>
        </w:trPr>
        <w:tc>
          <w:tcPr>
            <w:tcW w:w="265"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任务4</w:t>
            </w:r>
          </w:p>
        </w:tc>
        <w:tc>
          <w:tcPr>
            <w:tcW w:w="4438"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仿宋" w:hAnsi="仿宋" w:eastAsia="仿宋" w:cs="仿宋"/>
                <w:b/>
                <w:color w:val="000000"/>
                <w:sz w:val="22"/>
                <w:szCs w:val="22"/>
              </w:rPr>
            </w:pPr>
            <w:r>
              <w:rPr>
                <w:rFonts w:hint="eastAsia" w:ascii="仿宋" w:hAnsi="仿宋" w:eastAsia="仿宋" w:cs="仿宋"/>
                <w:b w:val="0"/>
                <w:bCs w:val="0"/>
                <w:sz w:val="21"/>
                <w:szCs w:val="21"/>
                <w:lang w:val="en-US" w:eastAsia="zh-CN"/>
              </w:rPr>
              <w:t>积极应对经济下行和疫情给财政带来的减收增支影响，兜牢“三保”底线，统筹安排资金，保证全县全供人员工资发放、机关运转和基本民生支出。</w:t>
            </w:r>
          </w:p>
        </w:tc>
      </w:tr>
      <w:tr>
        <w:tblPrEx>
          <w:tblCellMar>
            <w:top w:w="0" w:type="dxa"/>
            <w:left w:w="0" w:type="dxa"/>
            <w:bottom w:w="0" w:type="dxa"/>
            <w:right w:w="0" w:type="dxa"/>
          </w:tblCellMar>
        </w:tblPrEx>
        <w:trPr>
          <w:trHeight w:val="440" w:hRule="atLeast"/>
        </w:trPr>
        <w:tc>
          <w:tcPr>
            <w:tcW w:w="2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127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3464"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1498.7</w:t>
            </w:r>
          </w:p>
        </w:tc>
      </w:tr>
      <w:tr>
        <w:tblPrEx>
          <w:tblCellMar>
            <w:top w:w="0" w:type="dxa"/>
            <w:left w:w="0" w:type="dxa"/>
            <w:bottom w:w="0" w:type="dxa"/>
            <w:right w:w="0" w:type="dxa"/>
          </w:tblCellMar>
        </w:tblPrEx>
        <w:trPr>
          <w:trHeight w:val="460" w:hRule="atLeast"/>
        </w:trPr>
        <w:tc>
          <w:tcPr>
            <w:tcW w:w="2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27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1、资金来源：</w:t>
            </w:r>
            <w:r>
              <w:rPr>
                <w:rStyle w:val="21"/>
                <w:rFonts w:hint="eastAsia" w:ascii="仿宋" w:hAnsi="仿宋" w:eastAsia="仿宋" w:cs="仿宋"/>
                <w:lang w:val="en-US" w:eastAsia="zh-CN"/>
              </w:rPr>
              <w:t xml:space="preserve">             </w:t>
            </w:r>
            <w:r>
              <w:rPr>
                <w:rStyle w:val="21"/>
                <w:rFonts w:ascii="仿宋" w:hAnsi="仿宋" w:eastAsia="仿宋" w:cs="仿宋"/>
              </w:rPr>
              <w:t>（1）财政性资金</w:t>
            </w:r>
          </w:p>
        </w:tc>
        <w:tc>
          <w:tcPr>
            <w:tcW w:w="3464"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1498.7</w:t>
            </w:r>
          </w:p>
        </w:tc>
      </w:tr>
      <w:tr>
        <w:tblPrEx>
          <w:tblCellMar>
            <w:top w:w="0" w:type="dxa"/>
            <w:left w:w="0" w:type="dxa"/>
            <w:bottom w:w="0" w:type="dxa"/>
            <w:right w:w="0" w:type="dxa"/>
          </w:tblCellMar>
        </w:tblPrEx>
        <w:trPr>
          <w:trHeight w:val="360" w:hRule="atLeast"/>
        </w:trPr>
        <w:tc>
          <w:tcPr>
            <w:tcW w:w="2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27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（2）其他资金</w:t>
            </w:r>
          </w:p>
        </w:tc>
        <w:tc>
          <w:tcPr>
            <w:tcW w:w="3464"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0</w:t>
            </w:r>
          </w:p>
        </w:tc>
      </w:tr>
      <w:tr>
        <w:tblPrEx>
          <w:tblCellMar>
            <w:top w:w="0" w:type="dxa"/>
            <w:left w:w="0" w:type="dxa"/>
            <w:bottom w:w="0" w:type="dxa"/>
            <w:right w:w="0" w:type="dxa"/>
          </w:tblCellMar>
        </w:tblPrEx>
        <w:trPr>
          <w:trHeight w:val="400" w:hRule="atLeast"/>
        </w:trPr>
        <w:tc>
          <w:tcPr>
            <w:tcW w:w="2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27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2、资金结构：</w:t>
            </w:r>
            <w:r>
              <w:rPr>
                <w:rStyle w:val="21"/>
                <w:rFonts w:hint="eastAsia" w:ascii="仿宋" w:hAnsi="仿宋" w:eastAsia="仿宋" w:cs="仿宋"/>
                <w:lang w:val="en-US" w:eastAsia="zh-CN"/>
              </w:rPr>
              <w:t xml:space="preserve">          </w:t>
            </w:r>
            <w:r>
              <w:rPr>
                <w:rStyle w:val="21"/>
                <w:rFonts w:ascii="仿宋" w:hAnsi="仿宋" w:eastAsia="仿宋" w:cs="仿宋"/>
              </w:rPr>
              <w:t>（1）基本支出</w:t>
            </w:r>
          </w:p>
        </w:tc>
        <w:tc>
          <w:tcPr>
            <w:tcW w:w="3464"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1290.7</w:t>
            </w:r>
          </w:p>
        </w:tc>
      </w:tr>
      <w:tr>
        <w:tblPrEx>
          <w:tblCellMar>
            <w:top w:w="0" w:type="dxa"/>
            <w:left w:w="0" w:type="dxa"/>
            <w:bottom w:w="0" w:type="dxa"/>
            <w:right w:w="0" w:type="dxa"/>
          </w:tblCellMar>
        </w:tblPrEx>
        <w:trPr>
          <w:trHeight w:val="440" w:hRule="atLeast"/>
        </w:trPr>
        <w:tc>
          <w:tcPr>
            <w:tcW w:w="2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27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（2）项目支出</w:t>
            </w:r>
          </w:p>
        </w:tc>
        <w:tc>
          <w:tcPr>
            <w:tcW w:w="3464"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208</w:t>
            </w:r>
          </w:p>
        </w:tc>
      </w:tr>
      <w:tr>
        <w:tblPrEx>
          <w:tblCellMar>
            <w:top w:w="0" w:type="dxa"/>
            <w:left w:w="0" w:type="dxa"/>
            <w:bottom w:w="0" w:type="dxa"/>
            <w:right w:w="0" w:type="dxa"/>
          </w:tblCellMar>
        </w:tblPrEx>
        <w:trPr>
          <w:trHeight w:val="540" w:hRule="atLeast"/>
        </w:trPr>
        <w:tc>
          <w:tcPr>
            <w:tcW w:w="2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29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5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2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trPr>
        <w:tc>
          <w:tcPr>
            <w:tcW w:w="2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29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5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相关</w:t>
            </w:r>
          </w:p>
        </w:tc>
        <w:tc>
          <w:tcPr>
            <w:tcW w:w="2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CellMar>
            <w:top w:w="0" w:type="dxa"/>
            <w:left w:w="0" w:type="dxa"/>
            <w:bottom w:w="0" w:type="dxa"/>
            <w:right w:w="0" w:type="dxa"/>
          </w:tblCellMar>
        </w:tblPrEx>
        <w:trPr>
          <w:trHeight w:val="1280" w:hRule="atLeast"/>
        </w:trPr>
        <w:tc>
          <w:tcPr>
            <w:tcW w:w="2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5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科学</w:t>
            </w:r>
          </w:p>
        </w:tc>
        <w:tc>
          <w:tcPr>
            <w:tcW w:w="2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trPr>
        <w:tc>
          <w:tcPr>
            <w:tcW w:w="2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2"/>
                <w:szCs w:val="22"/>
                <w:lang w:eastAsia="zh-CN"/>
              </w:rPr>
            </w:pPr>
            <w:r>
              <w:rPr>
                <w:rFonts w:hint="eastAsia" w:ascii="仿宋" w:hAnsi="仿宋" w:eastAsia="仿宋" w:cs="仿宋"/>
                <w:color w:val="000000"/>
                <w:sz w:val="22"/>
                <w:szCs w:val="22"/>
                <w:lang w:eastAsia="zh-CN"/>
              </w:rPr>
              <w:t>合理</w:t>
            </w:r>
          </w:p>
        </w:tc>
        <w:tc>
          <w:tcPr>
            <w:tcW w:w="2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trPr>
        <w:tc>
          <w:tcPr>
            <w:tcW w:w="2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5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完整</w:t>
            </w:r>
          </w:p>
        </w:tc>
        <w:tc>
          <w:tcPr>
            <w:tcW w:w="2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trPr>
        <w:tc>
          <w:tcPr>
            <w:tcW w:w="2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5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2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trPr>
        <w:tc>
          <w:tcPr>
            <w:tcW w:w="2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5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2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2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5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default" w:ascii="仿宋" w:hAnsi="仿宋" w:eastAsia="仿宋" w:cs="Times New Roman"/>
                <w:color w:val="000000"/>
                <w:kern w:val="2"/>
                <w:sz w:val="20"/>
                <w:szCs w:val="20"/>
                <w:lang w:val="en-US" w:eastAsia="zh-CN" w:bidi="ar-SA"/>
              </w:rPr>
            </w:pPr>
            <w:r>
              <w:rPr>
                <w:rFonts w:hint="eastAsia" w:ascii="黑体" w:hAnsi="宋体" w:eastAsia="黑体" w:cs="黑体"/>
                <w:color w:val="000000"/>
                <w:sz w:val="20"/>
                <w:szCs w:val="20"/>
              </w:rPr>
              <w:t>≤</w:t>
            </w:r>
            <w:r>
              <w:rPr>
                <w:rFonts w:hint="eastAsia" w:ascii="黑体" w:hAnsi="宋体" w:eastAsia="黑体" w:cs="黑体"/>
                <w:color w:val="000000"/>
                <w:sz w:val="20"/>
                <w:szCs w:val="20"/>
                <w:lang w:val="en-US" w:eastAsia="zh-CN"/>
              </w:rPr>
              <w:t>8</w:t>
            </w:r>
            <w:r>
              <w:rPr>
                <w:rFonts w:hint="eastAsia" w:ascii="黑体" w:hAnsi="宋体" w:eastAsia="黑体" w:cs="黑体"/>
                <w:color w:val="000000"/>
                <w:sz w:val="20"/>
                <w:szCs w:val="20"/>
              </w:rPr>
              <w:t>%</w:t>
            </w:r>
          </w:p>
        </w:tc>
        <w:tc>
          <w:tcPr>
            <w:tcW w:w="2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2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5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黑体" w:hAnsi="宋体" w:eastAsia="黑体" w:cs="黑体"/>
                <w:color w:val="000000"/>
                <w:sz w:val="20"/>
                <w:szCs w:val="20"/>
              </w:rPr>
              <w:t>≤</w:t>
            </w:r>
            <w:r>
              <w:rPr>
                <w:rFonts w:hint="eastAsia" w:ascii="黑体" w:hAnsi="宋体" w:eastAsia="黑体" w:cs="黑体"/>
                <w:color w:val="000000"/>
                <w:sz w:val="20"/>
                <w:szCs w:val="20"/>
                <w:lang w:val="en-US" w:eastAsia="zh-CN"/>
              </w:rPr>
              <w:t>5</w:t>
            </w:r>
            <w:r>
              <w:rPr>
                <w:rFonts w:hint="eastAsia" w:ascii="黑体" w:hAnsi="宋体" w:eastAsia="黑体" w:cs="黑体"/>
                <w:color w:val="000000"/>
                <w:sz w:val="20"/>
                <w:szCs w:val="20"/>
              </w:rPr>
              <w:t>%</w:t>
            </w:r>
          </w:p>
        </w:tc>
        <w:tc>
          <w:tcPr>
            <w:tcW w:w="2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trPr>
        <w:tc>
          <w:tcPr>
            <w:tcW w:w="2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5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仿宋" w:hAnsi="仿宋" w:eastAsia="仿宋" w:cs="仿宋"/>
                <w:color w:val="000000"/>
                <w:kern w:val="2"/>
                <w:sz w:val="20"/>
                <w:szCs w:val="20"/>
                <w:lang w:val="en-US" w:eastAsia="zh-CN" w:bidi="ar-SA"/>
              </w:rPr>
            </w:pPr>
            <w:r>
              <w:rPr>
                <w:rFonts w:hint="eastAsia" w:ascii="仿宋" w:hAnsi="仿宋" w:eastAsia="仿宋" w:cs="仿宋"/>
                <w:color w:val="000000"/>
                <w:sz w:val="20"/>
                <w:szCs w:val="20"/>
              </w:rPr>
              <w:t>≤100%</w:t>
            </w:r>
          </w:p>
        </w:tc>
        <w:tc>
          <w:tcPr>
            <w:tcW w:w="2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2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5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仿宋" w:hAnsi="仿宋" w:eastAsia="仿宋" w:cs="仿宋"/>
                <w:color w:val="000000"/>
                <w:kern w:val="2"/>
                <w:sz w:val="20"/>
                <w:szCs w:val="20"/>
                <w:lang w:val="en-US" w:eastAsia="zh-CN" w:bidi="ar-SA"/>
              </w:rPr>
            </w:pPr>
            <w:r>
              <w:rPr>
                <w:rFonts w:hint="eastAsia" w:ascii="仿宋" w:hAnsi="仿宋" w:eastAsia="仿宋" w:cs="仿宋"/>
                <w:color w:val="000000"/>
                <w:sz w:val="20"/>
                <w:szCs w:val="20"/>
              </w:rPr>
              <w:t>≤100%</w:t>
            </w:r>
          </w:p>
        </w:tc>
        <w:tc>
          <w:tcPr>
            <w:tcW w:w="2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2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5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真实</w:t>
            </w:r>
          </w:p>
        </w:tc>
        <w:tc>
          <w:tcPr>
            <w:tcW w:w="2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CellMar>
            <w:top w:w="0" w:type="dxa"/>
            <w:left w:w="0" w:type="dxa"/>
            <w:bottom w:w="0" w:type="dxa"/>
            <w:right w:w="0" w:type="dxa"/>
          </w:tblCellMar>
        </w:tblPrEx>
        <w:trPr>
          <w:trHeight w:val="2160" w:hRule="atLeast"/>
        </w:trPr>
        <w:tc>
          <w:tcPr>
            <w:tcW w:w="265"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295"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7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52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合规</w:t>
            </w:r>
          </w:p>
        </w:tc>
        <w:tc>
          <w:tcPr>
            <w:tcW w:w="2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trPr>
        <w:tc>
          <w:tcPr>
            <w:tcW w:w="265"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5"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5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健全</w:t>
            </w:r>
          </w:p>
        </w:tc>
        <w:tc>
          <w:tcPr>
            <w:tcW w:w="2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trPr>
        <w:tc>
          <w:tcPr>
            <w:tcW w:w="265"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5"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5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及时公开</w:t>
            </w:r>
          </w:p>
        </w:tc>
        <w:tc>
          <w:tcPr>
            <w:tcW w:w="2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trPr>
        <w:tc>
          <w:tcPr>
            <w:tcW w:w="265"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5"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5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规范</w:t>
            </w:r>
          </w:p>
        </w:tc>
        <w:tc>
          <w:tcPr>
            <w:tcW w:w="2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CellMar>
            <w:top w:w="0" w:type="dxa"/>
            <w:left w:w="0" w:type="dxa"/>
            <w:bottom w:w="0" w:type="dxa"/>
            <w:right w:w="0" w:type="dxa"/>
          </w:tblCellMar>
        </w:tblPrEx>
        <w:trPr>
          <w:trHeight w:val="1100" w:hRule="atLeast"/>
        </w:trPr>
        <w:tc>
          <w:tcPr>
            <w:tcW w:w="265"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5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2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100" w:hRule="atLeast"/>
        </w:trPr>
        <w:tc>
          <w:tcPr>
            <w:tcW w:w="265"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5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kern w:val="2"/>
                <w:sz w:val="20"/>
                <w:szCs w:val="20"/>
                <w:lang w:val="en-US" w:eastAsia="zh-CN" w:bidi="ar-SA"/>
              </w:rPr>
            </w:pPr>
            <w:r>
              <w:rPr>
                <w:rFonts w:hint="eastAsia" w:ascii="仿宋" w:hAnsi="仿宋" w:eastAsia="仿宋" w:cs="仿宋"/>
                <w:color w:val="000000"/>
                <w:sz w:val="20"/>
                <w:szCs w:val="20"/>
                <w:lang w:val="en-US" w:eastAsia="zh-CN"/>
              </w:rPr>
              <w:t>100%</w:t>
            </w:r>
          </w:p>
        </w:tc>
        <w:tc>
          <w:tcPr>
            <w:tcW w:w="2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trPr>
        <w:tc>
          <w:tcPr>
            <w:tcW w:w="265"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5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kern w:val="2"/>
                <w:sz w:val="20"/>
                <w:szCs w:val="20"/>
                <w:lang w:val="en-US" w:eastAsia="zh-CN" w:bidi="ar-SA"/>
              </w:rPr>
            </w:pPr>
            <w:r>
              <w:rPr>
                <w:rFonts w:hint="eastAsia" w:ascii="仿宋" w:hAnsi="仿宋" w:eastAsia="仿宋" w:cs="仿宋"/>
                <w:color w:val="000000"/>
                <w:sz w:val="20"/>
                <w:szCs w:val="20"/>
                <w:lang w:val="en-US" w:eastAsia="zh-CN"/>
              </w:rPr>
              <w:t>100%</w:t>
            </w:r>
          </w:p>
        </w:tc>
        <w:tc>
          <w:tcPr>
            <w:tcW w:w="2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265"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5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kern w:val="2"/>
                <w:sz w:val="20"/>
                <w:szCs w:val="20"/>
                <w:lang w:val="en-US" w:eastAsia="zh-CN" w:bidi="ar-SA"/>
              </w:rPr>
            </w:pPr>
            <w:r>
              <w:rPr>
                <w:rFonts w:hint="eastAsia" w:ascii="仿宋" w:hAnsi="仿宋" w:eastAsia="仿宋" w:cs="仿宋"/>
                <w:color w:val="000000"/>
                <w:sz w:val="20"/>
                <w:szCs w:val="20"/>
                <w:lang w:val="en-US" w:eastAsia="zh-CN"/>
              </w:rPr>
              <w:t>100%</w:t>
            </w:r>
          </w:p>
        </w:tc>
        <w:tc>
          <w:tcPr>
            <w:tcW w:w="2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trPr>
        <w:tc>
          <w:tcPr>
            <w:tcW w:w="265"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5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kern w:val="2"/>
                <w:sz w:val="20"/>
                <w:szCs w:val="20"/>
                <w:lang w:val="en-US" w:eastAsia="zh-CN" w:bidi="ar-SA"/>
              </w:rPr>
            </w:pPr>
            <w:r>
              <w:rPr>
                <w:rFonts w:hint="eastAsia" w:ascii="仿宋" w:hAnsi="仿宋" w:eastAsia="仿宋" w:cs="仿宋"/>
                <w:color w:val="000000"/>
                <w:sz w:val="20"/>
                <w:szCs w:val="20"/>
                <w:lang w:val="en-US" w:eastAsia="zh-CN"/>
              </w:rPr>
              <w:t>100%</w:t>
            </w:r>
          </w:p>
        </w:tc>
        <w:tc>
          <w:tcPr>
            <w:tcW w:w="2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trPr>
        <w:tc>
          <w:tcPr>
            <w:tcW w:w="265" w:type="pct"/>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295" w:type="pct"/>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5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2940" w:type="pct"/>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CellMar>
            <w:top w:w="0" w:type="dxa"/>
            <w:left w:w="0" w:type="dxa"/>
            <w:bottom w:w="0" w:type="dxa"/>
            <w:right w:w="0" w:type="dxa"/>
          </w:tblCellMar>
        </w:tblPrEx>
        <w:trPr>
          <w:trHeight w:val="540" w:hRule="atLeast"/>
        </w:trPr>
        <w:tc>
          <w:tcPr>
            <w:tcW w:w="265"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5"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5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2940"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380" w:hRule="atLeast"/>
        </w:trPr>
        <w:tc>
          <w:tcPr>
            <w:tcW w:w="265"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5"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w:t>
            </w:r>
            <w:r>
              <w:rPr>
                <w:rFonts w:hint="eastAsia" w:ascii="仿宋" w:hAnsi="仿宋" w:eastAsia="仿宋" w:cs="仿宋"/>
                <w:color w:val="000000"/>
                <w:kern w:val="0"/>
                <w:sz w:val="20"/>
                <w:szCs w:val="20"/>
                <w:lang w:val="en-US" w:eastAsia="zh-CN"/>
              </w:rPr>
              <w:t>3</w:t>
            </w:r>
            <w:r>
              <w:rPr>
                <w:rFonts w:hint="eastAsia" w:ascii="仿宋" w:hAnsi="仿宋" w:eastAsia="仿宋" w:cs="仿宋"/>
                <w:color w:val="000000"/>
                <w:kern w:val="0"/>
                <w:sz w:val="20"/>
                <w:szCs w:val="20"/>
              </w:rPr>
              <w:t>计划完成率</w:t>
            </w:r>
          </w:p>
        </w:tc>
        <w:tc>
          <w:tcPr>
            <w:tcW w:w="5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2940"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380" w:hRule="atLeast"/>
        </w:trPr>
        <w:tc>
          <w:tcPr>
            <w:tcW w:w="265"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5" w:type="pct"/>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重点工作</w:t>
            </w:r>
            <w:r>
              <w:rPr>
                <w:rFonts w:hint="eastAsia" w:ascii="仿宋" w:hAnsi="仿宋" w:eastAsia="仿宋" w:cs="仿宋"/>
                <w:color w:val="000000"/>
                <w:kern w:val="0"/>
                <w:sz w:val="20"/>
                <w:szCs w:val="20"/>
                <w:lang w:val="en-US" w:eastAsia="zh-CN"/>
              </w:rPr>
              <w:t>4</w:t>
            </w:r>
            <w:r>
              <w:rPr>
                <w:rFonts w:hint="eastAsia" w:ascii="仿宋" w:hAnsi="仿宋" w:eastAsia="仿宋" w:cs="仿宋"/>
                <w:color w:val="000000"/>
                <w:kern w:val="0"/>
                <w:sz w:val="20"/>
                <w:szCs w:val="20"/>
              </w:rPr>
              <w:t>计划完成率</w:t>
            </w:r>
          </w:p>
        </w:tc>
        <w:tc>
          <w:tcPr>
            <w:tcW w:w="5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kern w:val="2"/>
                <w:sz w:val="20"/>
                <w:szCs w:val="20"/>
                <w:lang w:val="en-US" w:eastAsia="zh-CN" w:bidi="ar-SA"/>
              </w:rPr>
            </w:pPr>
            <w:r>
              <w:rPr>
                <w:rFonts w:hint="eastAsia" w:ascii="仿宋" w:hAnsi="仿宋" w:eastAsia="仿宋" w:cs="仿宋"/>
                <w:color w:val="000000"/>
                <w:sz w:val="20"/>
                <w:szCs w:val="20"/>
                <w:lang w:val="en-US" w:eastAsia="zh-CN"/>
              </w:rPr>
              <w:t>100%</w:t>
            </w:r>
          </w:p>
        </w:tc>
        <w:tc>
          <w:tcPr>
            <w:tcW w:w="2940" w:type="pct"/>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40" w:hRule="atLeast"/>
        </w:trPr>
        <w:tc>
          <w:tcPr>
            <w:tcW w:w="265"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5" w:type="pct"/>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5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kern w:val="2"/>
                <w:sz w:val="20"/>
                <w:szCs w:val="20"/>
                <w:lang w:val="en-US" w:eastAsia="zh-CN" w:bidi="ar-SA"/>
              </w:rPr>
            </w:pPr>
            <w:r>
              <w:rPr>
                <w:rFonts w:hint="eastAsia" w:ascii="仿宋" w:hAnsi="仿宋" w:eastAsia="仿宋" w:cs="仿宋"/>
                <w:color w:val="000000"/>
                <w:sz w:val="20"/>
                <w:szCs w:val="20"/>
                <w:lang w:val="en-US" w:eastAsia="zh-CN"/>
              </w:rPr>
              <w:t>100%</w:t>
            </w:r>
          </w:p>
        </w:tc>
        <w:tc>
          <w:tcPr>
            <w:tcW w:w="2940" w:type="pct"/>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CellMar>
            <w:top w:w="0" w:type="dxa"/>
            <w:left w:w="0" w:type="dxa"/>
            <w:bottom w:w="0" w:type="dxa"/>
            <w:right w:w="0" w:type="dxa"/>
          </w:tblCellMar>
        </w:tblPrEx>
        <w:trPr>
          <w:trHeight w:val="380" w:hRule="atLeast"/>
        </w:trPr>
        <w:tc>
          <w:tcPr>
            <w:tcW w:w="265"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5"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5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kern w:val="2"/>
                <w:sz w:val="20"/>
                <w:szCs w:val="20"/>
                <w:lang w:val="en-US" w:eastAsia="zh-CN" w:bidi="ar-SA"/>
              </w:rPr>
            </w:pPr>
            <w:r>
              <w:rPr>
                <w:rFonts w:hint="eastAsia" w:ascii="仿宋" w:hAnsi="仿宋" w:eastAsia="仿宋" w:cs="仿宋"/>
                <w:color w:val="000000"/>
                <w:sz w:val="20"/>
                <w:szCs w:val="20"/>
                <w:lang w:val="en-US" w:eastAsia="zh-CN"/>
              </w:rPr>
              <w:t>100%</w:t>
            </w:r>
          </w:p>
        </w:tc>
        <w:tc>
          <w:tcPr>
            <w:tcW w:w="2940"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70" w:hRule="atLeast"/>
        </w:trPr>
        <w:tc>
          <w:tcPr>
            <w:tcW w:w="265"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5"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w:t>
            </w:r>
            <w:r>
              <w:rPr>
                <w:rFonts w:hint="eastAsia" w:ascii="仿宋" w:hAnsi="仿宋" w:eastAsia="仿宋" w:cs="仿宋"/>
                <w:color w:val="000000"/>
                <w:kern w:val="0"/>
                <w:sz w:val="20"/>
                <w:szCs w:val="20"/>
                <w:lang w:val="en-US" w:eastAsia="zh-CN"/>
              </w:rPr>
              <w:t>3</w:t>
            </w:r>
            <w:r>
              <w:rPr>
                <w:rFonts w:hint="eastAsia" w:ascii="仿宋" w:hAnsi="仿宋" w:eastAsia="仿宋" w:cs="仿宋"/>
                <w:color w:val="000000"/>
                <w:kern w:val="0"/>
                <w:sz w:val="20"/>
                <w:szCs w:val="20"/>
              </w:rPr>
              <w:t>实现率</w:t>
            </w:r>
          </w:p>
        </w:tc>
        <w:tc>
          <w:tcPr>
            <w:tcW w:w="5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kern w:val="2"/>
                <w:sz w:val="20"/>
                <w:szCs w:val="20"/>
                <w:lang w:val="en-US" w:eastAsia="zh-CN" w:bidi="ar-SA"/>
              </w:rPr>
            </w:pPr>
            <w:r>
              <w:rPr>
                <w:rFonts w:hint="eastAsia" w:ascii="仿宋" w:hAnsi="仿宋" w:eastAsia="仿宋" w:cs="仿宋"/>
                <w:color w:val="000000"/>
                <w:sz w:val="20"/>
                <w:szCs w:val="20"/>
                <w:lang w:val="en-US" w:eastAsia="zh-CN"/>
              </w:rPr>
              <w:t>100%</w:t>
            </w:r>
          </w:p>
        </w:tc>
        <w:tc>
          <w:tcPr>
            <w:tcW w:w="2940"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70" w:hRule="atLeast"/>
        </w:trPr>
        <w:tc>
          <w:tcPr>
            <w:tcW w:w="265" w:type="pct"/>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5" w:type="pct"/>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年度工作目标</w:t>
            </w:r>
            <w:r>
              <w:rPr>
                <w:rFonts w:hint="eastAsia" w:ascii="仿宋" w:hAnsi="仿宋" w:eastAsia="仿宋" w:cs="仿宋"/>
                <w:color w:val="000000"/>
                <w:kern w:val="0"/>
                <w:sz w:val="20"/>
                <w:szCs w:val="20"/>
                <w:lang w:val="en-US" w:eastAsia="zh-CN"/>
              </w:rPr>
              <w:t>4</w:t>
            </w:r>
            <w:r>
              <w:rPr>
                <w:rFonts w:hint="eastAsia" w:ascii="仿宋" w:hAnsi="仿宋" w:eastAsia="仿宋" w:cs="仿宋"/>
                <w:color w:val="000000"/>
                <w:kern w:val="0"/>
                <w:sz w:val="20"/>
                <w:szCs w:val="20"/>
              </w:rPr>
              <w:t>实现率</w:t>
            </w:r>
          </w:p>
        </w:tc>
        <w:tc>
          <w:tcPr>
            <w:tcW w:w="5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kern w:val="2"/>
                <w:sz w:val="20"/>
                <w:szCs w:val="20"/>
                <w:lang w:val="en-US" w:eastAsia="zh-CN" w:bidi="ar-SA"/>
              </w:rPr>
            </w:pPr>
            <w:r>
              <w:rPr>
                <w:rFonts w:hint="eastAsia" w:ascii="仿宋" w:hAnsi="仿宋" w:eastAsia="仿宋" w:cs="仿宋"/>
                <w:color w:val="000000"/>
                <w:sz w:val="20"/>
                <w:szCs w:val="20"/>
                <w:lang w:val="en-US" w:eastAsia="zh-CN"/>
              </w:rPr>
              <w:t>100%</w:t>
            </w:r>
          </w:p>
        </w:tc>
        <w:tc>
          <w:tcPr>
            <w:tcW w:w="2940" w:type="pct"/>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2" w:hRule="atLeast"/>
        </w:trPr>
        <w:tc>
          <w:tcPr>
            <w:tcW w:w="2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29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000000"/>
                <w:kern w:val="2"/>
                <w:sz w:val="20"/>
                <w:szCs w:val="20"/>
                <w:lang w:val="en-US" w:eastAsia="zh-CN" w:bidi="ar-SA"/>
              </w:rPr>
            </w:pPr>
            <w:r>
              <w:rPr>
                <w:rFonts w:hint="eastAsia" w:ascii="仿宋" w:hAnsi="仿宋" w:eastAsia="仿宋" w:cs="仿宋"/>
                <w:color w:val="000000"/>
                <w:kern w:val="0"/>
                <w:sz w:val="20"/>
                <w:szCs w:val="20"/>
              </w:rPr>
              <w:t>经济效益</w:t>
            </w:r>
            <w:r>
              <w:rPr>
                <w:rFonts w:hint="eastAsia" w:ascii="仿宋" w:hAnsi="仿宋" w:eastAsia="仿宋" w:cs="仿宋"/>
                <w:color w:val="000000"/>
                <w:kern w:val="0"/>
                <w:sz w:val="20"/>
                <w:szCs w:val="20"/>
                <w:lang w:eastAsia="zh-CN"/>
              </w:rPr>
              <w:t>：提高资金使用效益</w:t>
            </w:r>
          </w:p>
        </w:tc>
        <w:tc>
          <w:tcPr>
            <w:tcW w:w="5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jc w:val="center"/>
              <w:rPr>
                <w:rFonts w:ascii="仿宋" w:hAnsi="仿宋" w:eastAsia="仿宋" w:cs="Times New Roman"/>
                <w:kern w:val="0"/>
                <w:sz w:val="18"/>
                <w:szCs w:val="18"/>
                <w:lang w:val="en-US" w:eastAsia="zh-CN" w:bidi="ar-SA"/>
              </w:rPr>
            </w:pPr>
            <w:r>
              <w:rPr>
                <w:rFonts w:hint="eastAsia" w:ascii="仿宋" w:hAnsi="仿宋" w:eastAsia="仿宋" w:cs="Times New Roman"/>
                <w:kern w:val="0"/>
                <w:sz w:val="18"/>
                <w:szCs w:val="18"/>
                <w:lang w:val="en-US" w:eastAsia="zh-CN" w:bidi="ar-SA"/>
              </w:rPr>
              <w:t>提高</w:t>
            </w:r>
          </w:p>
        </w:tc>
        <w:tc>
          <w:tcPr>
            <w:tcW w:w="294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360" w:hRule="atLeast"/>
        </w:trPr>
        <w:tc>
          <w:tcPr>
            <w:tcW w:w="2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000000"/>
                <w:kern w:val="2"/>
                <w:sz w:val="20"/>
                <w:szCs w:val="20"/>
                <w:lang w:val="en-US" w:eastAsia="zh-CN" w:bidi="ar-SA"/>
              </w:rPr>
            </w:pPr>
            <w:r>
              <w:rPr>
                <w:rFonts w:hint="eastAsia" w:ascii="仿宋" w:hAnsi="仿宋" w:eastAsia="仿宋" w:cs="仿宋"/>
                <w:color w:val="000000"/>
                <w:kern w:val="0"/>
                <w:sz w:val="20"/>
                <w:szCs w:val="20"/>
              </w:rPr>
              <w:t>社会效益</w:t>
            </w:r>
            <w:r>
              <w:rPr>
                <w:rFonts w:hint="eastAsia" w:ascii="仿宋" w:hAnsi="仿宋" w:eastAsia="仿宋" w:cs="仿宋"/>
                <w:color w:val="000000"/>
                <w:kern w:val="0"/>
                <w:sz w:val="20"/>
                <w:szCs w:val="20"/>
                <w:lang w:eastAsia="zh-CN"/>
              </w:rPr>
              <w:t>：优化财政支出结构</w:t>
            </w:r>
          </w:p>
        </w:tc>
        <w:tc>
          <w:tcPr>
            <w:tcW w:w="5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jc w:val="center"/>
              <w:rPr>
                <w:rFonts w:ascii="仿宋" w:hAnsi="仿宋" w:eastAsia="仿宋" w:cs="Times New Roman"/>
                <w:kern w:val="0"/>
                <w:sz w:val="18"/>
                <w:szCs w:val="18"/>
                <w:lang w:val="en-US" w:eastAsia="zh-CN" w:bidi="ar-SA"/>
              </w:rPr>
            </w:pPr>
            <w:r>
              <w:rPr>
                <w:rFonts w:hint="eastAsia" w:ascii="仿宋" w:hAnsi="仿宋" w:eastAsia="仿宋" w:cs="Times New Roman"/>
                <w:kern w:val="0"/>
                <w:sz w:val="18"/>
                <w:szCs w:val="18"/>
                <w:lang w:val="en-US" w:eastAsia="zh-CN" w:bidi="ar-SA"/>
              </w:rPr>
              <w:t>优化</w:t>
            </w:r>
          </w:p>
        </w:tc>
        <w:tc>
          <w:tcPr>
            <w:tcW w:w="294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60" w:hRule="atLeast"/>
        </w:trPr>
        <w:tc>
          <w:tcPr>
            <w:tcW w:w="2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5"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kern w:val="2"/>
                <w:sz w:val="20"/>
                <w:szCs w:val="20"/>
                <w:lang w:val="en-US" w:eastAsia="zh-CN" w:bidi="ar-SA"/>
              </w:rPr>
            </w:pPr>
            <w:r>
              <w:rPr>
                <w:rFonts w:hint="eastAsia" w:ascii="仿宋" w:hAnsi="仿宋" w:eastAsia="仿宋" w:cs="仿宋"/>
                <w:color w:val="000000"/>
                <w:kern w:val="0"/>
                <w:sz w:val="20"/>
                <w:szCs w:val="20"/>
                <w:lang w:eastAsia="zh-CN"/>
              </w:rPr>
              <w:t>职工</w:t>
            </w:r>
            <w:r>
              <w:rPr>
                <w:rFonts w:hint="eastAsia" w:ascii="仿宋" w:hAnsi="仿宋" w:eastAsia="仿宋" w:cs="仿宋"/>
                <w:color w:val="000000"/>
                <w:kern w:val="0"/>
                <w:sz w:val="20"/>
                <w:szCs w:val="20"/>
              </w:rPr>
              <w:t>满意度</w:t>
            </w:r>
          </w:p>
        </w:tc>
        <w:tc>
          <w:tcPr>
            <w:tcW w:w="5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jc w:val="center"/>
              <w:rPr>
                <w:rFonts w:hint="eastAsia" w:ascii="仿宋" w:hAnsi="仿宋" w:eastAsia="仿宋" w:cs="Times New Roman"/>
                <w:kern w:val="0"/>
                <w:sz w:val="18"/>
                <w:szCs w:val="18"/>
                <w:lang w:val="en-US" w:eastAsia="zh-CN" w:bidi="ar-SA"/>
              </w:rPr>
            </w:pPr>
            <w:r>
              <w:rPr>
                <w:rFonts w:hint="eastAsia" w:ascii="仿宋" w:hAnsi="仿宋" w:eastAsia="仿宋" w:cs="宋体"/>
                <w:kern w:val="0"/>
                <w:sz w:val="18"/>
                <w:szCs w:val="18"/>
                <w:lang w:eastAsia="zh-CN" w:bidi="ar"/>
              </w:rPr>
              <w:t>≥</w:t>
            </w:r>
            <w:r>
              <w:rPr>
                <w:rFonts w:hint="eastAsia" w:ascii="仿宋" w:hAnsi="仿宋" w:eastAsia="仿宋" w:cs="宋体"/>
                <w:kern w:val="0"/>
                <w:sz w:val="18"/>
                <w:szCs w:val="18"/>
                <w:lang w:val="en-US" w:eastAsia="zh-CN" w:bidi="ar"/>
              </w:rPr>
              <w:t>90</w:t>
            </w:r>
            <w:r>
              <w:rPr>
                <w:rFonts w:hint="eastAsia" w:ascii="仿宋" w:hAnsi="仿宋" w:eastAsia="仿宋" w:cs="宋体"/>
                <w:kern w:val="0"/>
                <w:sz w:val="18"/>
                <w:szCs w:val="18"/>
                <w:lang w:bidi="ar"/>
              </w:rPr>
              <w:t>%</w:t>
            </w:r>
          </w:p>
        </w:tc>
        <w:tc>
          <w:tcPr>
            <w:tcW w:w="294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CellMar>
            <w:top w:w="0" w:type="dxa"/>
            <w:left w:w="0" w:type="dxa"/>
            <w:bottom w:w="0" w:type="dxa"/>
            <w:right w:w="0" w:type="dxa"/>
          </w:tblCellMar>
        </w:tblPrEx>
        <w:trPr>
          <w:trHeight w:val="840" w:hRule="atLeast"/>
        </w:trPr>
        <w:tc>
          <w:tcPr>
            <w:tcW w:w="2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kern w:val="2"/>
                <w:sz w:val="20"/>
                <w:szCs w:val="20"/>
                <w:lang w:val="en-US" w:eastAsia="zh-CN" w:bidi="ar-SA"/>
              </w:rPr>
            </w:pPr>
            <w:r>
              <w:rPr>
                <w:rFonts w:hint="eastAsia" w:ascii="仿宋" w:hAnsi="仿宋" w:eastAsia="仿宋" w:cs="仿宋"/>
                <w:color w:val="000000"/>
                <w:kern w:val="0"/>
                <w:sz w:val="20"/>
                <w:szCs w:val="20"/>
                <w:lang w:eastAsia="zh-CN"/>
              </w:rPr>
              <w:t>预算单位</w:t>
            </w:r>
            <w:r>
              <w:rPr>
                <w:rFonts w:hint="eastAsia" w:ascii="仿宋" w:hAnsi="仿宋" w:eastAsia="仿宋" w:cs="仿宋"/>
                <w:color w:val="000000"/>
                <w:kern w:val="0"/>
                <w:sz w:val="20"/>
                <w:szCs w:val="20"/>
              </w:rPr>
              <w:t>满意度</w:t>
            </w:r>
          </w:p>
        </w:tc>
        <w:tc>
          <w:tcPr>
            <w:tcW w:w="5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jc w:val="center"/>
              <w:rPr>
                <w:rFonts w:hint="default" w:ascii="仿宋" w:hAnsi="仿宋" w:eastAsia="仿宋" w:cs="Times New Roman"/>
                <w:kern w:val="0"/>
                <w:sz w:val="18"/>
                <w:szCs w:val="18"/>
                <w:lang w:val="en-US" w:eastAsia="zh-CN" w:bidi="ar-SA"/>
              </w:rPr>
            </w:pPr>
            <w:r>
              <w:rPr>
                <w:rFonts w:hint="eastAsia" w:ascii="仿宋" w:hAnsi="仿宋" w:eastAsia="仿宋" w:cs="宋体"/>
                <w:kern w:val="0"/>
                <w:sz w:val="18"/>
                <w:szCs w:val="18"/>
                <w:lang w:eastAsia="zh-CN" w:bidi="ar"/>
              </w:rPr>
              <w:t>≥</w:t>
            </w:r>
            <w:r>
              <w:rPr>
                <w:rFonts w:hint="eastAsia" w:ascii="仿宋" w:hAnsi="仿宋" w:eastAsia="仿宋" w:cs="宋体"/>
                <w:kern w:val="0"/>
                <w:sz w:val="18"/>
                <w:szCs w:val="18"/>
                <w:lang w:val="en-US" w:eastAsia="zh-CN" w:bidi="ar"/>
              </w:rPr>
              <w:t>90</w:t>
            </w:r>
            <w:r>
              <w:rPr>
                <w:rFonts w:hint="eastAsia" w:ascii="仿宋" w:hAnsi="仿宋" w:eastAsia="仿宋" w:cs="宋体"/>
                <w:kern w:val="0"/>
                <w:sz w:val="18"/>
                <w:szCs w:val="18"/>
                <w:lang w:bidi="ar"/>
              </w:rPr>
              <w:t>%</w:t>
            </w:r>
          </w:p>
        </w:tc>
        <w:tc>
          <w:tcPr>
            <w:tcW w:w="294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2"/>
        <w:ind w:firstLine="210"/>
        <w:sectPr>
          <w:headerReference r:id="rId3" w:type="default"/>
          <w:footerReference r:id="rId4" w:type="default"/>
          <w:pgSz w:w="11906" w:h="16838"/>
          <w:pgMar w:top="720" w:right="720" w:bottom="720" w:left="720" w:header="851" w:footer="227" w:gutter="0"/>
          <w:cols w:space="0" w:num="1"/>
          <w:docGrid w:type="lines" w:linePitch="319" w:charSpace="0"/>
        </w:sectPr>
      </w:pPr>
    </w:p>
    <w:p>
      <w:pPr>
        <w:pStyle w:val="2"/>
        <w:ind w:firstLine="0" w:firstLineChars="0"/>
      </w:pPr>
    </w:p>
    <w:sectPr>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gLiU">
    <w:panose1 w:val="02020509000000000000"/>
    <w:charset w:val="88"/>
    <w:family w:val="modern"/>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9"/>
                </w:pPr>
                <w:r>
                  <w:fldChar w:fldCharType="begin"/>
                </w:r>
                <w:r>
                  <w:instrText xml:space="preserve"> PAGE  \* MERGEFORMAT </w:instrText>
                </w:r>
                <w:r>
                  <w:fldChar w:fldCharType="separate"/>
                </w:r>
                <w:r>
                  <w:t>5</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9"/>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F09DB"/>
    <w:rsid w:val="00110077"/>
    <w:rsid w:val="003F09DB"/>
    <w:rsid w:val="00B52A78"/>
    <w:rsid w:val="026F1FB2"/>
    <w:rsid w:val="039F3544"/>
    <w:rsid w:val="04CC7B54"/>
    <w:rsid w:val="0591655C"/>
    <w:rsid w:val="0601105B"/>
    <w:rsid w:val="07432C73"/>
    <w:rsid w:val="0AC30A74"/>
    <w:rsid w:val="0B991E13"/>
    <w:rsid w:val="0CA90420"/>
    <w:rsid w:val="0DE46181"/>
    <w:rsid w:val="0F690488"/>
    <w:rsid w:val="11DC45C4"/>
    <w:rsid w:val="144F741F"/>
    <w:rsid w:val="1460110F"/>
    <w:rsid w:val="157B319D"/>
    <w:rsid w:val="17713066"/>
    <w:rsid w:val="18755C9B"/>
    <w:rsid w:val="18904A43"/>
    <w:rsid w:val="18967E92"/>
    <w:rsid w:val="1AFF02A6"/>
    <w:rsid w:val="1B9603D1"/>
    <w:rsid w:val="1BF11801"/>
    <w:rsid w:val="1C3F6F2E"/>
    <w:rsid w:val="1CAA076C"/>
    <w:rsid w:val="1D5547D3"/>
    <w:rsid w:val="1E14729D"/>
    <w:rsid w:val="1F091BEE"/>
    <w:rsid w:val="215B43BB"/>
    <w:rsid w:val="21C11718"/>
    <w:rsid w:val="22302EBD"/>
    <w:rsid w:val="22B90070"/>
    <w:rsid w:val="22BB4AB2"/>
    <w:rsid w:val="23247CB7"/>
    <w:rsid w:val="232A0A7A"/>
    <w:rsid w:val="2451548A"/>
    <w:rsid w:val="24611640"/>
    <w:rsid w:val="2A4749CF"/>
    <w:rsid w:val="2C020CF3"/>
    <w:rsid w:val="302B2BB8"/>
    <w:rsid w:val="319A78EE"/>
    <w:rsid w:val="33C9294F"/>
    <w:rsid w:val="344D1089"/>
    <w:rsid w:val="351077AD"/>
    <w:rsid w:val="356B73F7"/>
    <w:rsid w:val="37190D0A"/>
    <w:rsid w:val="39B35D5B"/>
    <w:rsid w:val="3C650EA2"/>
    <w:rsid w:val="3C882259"/>
    <w:rsid w:val="3D8D2DB2"/>
    <w:rsid w:val="3DBF3F38"/>
    <w:rsid w:val="40DC543A"/>
    <w:rsid w:val="44661788"/>
    <w:rsid w:val="447B51CD"/>
    <w:rsid w:val="48792D39"/>
    <w:rsid w:val="499C14F2"/>
    <w:rsid w:val="4A69625F"/>
    <w:rsid w:val="4B870AC0"/>
    <w:rsid w:val="4C281AB1"/>
    <w:rsid w:val="4C2B4AF1"/>
    <w:rsid w:val="530504E8"/>
    <w:rsid w:val="53D53D55"/>
    <w:rsid w:val="54FE107E"/>
    <w:rsid w:val="55163C24"/>
    <w:rsid w:val="55710C65"/>
    <w:rsid w:val="5601198C"/>
    <w:rsid w:val="56104055"/>
    <w:rsid w:val="572C68E4"/>
    <w:rsid w:val="5CE85B58"/>
    <w:rsid w:val="5D731A92"/>
    <w:rsid w:val="603E5DB0"/>
    <w:rsid w:val="62A47E73"/>
    <w:rsid w:val="62A85D16"/>
    <w:rsid w:val="642660CF"/>
    <w:rsid w:val="64D12C3C"/>
    <w:rsid w:val="6647282C"/>
    <w:rsid w:val="678B2E0B"/>
    <w:rsid w:val="6988452D"/>
    <w:rsid w:val="701563B5"/>
    <w:rsid w:val="707D36D5"/>
    <w:rsid w:val="721C39A2"/>
    <w:rsid w:val="72B91FCA"/>
    <w:rsid w:val="755D3DB4"/>
    <w:rsid w:val="77A44894"/>
    <w:rsid w:val="788B35BF"/>
    <w:rsid w:val="78AC4E0A"/>
    <w:rsid w:val="796F6487"/>
    <w:rsid w:val="7AC44184"/>
    <w:rsid w:val="7CA865D9"/>
    <w:rsid w:val="7EBF2BB0"/>
    <w:rsid w:val="7FA525D4"/>
    <w:rsid w:val="7FBE19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ourier New" w:hAnsi="Courier New" w:eastAsiaTheme="minorEastAsia" w:cs="Courier New"/>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semiHidden/>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semiHidden/>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semiHidden/>
    <w:unhideWhenUsed/>
    <w:qFormat/>
    <w:uiPriority w:val="0"/>
    <w:pPr>
      <w:keepNext/>
      <w:keepLines/>
      <w:spacing w:line="372" w:lineRule="auto"/>
      <w:outlineLvl w:val="3"/>
    </w:pPr>
    <w:rPr>
      <w:rFonts w:ascii="宋体" w:hAnsi="宋体"/>
      <w:b/>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标题 2 Char"/>
    <w:link w:val="5"/>
    <w:qFormat/>
    <w:uiPriority w:val="9"/>
    <w:rPr>
      <w:rFonts w:ascii="Arial" w:hAnsi="Arial" w:eastAsia="宋体" w:cs="Arial"/>
      <w:b/>
      <w:bCs/>
      <w:sz w:val="32"/>
      <w:szCs w:val="32"/>
    </w:rPr>
  </w:style>
  <w:style w:type="character" w:customStyle="1" w:styleId="15">
    <w:name w:val="标题 1 Char"/>
    <w:link w:val="4"/>
    <w:qFormat/>
    <w:uiPriority w:val="0"/>
    <w:rPr>
      <w:rFonts w:ascii="Times New Roman" w:hAnsi="Times New Roman" w:eastAsia="宋体" w:cs="宋体"/>
      <w:b/>
      <w:kern w:val="44"/>
      <w:sz w:val="36"/>
    </w:rPr>
  </w:style>
  <w:style w:type="character" w:customStyle="1" w:styleId="16">
    <w:name w:val="标题 3 Char"/>
    <w:link w:val="6"/>
    <w:qFormat/>
    <w:uiPriority w:val="9"/>
    <w:rPr>
      <w:rFonts w:ascii="Calibri" w:hAnsi="Calibri" w:eastAsia="宋体" w:cs="宋体"/>
      <w:b/>
      <w:sz w:val="30"/>
    </w:rPr>
  </w:style>
  <w:style w:type="character" w:customStyle="1" w:styleId="17">
    <w:name w:val="标题 4 Char"/>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color w:val="000000"/>
      <w:w w:val="100"/>
      <w:position w:val="0"/>
      <w:sz w:val="22"/>
      <w:szCs w:val="22"/>
      <w:lang w:val="en-US"/>
    </w:rPr>
  </w:style>
  <w:style w:type="character" w:customStyle="1" w:styleId="20">
    <w:name w:val="正文文本_"/>
    <w:basedOn w:val="13"/>
    <w:link w:val="18"/>
    <w:qFormat/>
    <w:uiPriority w:val="0"/>
    <w:rPr>
      <w:rFonts w:ascii="MingLiU" w:hAnsi="MingLiU" w:eastAsia="MingLiU" w:cs="MingLiU"/>
      <w:spacing w:val="40"/>
      <w:sz w:val="28"/>
      <w:szCs w:val="28"/>
      <w:u w:val="none"/>
    </w:rPr>
  </w:style>
  <w:style w:type="character" w:customStyle="1" w:styleId="21">
    <w:name w:val="font01"/>
    <w:basedOn w:val="1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508</Words>
  <Characters>2899</Characters>
  <Lines>24</Lines>
  <Paragraphs>6</Paragraphs>
  <TotalTime>88</TotalTime>
  <ScaleCrop>false</ScaleCrop>
  <LinksUpToDate>false</LinksUpToDate>
  <CharactersWithSpaces>3401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DAISY1404364719</cp:lastModifiedBy>
  <dcterms:modified xsi:type="dcterms:W3CDTF">2022-03-11T06:39:23Z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2BB3D6730ED14DADAED5BF6B7F50A499</vt:lpwstr>
  </property>
</Properties>
</file>