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3BB0" w14:textId="0091BD03" w:rsidR="005339E3" w:rsidRDefault="005339E3" w:rsidP="005F32B4">
      <w:pPr>
        <w:pStyle w:val="a0"/>
        <w:ind w:firstLineChars="0" w:firstLine="0"/>
      </w:pPr>
    </w:p>
    <w:p w14:paraId="2C4B3CEA" w14:textId="77777777" w:rsidR="005F32B4" w:rsidRPr="005339E3" w:rsidRDefault="005F32B4" w:rsidP="005339E3">
      <w:pPr>
        <w:pStyle w:val="a0"/>
        <w:ind w:firstLine="210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3F09DB" w14:paraId="0D278005" w14:textId="77777777">
        <w:trPr>
          <w:trHeight w:val="420"/>
        </w:trPr>
        <w:tc>
          <w:tcPr>
            <w:tcW w:w="5000" w:type="pct"/>
            <w:vAlign w:val="center"/>
          </w:tcPr>
          <w:p w14:paraId="4B68C3AC" w14:textId="77777777" w:rsidR="003F09DB" w:rsidRDefault="00B52A78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3F09DB" w14:paraId="6ABE7F5B" w14:textId="77777777">
        <w:trPr>
          <w:trHeight w:val="405"/>
        </w:trPr>
        <w:tc>
          <w:tcPr>
            <w:tcW w:w="5000" w:type="pct"/>
            <w:vAlign w:val="center"/>
          </w:tcPr>
          <w:p w14:paraId="3F66EDD3" w14:textId="5CC50456" w:rsidR="003F09DB" w:rsidRDefault="00B52A78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 w:rsidR="00BD34C4">
              <w:rPr>
                <w:rFonts w:hint="eastAsia"/>
                <w:kern w:val="0"/>
                <w:sz w:val="24"/>
              </w:rPr>
              <w:t>2</w:t>
            </w:r>
            <w:r w:rsidR="00BD34C4"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3F09DB" w14:paraId="3C8D9A25" w14:textId="77777777" w:rsidTr="00F52FAD">
        <w:trPr>
          <w:trHeight w:val="161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3F09DB" w14:paraId="0246B1FF" w14:textId="77777777" w:rsidTr="00AE3DC3">
              <w:trPr>
                <w:trHeight w:val="439"/>
              </w:trPr>
              <w:tc>
                <w:tcPr>
                  <w:tcW w:w="1298" w:type="dxa"/>
                  <w:gridSpan w:val="2"/>
                  <w:vAlign w:val="center"/>
                </w:tcPr>
                <w:p w14:paraId="2928BFBE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vAlign w:val="center"/>
                </w:tcPr>
                <w:p w14:paraId="1B50B544" w14:textId="6DA9BEEC" w:rsidR="003F09DB" w:rsidRDefault="00CF464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水电费、劳务费、业务</w:t>
                  </w:r>
                  <w:r w:rsidR="006E751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费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565ABFEA" w14:textId="77777777" w:rsidTr="00AE3DC3">
              <w:trPr>
                <w:trHeight w:val="439"/>
              </w:trPr>
              <w:tc>
                <w:tcPr>
                  <w:tcW w:w="1298" w:type="dxa"/>
                  <w:gridSpan w:val="2"/>
                  <w:vAlign w:val="center"/>
                </w:tcPr>
                <w:p w14:paraId="6D273144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vAlign w:val="center"/>
                </w:tcPr>
                <w:p w14:paraId="1399EF4D" w14:textId="3A845319" w:rsidR="003F09DB" w:rsidRDefault="006E75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中共新乡县委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472" w:type="dxa"/>
                  <w:gridSpan w:val="3"/>
                  <w:vAlign w:val="center"/>
                </w:tcPr>
                <w:p w14:paraId="137E0F41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vAlign w:val="center"/>
                </w:tcPr>
                <w:p w14:paraId="661BDF84" w14:textId="45C2AE2A" w:rsidR="003F09DB" w:rsidRDefault="006E751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共青团新乡县委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30AD1843" w14:textId="77777777" w:rsidTr="00AE3DC3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vAlign w:val="center"/>
                </w:tcPr>
                <w:p w14:paraId="72816299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vAlign w:val="center"/>
                </w:tcPr>
                <w:p w14:paraId="68B08BAE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vAlign w:val="center"/>
                </w:tcPr>
                <w:p w14:paraId="57EB750A" w14:textId="6713536D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CF464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3472" w:type="dxa"/>
                  <w:gridSpan w:val="3"/>
                  <w:vAlign w:val="center"/>
                </w:tcPr>
                <w:p w14:paraId="7EF5F0DF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vAlign w:val="center"/>
                </w:tcPr>
                <w:p w14:paraId="3C269EF6" w14:textId="45FCB292" w:rsidR="003F09DB" w:rsidRDefault="00CF464F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6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44F1B86E" w14:textId="77777777" w:rsidTr="00AE3DC3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vAlign w:val="center"/>
                </w:tcPr>
                <w:p w14:paraId="7B889475" w14:textId="77777777" w:rsidR="003F09DB" w:rsidRDefault="003F09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vAlign w:val="center"/>
                </w:tcPr>
                <w:p w14:paraId="41B44FB4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vAlign w:val="center"/>
                </w:tcPr>
                <w:p w14:paraId="3D628854" w14:textId="6A69A9BE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CF464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3472" w:type="dxa"/>
                  <w:gridSpan w:val="3"/>
                  <w:vAlign w:val="center"/>
                </w:tcPr>
                <w:p w14:paraId="0814D37D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vAlign w:val="center"/>
                </w:tcPr>
                <w:p w14:paraId="22021524" w14:textId="701FD310" w:rsidR="003F09DB" w:rsidRDefault="00CF464F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6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26C044CC" w14:textId="77777777" w:rsidTr="00AE3DC3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vAlign w:val="center"/>
                </w:tcPr>
                <w:p w14:paraId="083D3034" w14:textId="77777777" w:rsidR="003F09DB" w:rsidRDefault="003F09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vAlign w:val="center"/>
                </w:tcPr>
                <w:p w14:paraId="2E6EDF02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vAlign w:val="center"/>
                </w:tcPr>
                <w:p w14:paraId="6E6E1854" w14:textId="4B56B00E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6E751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vAlign w:val="center"/>
                </w:tcPr>
                <w:p w14:paraId="10A84F19" w14:textId="77777777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vAlign w:val="center"/>
                </w:tcPr>
                <w:p w14:paraId="23EF19DF" w14:textId="087DB43F" w:rsidR="003F09DB" w:rsidRDefault="006E7511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7937F8FC" w14:textId="77777777" w:rsidTr="00AE3DC3">
              <w:trPr>
                <w:trHeight w:val="439"/>
              </w:trPr>
              <w:tc>
                <w:tcPr>
                  <w:tcW w:w="456" w:type="dxa"/>
                  <w:vMerge w:val="restart"/>
                  <w:vAlign w:val="center"/>
                </w:tcPr>
                <w:p w14:paraId="391C1635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vAlign w:val="center"/>
                </w:tcPr>
                <w:p w14:paraId="058CCFC4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vAlign w:val="center"/>
                </w:tcPr>
                <w:p w14:paraId="060B43E2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3F09DB" w14:paraId="6BEE4318" w14:textId="77777777" w:rsidTr="00AE3DC3">
              <w:trPr>
                <w:trHeight w:val="840"/>
              </w:trPr>
              <w:tc>
                <w:tcPr>
                  <w:tcW w:w="456" w:type="dxa"/>
                  <w:vMerge/>
                  <w:vAlign w:val="center"/>
                </w:tcPr>
                <w:p w14:paraId="7357CB1D" w14:textId="77777777" w:rsidR="003F09DB" w:rsidRDefault="003F09D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</w:tcPr>
                <w:p w14:paraId="79EE5DDB" w14:textId="454A20A9" w:rsidR="003F09DB" w:rsidRDefault="00B52A7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="00CF464F">
                    <w:rPr>
                      <w:rFonts w:ascii="仿宋" w:eastAsia="仿宋" w:hAnsi="仿宋" w:cs="仿宋" w:hint="eastAsia"/>
                      <w:sz w:val="24"/>
                    </w:rPr>
                    <w:t>保障团县委机关和青少年活动中心日常运转</w:t>
                  </w:r>
                </w:p>
                <w:p w14:paraId="0A180336" w14:textId="3D803141" w:rsidR="006E7511" w:rsidRPr="006E7511" w:rsidRDefault="006E7511" w:rsidP="006E7511">
                  <w:pPr>
                    <w:pStyle w:val="a0"/>
                    <w:ind w:firstLine="210"/>
                  </w:pPr>
                </w:p>
              </w:tc>
              <w:tc>
                <w:tcPr>
                  <w:tcW w:w="4811" w:type="dxa"/>
                  <w:gridSpan w:val="4"/>
                </w:tcPr>
                <w:p w14:paraId="563FE2D7" w14:textId="28C23216" w:rsidR="003F09DB" w:rsidRDefault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保障团县委机关和青少年活动中心日常运转</w:t>
                  </w:r>
                </w:p>
              </w:tc>
            </w:tr>
            <w:tr w:rsidR="008E29DC" w14:paraId="19CAB569" w14:textId="77777777" w:rsidTr="00AE3DC3">
              <w:trPr>
                <w:trHeight w:val="480"/>
              </w:trPr>
              <w:tc>
                <w:tcPr>
                  <w:tcW w:w="456" w:type="dxa"/>
                  <w:vMerge w:val="restart"/>
                  <w:vAlign w:val="center"/>
                </w:tcPr>
                <w:p w14:paraId="2E90ECA0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vAlign w:val="center"/>
                </w:tcPr>
                <w:p w14:paraId="08D2882D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vAlign w:val="center"/>
                </w:tcPr>
                <w:p w14:paraId="0FBED5DB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vAlign w:val="center"/>
                </w:tcPr>
                <w:p w14:paraId="271EEC2E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vAlign w:val="center"/>
                </w:tcPr>
                <w:p w14:paraId="68576E56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vAlign w:val="center"/>
                </w:tcPr>
                <w:p w14:paraId="7D30B9F9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vAlign w:val="center"/>
                </w:tcPr>
                <w:p w14:paraId="515B7267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3C40B774" w14:textId="77777777" w:rsidR="008E29DC" w:rsidRDefault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8E29DC" w14:paraId="2DBFEF41" w14:textId="77777777" w:rsidTr="00AE3DC3">
              <w:trPr>
                <w:trHeight w:val="336"/>
              </w:trPr>
              <w:tc>
                <w:tcPr>
                  <w:tcW w:w="456" w:type="dxa"/>
                  <w:vMerge/>
                  <w:vAlign w:val="center"/>
                </w:tcPr>
                <w:p w14:paraId="109E2F93" w14:textId="77777777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1F93D73F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vAlign w:val="center"/>
                </w:tcPr>
                <w:p w14:paraId="05B55240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vAlign w:val="center"/>
                </w:tcPr>
                <w:p w14:paraId="182103DF" w14:textId="46A6FF54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使用水费单位数量</w:t>
                  </w:r>
                </w:p>
              </w:tc>
              <w:tc>
                <w:tcPr>
                  <w:tcW w:w="1568" w:type="dxa"/>
                  <w:vAlign w:val="center"/>
                </w:tcPr>
                <w:p w14:paraId="459E3257" w14:textId="7136A8C9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777" w:type="dxa"/>
                  <w:vMerge w:val="restart"/>
                  <w:vAlign w:val="center"/>
                </w:tcPr>
                <w:p w14:paraId="60FE1383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vAlign w:val="center"/>
                </w:tcPr>
                <w:p w14:paraId="0E3F759D" w14:textId="21D50C22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使用水费单位数量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338FC687" w14:textId="4499539B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</w:tr>
            <w:tr w:rsidR="008E29DC" w14:paraId="0224A0A6" w14:textId="77777777" w:rsidTr="00AE3DC3">
              <w:trPr>
                <w:trHeight w:val="333"/>
              </w:trPr>
              <w:tc>
                <w:tcPr>
                  <w:tcW w:w="456" w:type="dxa"/>
                  <w:vMerge/>
                  <w:vAlign w:val="center"/>
                </w:tcPr>
                <w:p w14:paraId="44D6919B" w14:textId="77777777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69CB216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7468DA78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75921DC2" w14:textId="0F9E1455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使用电费单位数量</w:t>
                  </w:r>
                </w:p>
              </w:tc>
              <w:tc>
                <w:tcPr>
                  <w:tcW w:w="1568" w:type="dxa"/>
                  <w:vAlign w:val="center"/>
                </w:tcPr>
                <w:p w14:paraId="018C9889" w14:textId="58F61A09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09C47965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5171BEF4" w14:textId="053F413B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使用电费单位数量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13B782E1" w14:textId="4929305C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</w:tr>
            <w:tr w:rsidR="008E29DC" w14:paraId="599DDEB0" w14:textId="77777777" w:rsidTr="00AE3DC3">
              <w:trPr>
                <w:trHeight w:val="333"/>
              </w:trPr>
              <w:tc>
                <w:tcPr>
                  <w:tcW w:w="456" w:type="dxa"/>
                  <w:vMerge/>
                  <w:vAlign w:val="center"/>
                </w:tcPr>
                <w:p w14:paraId="5233A88A" w14:textId="77777777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22D5A4BB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791D684E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78377863" w14:textId="3E7EBA0D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使用劳务费单位数量</w:t>
                  </w:r>
                </w:p>
              </w:tc>
              <w:tc>
                <w:tcPr>
                  <w:tcW w:w="1568" w:type="dxa"/>
                  <w:vAlign w:val="center"/>
                </w:tcPr>
                <w:p w14:paraId="03125824" w14:textId="74519E36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71CC1F63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3EDD0FA7" w14:textId="66B635D8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使用劳务费单位数量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41AE5FCC" w14:textId="4C310519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</w:p>
              </w:tc>
            </w:tr>
            <w:tr w:rsidR="008E29DC" w14:paraId="667CF629" w14:textId="77777777" w:rsidTr="00AE3DC3">
              <w:trPr>
                <w:trHeight w:val="333"/>
              </w:trPr>
              <w:tc>
                <w:tcPr>
                  <w:tcW w:w="456" w:type="dxa"/>
                  <w:vMerge/>
                  <w:vAlign w:val="center"/>
                </w:tcPr>
                <w:p w14:paraId="1874EE04" w14:textId="77777777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8DBCE64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0389C25A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56F19903" w14:textId="1EB44EE7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0D87E946" w14:textId="4A97D8B6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320CEC76" w14:textId="77777777" w:rsidR="008E29DC" w:rsidRDefault="008E29DC" w:rsidP="00CF464F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34D83007" w14:textId="773C8F42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64B7491E" w14:textId="0F9D7B75" w:rsidR="008E29DC" w:rsidRDefault="008E29DC" w:rsidP="00CF464F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71511DC8" w14:textId="77777777" w:rsidTr="00AE3DC3">
              <w:trPr>
                <w:trHeight w:val="237"/>
              </w:trPr>
              <w:tc>
                <w:tcPr>
                  <w:tcW w:w="456" w:type="dxa"/>
                  <w:vMerge/>
                  <w:vAlign w:val="center"/>
                </w:tcPr>
                <w:p w14:paraId="4B840753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2319DE36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vAlign w:val="center"/>
                </w:tcPr>
                <w:p w14:paraId="326E760A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vAlign w:val="center"/>
                </w:tcPr>
                <w:p w14:paraId="52B32EDB" w14:textId="1810DB78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缴纳水费合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3F195D80" w14:textId="59C0543F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 w:val="restart"/>
                  <w:vAlign w:val="center"/>
                </w:tcPr>
                <w:p w14:paraId="4B24DE73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vAlign w:val="center"/>
                </w:tcPr>
                <w:p w14:paraId="6076D1A5" w14:textId="545E8CAF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缴纳水费合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4955880C" w14:textId="4A47EE24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400C1BA7" w14:textId="77777777" w:rsidTr="00AE3DC3">
              <w:trPr>
                <w:trHeight w:val="236"/>
              </w:trPr>
              <w:tc>
                <w:tcPr>
                  <w:tcW w:w="456" w:type="dxa"/>
                  <w:vMerge/>
                  <w:vAlign w:val="center"/>
                </w:tcPr>
                <w:p w14:paraId="185D14EF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45F8D9E8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76CC8540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1F20DEA4" w14:textId="426CE3EE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缴纳电费合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4B09ECC1" w14:textId="667102A4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56CC8446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7EFB5B4D" w14:textId="4487A961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缴纳电费合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0BEA8C11" w14:textId="2379C0F6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40DFFD38" w14:textId="77777777" w:rsidTr="00AE3DC3">
              <w:trPr>
                <w:trHeight w:val="236"/>
              </w:trPr>
              <w:tc>
                <w:tcPr>
                  <w:tcW w:w="456" w:type="dxa"/>
                  <w:vMerge/>
                  <w:vAlign w:val="center"/>
                </w:tcPr>
                <w:p w14:paraId="2B8DA757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4598DFE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2AA93DDD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39B7130A" w14:textId="187F3DF9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使用劳务费合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3F62329C" w14:textId="64793E9D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353C6B8E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69F6FB1A" w14:textId="10EC653A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使用劳务费合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sz w:val="24"/>
                    </w:rPr>
                    <w:t>规</w:t>
                  </w:r>
                  <w:proofErr w:type="gramEnd"/>
                  <w:r>
                    <w:rPr>
                      <w:rFonts w:ascii="仿宋" w:eastAsia="仿宋" w:hAnsi="仿宋" w:cs="仿宋" w:hint="eastAsia"/>
                      <w:sz w:val="24"/>
                    </w:rPr>
                    <w:t>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430C1074" w14:textId="57F41CF6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2D85DC94" w14:textId="77777777" w:rsidTr="00AE3DC3">
              <w:trPr>
                <w:trHeight w:val="236"/>
              </w:trPr>
              <w:tc>
                <w:tcPr>
                  <w:tcW w:w="456" w:type="dxa"/>
                  <w:vMerge/>
                  <w:vAlign w:val="center"/>
                </w:tcPr>
                <w:p w14:paraId="6C022755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29ABC77D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3E10D78F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272A57ED" w14:textId="1A63FFFA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办公用品采购合格率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1E7BE3CF" w14:textId="095FE5BA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11DF4555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3D738C25" w14:textId="4B0800BA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办公用品采购合格率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14D43F1C" w14:textId="0D10C6FA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665CDAC8" w14:textId="77777777" w:rsidTr="00AE3DC3">
              <w:trPr>
                <w:trHeight w:val="240"/>
              </w:trPr>
              <w:tc>
                <w:tcPr>
                  <w:tcW w:w="456" w:type="dxa"/>
                  <w:vMerge/>
                  <w:vAlign w:val="center"/>
                </w:tcPr>
                <w:p w14:paraId="4437BBCB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292C2CB8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vAlign w:val="center"/>
                </w:tcPr>
                <w:p w14:paraId="19C2810D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  <w:p w14:paraId="1EBC5DBF" w14:textId="2CC57CC6" w:rsidR="008E29DC" w:rsidRDefault="008E29DC" w:rsidP="008E29DC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3B652621" w14:textId="169EE53E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水供应及时性</w:t>
                  </w:r>
                </w:p>
              </w:tc>
              <w:tc>
                <w:tcPr>
                  <w:tcW w:w="1568" w:type="dxa"/>
                  <w:vAlign w:val="center"/>
                </w:tcPr>
                <w:p w14:paraId="32748D3E" w14:textId="68CD343E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 w:val="restart"/>
                  <w:vAlign w:val="center"/>
                </w:tcPr>
                <w:p w14:paraId="3C5B416A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vAlign w:val="center"/>
                </w:tcPr>
                <w:p w14:paraId="13E95AB3" w14:textId="34B4B6E3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水供应及时性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7A493AAC" w14:textId="13D8F15E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620D2A1D" w14:textId="77777777" w:rsidTr="00AE3DC3">
              <w:trPr>
                <w:trHeight w:val="240"/>
              </w:trPr>
              <w:tc>
                <w:tcPr>
                  <w:tcW w:w="456" w:type="dxa"/>
                  <w:vMerge/>
                  <w:vAlign w:val="center"/>
                </w:tcPr>
                <w:p w14:paraId="0ED8FFE1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35DD0CCB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7C40881B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52B27522" w14:textId="235A1B9F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电供应及时性</w:t>
                  </w:r>
                </w:p>
              </w:tc>
              <w:tc>
                <w:tcPr>
                  <w:tcW w:w="1568" w:type="dxa"/>
                  <w:vAlign w:val="center"/>
                </w:tcPr>
                <w:p w14:paraId="234486F9" w14:textId="52E26838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16FACE55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2ECA5E7C" w14:textId="04B060E5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电供应及时性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24977917" w14:textId="7D81D813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24197812" w14:textId="77777777" w:rsidTr="00AE3DC3">
              <w:trPr>
                <w:trHeight w:val="240"/>
              </w:trPr>
              <w:tc>
                <w:tcPr>
                  <w:tcW w:w="456" w:type="dxa"/>
                  <w:vMerge/>
                  <w:vAlign w:val="center"/>
                </w:tcPr>
                <w:p w14:paraId="2E1594AB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CF540D0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37C41320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781E88DD" w14:textId="52C514CB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劳务费发放及时率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4675891C" w14:textId="6DBB9186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2619D6B5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484EA7EF" w14:textId="794B5B84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劳务费发放及时率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0C8D4EEC" w14:textId="5B02D8A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8E29DC" w14:paraId="6F0D82D3" w14:textId="77777777" w:rsidTr="00AE3DC3">
              <w:trPr>
                <w:trHeight w:val="240"/>
              </w:trPr>
              <w:tc>
                <w:tcPr>
                  <w:tcW w:w="456" w:type="dxa"/>
                  <w:vMerge/>
                  <w:vAlign w:val="center"/>
                </w:tcPr>
                <w:p w14:paraId="00201732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6A2685AB" w14:textId="7777777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vAlign w:val="center"/>
                </w:tcPr>
                <w:p w14:paraId="62E2ED47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36B5A432" w14:textId="4FCAC374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办公用品采购及时率</w:t>
                  </w:r>
                </w:p>
              </w:tc>
              <w:tc>
                <w:tcPr>
                  <w:tcW w:w="1568" w:type="dxa"/>
                  <w:vAlign w:val="center"/>
                </w:tcPr>
                <w:p w14:paraId="7168DF1D" w14:textId="30B92A0F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/>
                  <w:vAlign w:val="center"/>
                </w:tcPr>
                <w:p w14:paraId="5F444A47" w14:textId="77777777" w:rsidR="008E29DC" w:rsidRDefault="008E29DC" w:rsidP="008E29DC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59E2719D" w14:textId="173E68B2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办公用品采购及时率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5F2D7C7C" w14:textId="504328F7" w:rsidR="008E29DC" w:rsidRDefault="008E29DC" w:rsidP="008E29D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  <w:tr w:rsidR="00F52FAD" w14:paraId="07A7240A" w14:textId="77777777" w:rsidTr="00AE3DC3">
              <w:trPr>
                <w:trHeight w:val="1889"/>
              </w:trPr>
              <w:tc>
                <w:tcPr>
                  <w:tcW w:w="456" w:type="dxa"/>
                  <w:vMerge/>
                  <w:vAlign w:val="center"/>
                </w:tcPr>
                <w:p w14:paraId="1D47E206" w14:textId="77777777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69B6BC92" w14:textId="77777777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Align w:val="center"/>
                </w:tcPr>
                <w:p w14:paraId="41742EF5" w14:textId="77777777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  <w:p w14:paraId="226D1651" w14:textId="4AEDAD6B" w:rsidR="00F52FAD" w:rsidRDefault="00F52FAD" w:rsidP="00F52FAD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vAlign w:val="center"/>
                </w:tcPr>
                <w:p w14:paraId="1F384D9A" w14:textId="396380B1" w:rsidR="00F52FAD" w:rsidRDefault="00F52FAD" w:rsidP="00F52FAD">
                  <w:pPr>
                    <w:adjustRightInd w:val="0"/>
                    <w:snapToGrid w:val="0"/>
                    <w:jc w:val="center"/>
                  </w:pPr>
                  <w:r>
                    <w:rPr>
                      <w:rFonts w:hint="eastAsia"/>
                    </w:rPr>
                    <w:t>保障团县委机关和青少年活动中心工作正常运转，保安保洁的社保费正常</w:t>
                  </w:r>
                </w:p>
                <w:p w14:paraId="4DFDDCC5" w14:textId="4E05D314" w:rsidR="00F52FAD" w:rsidRPr="00B33DEB" w:rsidRDefault="00F52FAD" w:rsidP="00F52FAD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hint="eastAsia"/>
                    </w:rPr>
                    <w:t>缴纳</w:t>
                  </w:r>
                </w:p>
              </w:tc>
              <w:tc>
                <w:tcPr>
                  <w:tcW w:w="1568" w:type="dxa"/>
                  <w:vAlign w:val="center"/>
                </w:tcPr>
                <w:p w14:paraId="1F0B4603" w14:textId="507F80B4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vAlign w:val="center"/>
                </w:tcPr>
                <w:p w14:paraId="30FC278E" w14:textId="77777777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  <w:p w14:paraId="0E89AFC5" w14:textId="03387DFD" w:rsidR="00F52FAD" w:rsidRDefault="00F52FAD" w:rsidP="00F52FAD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5328C167" w14:textId="3CBFE1CF" w:rsidR="00F52FAD" w:rsidRPr="00F52FAD" w:rsidRDefault="00F52FAD" w:rsidP="00F52FAD">
                  <w:pPr>
                    <w:adjustRightInd w:val="0"/>
                    <w:snapToGrid w:val="0"/>
                    <w:jc w:val="center"/>
                  </w:pPr>
                  <w:r>
                    <w:rPr>
                      <w:rFonts w:hint="eastAsia"/>
                    </w:rPr>
                    <w:t>保障团县委机关和青少年活动中心工作正常运转，保安保洁的社保费正常缴纳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5D906608" w14:textId="061DDB34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保障</w:t>
                  </w:r>
                </w:p>
              </w:tc>
            </w:tr>
            <w:tr w:rsidR="00F52FAD" w14:paraId="317FB14F" w14:textId="77777777" w:rsidTr="00AE3DC3">
              <w:trPr>
                <w:trHeight w:val="1914"/>
              </w:trPr>
              <w:tc>
                <w:tcPr>
                  <w:tcW w:w="456" w:type="dxa"/>
                  <w:vMerge/>
                  <w:vAlign w:val="center"/>
                </w:tcPr>
                <w:p w14:paraId="19888275" w14:textId="77777777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Align w:val="center"/>
                </w:tcPr>
                <w:p w14:paraId="25018A36" w14:textId="77777777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Align w:val="center"/>
                </w:tcPr>
                <w:p w14:paraId="47200CF0" w14:textId="4E77BDDC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vAlign w:val="center"/>
                </w:tcPr>
                <w:p w14:paraId="339D2C6E" w14:textId="12C70965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工作人员满意度</w:t>
                  </w:r>
                </w:p>
              </w:tc>
              <w:tc>
                <w:tcPr>
                  <w:tcW w:w="1568" w:type="dxa"/>
                  <w:vAlign w:val="center"/>
                </w:tcPr>
                <w:p w14:paraId="2FBE3840" w14:textId="7EDBDB66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Align w:val="center"/>
                </w:tcPr>
                <w:p w14:paraId="7219F2E3" w14:textId="77777777" w:rsidR="00F52FAD" w:rsidRDefault="00F52FAD" w:rsidP="00F52FAD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  <w:p w14:paraId="2F80C33F" w14:textId="10907146" w:rsidR="00F52FAD" w:rsidRDefault="00F52FAD" w:rsidP="00F52FAD">
                  <w:pPr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vAlign w:val="center"/>
                </w:tcPr>
                <w:p w14:paraId="79CF131D" w14:textId="507044A2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工作人员满意度</w:t>
                  </w:r>
                </w:p>
              </w:tc>
              <w:tc>
                <w:tcPr>
                  <w:tcW w:w="1663" w:type="dxa"/>
                  <w:gridSpan w:val="2"/>
                  <w:vAlign w:val="center"/>
                </w:tcPr>
                <w:p w14:paraId="181D2777" w14:textId="3F110F3E" w:rsidR="00F52FAD" w:rsidRDefault="00F52FAD" w:rsidP="00F52FA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≥95%</w:t>
                  </w:r>
                </w:p>
              </w:tc>
            </w:tr>
          </w:tbl>
          <w:p w14:paraId="68AC7EE9" w14:textId="77777777" w:rsidR="003F09DB" w:rsidRDefault="003F09DB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F5F4DB1" w14:textId="77777777" w:rsidR="003F09DB" w:rsidRDefault="003F09DB" w:rsidP="00F52FAD">
      <w:pPr>
        <w:widowControl/>
        <w:spacing w:line="320" w:lineRule="exact"/>
        <w:rPr>
          <w:rFonts w:hint="eastAsia"/>
          <w:b/>
          <w:bCs/>
          <w:kern w:val="0"/>
          <w:sz w:val="28"/>
          <w:szCs w:val="28"/>
        </w:rPr>
        <w:sectPr w:rsidR="003F09DB">
          <w:headerReference w:type="default" r:id="rId8"/>
          <w:footerReference w:type="default" r:id="rId9"/>
          <w:pgSz w:w="11906" w:h="16838"/>
          <w:pgMar w:top="720" w:right="720" w:bottom="720" w:left="720" w:header="851" w:footer="227" w:gutter="0"/>
          <w:cols w:space="0"/>
          <w:docGrid w:type="lines" w:linePitch="319"/>
        </w:sectPr>
      </w:pPr>
    </w:p>
    <w:p w14:paraId="369E74E2" w14:textId="77777777" w:rsidR="003F09DB" w:rsidRDefault="003F09DB">
      <w:pPr>
        <w:pStyle w:val="a0"/>
        <w:ind w:firstLineChars="0" w:firstLine="0"/>
        <w:rPr>
          <w:rFonts w:hint="eastAsia"/>
        </w:rPr>
      </w:pPr>
    </w:p>
    <w:sectPr w:rsidR="003F09DB" w:rsidSect="003F09DB"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B0DBF" w14:textId="77777777" w:rsidR="0076353A" w:rsidRDefault="0076353A" w:rsidP="003F09DB">
      <w:r>
        <w:separator/>
      </w:r>
    </w:p>
  </w:endnote>
  <w:endnote w:type="continuationSeparator" w:id="0">
    <w:p w14:paraId="78760F24" w14:textId="77777777" w:rsidR="0076353A" w:rsidRDefault="0076353A" w:rsidP="003F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A2559" w14:textId="77777777" w:rsidR="003F09DB" w:rsidRDefault="0076353A">
    <w:pPr>
      <w:pStyle w:val="a7"/>
    </w:pPr>
    <w:r>
      <w:pict w14:anchorId="32A2E5E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2E5A1753" w14:textId="77777777" w:rsidR="003F09DB" w:rsidRDefault="003F09DB">
                <w:pPr>
                  <w:pStyle w:val="a7"/>
                </w:pPr>
                <w:r>
                  <w:fldChar w:fldCharType="begin"/>
                </w:r>
                <w:r w:rsidR="00B52A78">
                  <w:instrText xml:space="preserve"> PAGE  \* MERGEFORMAT </w:instrText>
                </w:r>
                <w:r>
                  <w:fldChar w:fldCharType="separate"/>
                </w:r>
                <w:r w:rsidR="0011007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856F4" w14:textId="77777777" w:rsidR="0076353A" w:rsidRDefault="0076353A" w:rsidP="003F09DB">
      <w:r>
        <w:separator/>
      </w:r>
    </w:p>
  </w:footnote>
  <w:footnote w:type="continuationSeparator" w:id="0">
    <w:p w14:paraId="381C2723" w14:textId="77777777" w:rsidR="0076353A" w:rsidRDefault="0076353A" w:rsidP="003F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244A" w14:textId="77777777" w:rsidR="003F09DB" w:rsidRDefault="003F09DB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110077"/>
    <w:rsid w:val="001A4CF0"/>
    <w:rsid w:val="00327277"/>
    <w:rsid w:val="003F09DB"/>
    <w:rsid w:val="005339E3"/>
    <w:rsid w:val="005F32B4"/>
    <w:rsid w:val="006E7511"/>
    <w:rsid w:val="0076353A"/>
    <w:rsid w:val="0077653A"/>
    <w:rsid w:val="008E29DC"/>
    <w:rsid w:val="00911A52"/>
    <w:rsid w:val="009F1C63"/>
    <w:rsid w:val="00AE3DC3"/>
    <w:rsid w:val="00B33DEB"/>
    <w:rsid w:val="00B52A78"/>
    <w:rsid w:val="00BD22F6"/>
    <w:rsid w:val="00BD34C4"/>
    <w:rsid w:val="00CF464F"/>
    <w:rsid w:val="00F52FAD"/>
    <w:rsid w:val="00F84FE5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FD33DC"/>
  <w15:docId w15:val="{0A9D7FF2-4856-4765-ADA2-3DE0C1E9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3F09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F09DB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3F09DB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F09DB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rsid w:val="003F09DB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uiPriority w:val="99"/>
    <w:qFormat/>
    <w:rsid w:val="003F09DB"/>
    <w:pPr>
      <w:ind w:firstLineChars="100" w:firstLine="420"/>
    </w:pPr>
  </w:style>
  <w:style w:type="paragraph" w:styleId="a4">
    <w:name w:val="Body Text"/>
    <w:basedOn w:val="a"/>
    <w:qFormat/>
    <w:rsid w:val="003F09DB"/>
  </w:style>
  <w:style w:type="paragraph" w:styleId="a6">
    <w:name w:val="Body Text Indent"/>
    <w:basedOn w:val="a"/>
    <w:qFormat/>
    <w:rsid w:val="003F09DB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7">
    <w:name w:val="footer"/>
    <w:basedOn w:val="a"/>
    <w:rsid w:val="003F09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rsid w:val="003F09D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2"/>
    <w:qFormat/>
    <w:rsid w:val="003F09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sid w:val="003F09DB"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sid w:val="003F09DB"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sid w:val="003F09DB"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sid w:val="003F09DB"/>
    <w:rPr>
      <w:rFonts w:ascii="宋体" w:eastAsia="宋体" w:hAnsi="宋体"/>
      <w:b/>
    </w:rPr>
  </w:style>
  <w:style w:type="paragraph" w:customStyle="1" w:styleId="11">
    <w:name w:val="正文文本1"/>
    <w:basedOn w:val="a"/>
    <w:link w:val="aa"/>
    <w:qFormat/>
    <w:rsid w:val="003F09DB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a"/>
    <w:qFormat/>
    <w:rsid w:val="003F09DB"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a">
    <w:name w:val="正文文本_"/>
    <w:basedOn w:val="a1"/>
    <w:link w:val="11"/>
    <w:qFormat/>
    <w:rsid w:val="003F09DB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3F09D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a5">
    <w:name w:val="正文文本首行缩进 字符"/>
    <w:basedOn w:val="a1"/>
    <w:link w:val="a0"/>
    <w:uiPriority w:val="99"/>
    <w:rsid w:val="00F52FAD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申 笑雨</cp:lastModifiedBy>
  <cp:revision>5</cp:revision>
  <dcterms:created xsi:type="dcterms:W3CDTF">2020-12-07T03:52:00Z</dcterms:created>
  <dcterms:modified xsi:type="dcterms:W3CDTF">2022-03-11T06:16:00Z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