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扫黑除恶经费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50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50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50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50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kern w:val="0"/>
                      <w:sz w:val="22"/>
                      <w:szCs w:val="22"/>
                    </w:rPr>
                    <w:t>目标1：</w:t>
                  </w:r>
                  <w:r>
                    <w:rPr>
                      <w:rFonts w:hint="eastAsia" w:ascii="仿宋" w:hAnsi="仿宋" w:eastAsia="仿宋" w:cs="宋体"/>
                      <w:color w:val="auto"/>
                      <w:kern w:val="0"/>
                      <w:sz w:val="22"/>
                      <w:szCs w:val="22"/>
                      <w:lang w:val="en-US" w:eastAsia="zh-CN"/>
                    </w:rPr>
                    <w:t>涉黑涉恶治安乱点得到整治</w:t>
                  </w:r>
                  <w:r>
                    <w:rPr>
                      <w:rFonts w:hint="eastAsia" w:ascii="仿宋" w:hAnsi="仿宋" w:eastAsia="仿宋" w:cs="仿宋"/>
                      <w:kern w:val="0"/>
                      <w:sz w:val="22"/>
                      <w:szCs w:val="22"/>
                    </w:rPr>
                    <w:br w:type="textWrapping"/>
                  </w:r>
                  <w:r>
                    <w:rPr>
                      <w:rFonts w:hint="eastAsia" w:ascii="仿宋" w:hAnsi="仿宋" w:eastAsia="仿宋" w:cs="仿宋"/>
                      <w:kern w:val="0"/>
                      <w:sz w:val="22"/>
                      <w:szCs w:val="22"/>
                    </w:rPr>
                    <w:t xml:space="preserve"> 目标2：</w:t>
                  </w:r>
                  <w:r>
                    <w:rPr>
                      <w:rFonts w:hint="eastAsia" w:ascii="仿宋" w:hAnsi="仿宋" w:eastAsia="仿宋" w:cs="宋体"/>
                      <w:color w:val="auto"/>
                      <w:kern w:val="0"/>
                      <w:sz w:val="22"/>
                      <w:szCs w:val="22"/>
                      <w:lang w:val="en-US" w:eastAsia="zh-CN"/>
                    </w:rPr>
                    <w:t>人民群众安全感、满意度提升</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color w:val="auto"/>
                      <w:kern w:val="0"/>
                      <w:sz w:val="22"/>
                      <w:szCs w:val="22"/>
                      <w:lang w:val="en-US" w:eastAsia="zh-CN"/>
                    </w:rPr>
                    <w:t>涉黑涉恶治安乱点得到整治，人民群众安全感、满意度提升</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扫黑除恶工作宣传覆盖人数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≥5万人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扫黑除恶工作宣传覆盖人数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≥5万人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kern w:val="0"/>
                      <w:sz w:val="18"/>
                      <w:szCs w:val="18"/>
                    </w:rPr>
                    <w:t>扫黑除恶专项整治案件完成率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≥9</w:t>
                  </w:r>
                  <w:r>
                    <w:rPr>
                      <w:rFonts w:ascii="仿宋" w:hAnsi="仿宋" w:eastAsia="仿宋" w:cs="宋体"/>
                      <w:kern w:val="0"/>
                      <w:sz w:val="18"/>
                      <w:szCs w:val="18"/>
                    </w:rPr>
                    <w:t>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kern w:val="0"/>
                      <w:sz w:val="18"/>
                      <w:szCs w:val="18"/>
                    </w:rPr>
                    <w:t>扫黑除恶专项整治案件完成率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rPr>
                    <w:t>≥9</w:t>
                  </w:r>
                  <w:r>
                    <w:rPr>
                      <w:rFonts w:ascii="仿宋" w:hAnsi="仿宋" w:eastAsia="仿宋" w:cs="宋体"/>
                      <w:kern w:val="0"/>
                      <w:sz w:val="18"/>
                      <w:szCs w:val="18"/>
                    </w:rPr>
                    <w:t>5%</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56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扫黑除恶专项整治完成时间</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2021年12月底前</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auto"/>
                      <w:kern w:val="0"/>
                      <w:sz w:val="22"/>
                      <w:szCs w:val="22"/>
                      <w:lang w:val="en-US" w:eastAsia="zh-CN"/>
                    </w:rPr>
                    <w:t>扫黑除恶专项整治完成时间</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color w:val="auto"/>
                      <w:kern w:val="0"/>
                      <w:sz w:val="22"/>
                      <w:szCs w:val="22"/>
                      <w:lang w:val="en-US" w:eastAsia="zh-CN"/>
                    </w:rPr>
                    <w:t>2021年12月底前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扫黑除恶专项整治案件查办及时性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auto"/>
                      <w:kern w:val="0"/>
                      <w:sz w:val="22"/>
                      <w:szCs w:val="22"/>
                      <w:lang w:val="en-US" w:eastAsia="zh-CN"/>
                    </w:rPr>
                    <w:t>扫黑除恶专项整治案件查办及时性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color w:val="auto"/>
                      <w:kern w:val="0"/>
                      <w:sz w:val="22"/>
                      <w:szCs w:val="22"/>
                      <w:lang w:val="en-US" w:eastAsia="zh-CN"/>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扫黑专项资金总成本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≤50万元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auto"/>
                      <w:kern w:val="0"/>
                      <w:sz w:val="22"/>
                      <w:szCs w:val="22"/>
                      <w:lang w:val="en-US" w:eastAsia="zh-CN"/>
                    </w:rPr>
                    <w:t>扫黑专项资金总成本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color w:val="auto"/>
                      <w:kern w:val="0"/>
                      <w:sz w:val="22"/>
                      <w:szCs w:val="22"/>
                      <w:lang w:val="en-US" w:eastAsia="zh-CN"/>
                    </w:rPr>
                    <w:t>≤50万元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2"/>
                      <w:szCs w:val="22"/>
                      <w:lang w:val="en-US" w:eastAsia="zh-CN"/>
                    </w:rPr>
                    <w:t>/</w:t>
                  </w:r>
                  <w:bookmarkStart w:id="0" w:name="_GoBack"/>
                  <w:bookmarkEnd w:id="0"/>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kern w:val="0"/>
                      <w:sz w:val="18"/>
                      <w:szCs w:val="18"/>
                    </w:rPr>
                    <w:t>涉黑涉恶治安乱点得到整治，维护社会治安稳定</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hint="eastAsia" w:ascii="仿宋" w:hAnsi="仿宋" w:eastAsia="仿宋" w:cs="仿宋"/>
                      <w:kern w:val="0"/>
                      <w:sz w:val="22"/>
                      <w:szCs w:val="22"/>
                      <w:lang w:val="en-US" w:eastAsia="zh-CN"/>
                    </w:rPr>
                  </w:pPr>
                  <w:r>
                    <w:rPr>
                      <w:rFonts w:hint="eastAsia" w:ascii="仿宋" w:hAnsi="仿宋" w:eastAsia="仿宋" w:cs="宋体"/>
                      <w:kern w:val="0"/>
                      <w:sz w:val="18"/>
                      <w:szCs w:val="18"/>
                    </w:rPr>
                    <w:t>维护</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kern w:val="0"/>
                      <w:sz w:val="18"/>
                      <w:szCs w:val="18"/>
                    </w:rPr>
                    <w:t>涉黑涉恶治安乱点得到整治，维护社会治安稳定</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rPr>
                    <w:t>维护</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2"/>
                      <w:szCs w:val="22"/>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hint="eastAsia" w:ascii="仿宋" w:hAnsi="仿宋" w:eastAsia="仿宋" w:cs="仿宋"/>
                      <w:kern w:val="0"/>
                      <w:sz w:val="24"/>
                      <w:lang w:val="en-US" w:eastAsia="zh-CN"/>
                    </w:rPr>
                  </w:pPr>
                  <w:r>
                    <w:rPr>
                      <w:rFonts w:hint="eastAsia" w:ascii="仿宋" w:hAnsi="仿宋" w:eastAsia="仿宋" w:cs="宋体"/>
                      <w:kern w:val="0"/>
                      <w:sz w:val="18"/>
                      <w:szCs w:val="18"/>
                    </w:rPr>
                    <w:t>提升人民群众安全感</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18"/>
                      <w:szCs w:val="18"/>
                    </w:rPr>
                    <w:t>提升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kern w:val="0"/>
                      <w:sz w:val="18"/>
                      <w:szCs w:val="18"/>
                    </w:rPr>
                    <w:t>提升人民群众安全感</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kern w:val="0"/>
                      <w:sz w:val="18"/>
                      <w:szCs w:val="18"/>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社会公众满意度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color w:val="auto"/>
                      <w:kern w:val="0"/>
                      <w:sz w:val="22"/>
                      <w:szCs w:val="22"/>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auto"/>
                      <w:kern w:val="0"/>
                      <w:sz w:val="22"/>
                      <w:szCs w:val="22"/>
                      <w:lang w:val="en-US" w:eastAsia="zh-CN"/>
                    </w:rPr>
                    <w:t>社会公众满意度</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color w:val="auto"/>
                      <w:kern w:val="0"/>
                      <w:sz w:val="22"/>
                      <w:szCs w:val="22"/>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B991E13"/>
    <w:rsid w:val="0CA90420"/>
    <w:rsid w:val="0DE46181"/>
    <w:rsid w:val="0F690488"/>
    <w:rsid w:val="11DC45C4"/>
    <w:rsid w:val="144F741F"/>
    <w:rsid w:val="1460110F"/>
    <w:rsid w:val="157B319D"/>
    <w:rsid w:val="16897A3E"/>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6681F5C"/>
    <w:rsid w:val="2A4749CF"/>
    <w:rsid w:val="2C020CF3"/>
    <w:rsid w:val="2E5173AA"/>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6CC25EB"/>
    <w:rsid w:val="46E610D0"/>
    <w:rsid w:val="48792D39"/>
    <w:rsid w:val="499C14F2"/>
    <w:rsid w:val="4A69625F"/>
    <w:rsid w:val="4B870AC0"/>
    <w:rsid w:val="4C281AB1"/>
    <w:rsid w:val="4C2B4AF1"/>
    <w:rsid w:val="50D677E8"/>
    <w:rsid w:val="530504E8"/>
    <w:rsid w:val="53D53D55"/>
    <w:rsid w:val="54212464"/>
    <w:rsid w:val="54FE107E"/>
    <w:rsid w:val="55163C24"/>
    <w:rsid w:val="5601198C"/>
    <w:rsid w:val="56104055"/>
    <w:rsid w:val="572C68E4"/>
    <w:rsid w:val="5CE85B58"/>
    <w:rsid w:val="5D731A92"/>
    <w:rsid w:val="603E5DB0"/>
    <w:rsid w:val="62A47E73"/>
    <w:rsid w:val="62A85D16"/>
    <w:rsid w:val="642660CF"/>
    <w:rsid w:val="64D12C3C"/>
    <w:rsid w:val="65EB2AE8"/>
    <w:rsid w:val="6647282C"/>
    <w:rsid w:val="678B2E0B"/>
    <w:rsid w:val="6988452D"/>
    <w:rsid w:val="707D36D5"/>
    <w:rsid w:val="721C39A2"/>
    <w:rsid w:val="72B91FCA"/>
    <w:rsid w:val="730D18DC"/>
    <w:rsid w:val="73CC0A5D"/>
    <w:rsid w:val="755D3DB4"/>
    <w:rsid w:val="76FF056D"/>
    <w:rsid w:val="77A44894"/>
    <w:rsid w:val="788B35BF"/>
    <w:rsid w:val="796F6487"/>
    <w:rsid w:val="7AC44184"/>
    <w:rsid w:val="7CA865D9"/>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2021-09-30T03:00:52Z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