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建国前老工人取暖费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为我县建国前企业社保工人发放取暖费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为我县建国前企业社保工人发放取暖费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建国前企业社保工人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取暖费发放人员数量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建国前企业社保工人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取暖费发放人员数量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 xml:space="preserve">补贴建国前企业社保工人补贴补助标准合规率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符合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 xml:space="preserve">补贴建国前企业社保工人补贴补助标准合规率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补助年度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2021年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补助年度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2021年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1960元/人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1960元/人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指标1：有利于社会稳定，间接促进经济发展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指标1：有利于社会稳定，间接促进经济发展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保障建国前企业社保工人待遇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保障建国前企业社保工人待遇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维护建国前企业社保工人权益，增强政府公信力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维护建国前企业社保工人权益，增强政府公信力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提高建国前企业社保工人工资水平，保障退休生活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提高建国前企业社保工人工资水平，保障退休生活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建国前企业社保工人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建国前企业社保工人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121518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A345A98"/>
    <w:rsid w:val="707D36D5"/>
    <w:rsid w:val="721C39A2"/>
    <w:rsid w:val="72B91FCA"/>
    <w:rsid w:val="755D3DB4"/>
    <w:rsid w:val="77A44894"/>
    <w:rsid w:val="788B35BF"/>
    <w:rsid w:val="796F6487"/>
    <w:rsid w:val="7AC44184"/>
    <w:rsid w:val="7B51268F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2022-03-09T01:23:41Z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