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348"/>
              <w:gridCol w:w="997"/>
              <w:gridCol w:w="1394"/>
              <w:gridCol w:w="977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阳光家园托养服务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12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26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新乡县残疾人联合会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4.5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26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4.5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26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39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264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503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497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  <w:p>
                  <w:pPr>
                    <w:widowControl/>
                    <w:ind w:firstLine="480" w:firstLineChars="2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为70名政府主导的重度残疾人提供集中托养服务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  <w:tc>
                <w:tcPr>
                  <w:tcW w:w="503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ind w:firstLine="480" w:firstLineChars="200"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  <w:p>
                  <w:pPr>
                    <w:widowControl/>
                    <w:ind w:firstLine="480" w:firstLineChars="200"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为70名政府主导的重度残疾人提供集中托养服务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残疾人托养服务人数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≥70人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残疾人托养服务人数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≥70人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提高了残疾人生活品质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提高了残疾人生活品质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bookmarkStart w:id="0" w:name="_GoBack" w:colFirst="6" w:colLast="7"/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2021年12月底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项目完成时间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2021年12月底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托养服务残疾人每人每年金额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1500元/人/年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/>
                    </w:rPr>
                    <w:t>托养服务残疾人每人每年金额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  <w:szCs w:val="24"/>
                      <w:lang w:val="en-US" w:eastAsia="zh-CN"/>
                    </w:rPr>
                    <w:t>1500元/人/年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减轻残疾人家庭和社会负担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有所减轻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减轻残疾人家庭和社会负担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有所减轻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改善残疾人生活状况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有所提高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全面、清晰地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满足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残疾人托养服务需求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val="en-US" w:eastAsia="zh-CN"/>
                    </w:rPr>
                    <w:t>率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FF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80%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全面、清晰地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eastAsia="zh-CN"/>
                    </w:rPr>
                    <w:t>满足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</w:rPr>
                    <w:t>残疾人托养服务需求</w:t>
                  </w:r>
                  <w:r>
                    <w:rPr>
                      <w:rFonts w:hint="eastAsia" w:ascii="仿宋" w:hAnsi="仿宋" w:eastAsia="仿宋" w:cs="仿宋"/>
                      <w:sz w:val="24"/>
                      <w:szCs w:val="24"/>
                      <w:lang w:val="en-US" w:eastAsia="zh-CN"/>
                    </w:rPr>
                    <w:t>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color w:val="FF0000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受助残疾人及家庭满意度指标</w:t>
                  </w:r>
                </w:p>
              </w:tc>
              <w:tc>
                <w:tcPr>
                  <w:tcW w:w="134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80%</w:t>
                  </w:r>
                </w:p>
              </w:tc>
              <w:tc>
                <w:tcPr>
                  <w:tcW w:w="99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受助残疾人及家庭满意度指标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/>
                    </w:rPr>
                    <w:t>80%</w:t>
                  </w:r>
                </w:p>
              </w:tc>
            </w:tr>
            <w:bookmarkEnd w:id="0"/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FC73B40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0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lenovo</cp:lastModifiedBy>
  <dcterms:modified xsi:type="dcterms:W3CDTF">2021-09-14T03:37:13Z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