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fixed"/>
        <w:tblCellMar>
          <w:top w:w="0" w:type="dxa"/>
          <w:left w:w="108" w:type="dxa"/>
          <w:bottom w:w="0" w:type="dxa"/>
          <w:right w:w="108" w:type="dxa"/>
        </w:tblCellMar>
      </w:tblPr>
      <w:tblGrid>
        <w:gridCol w:w="10682"/>
      </w:tblGrid>
      <w:tr>
        <w:tblPrEx>
          <w:tblCellMar>
            <w:top w:w="0" w:type="dxa"/>
            <w:left w:w="108" w:type="dxa"/>
            <w:bottom w:w="0" w:type="dxa"/>
            <w:right w:w="108" w:type="dxa"/>
          </w:tblCellMar>
        </w:tblPrEx>
        <w:trPr>
          <w:trHeight w:val="420" w:hRule="atLeast"/>
        </w:trPr>
        <w:tc>
          <w:tcPr>
            <w:tcW w:w="5000" w:type="pct"/>
            <w:vAlign w:val="center"/>
          </w:tcPr>
          <w:p>
            <w:pPr>
              <w:widowControl/>
              <w:jc w:val="center"/>
              <w:rPr>
                <w:b/>
                <w:bCs/>
                <w:kern w:val="0"/>
                <w:sz w:val="36"/>
                <w:szCs w:val="36"/>
              </w:rPr>
            </w:pPr>
            <w:r>
              <w:rPr>
                <w:b/>
                <w:bCs/>
                <w:kern w:val="0"/>
                <w:sz w:val="36"/>
                <w:szCs w:val="36"/>
              </w:rPr>
              <w:t>项目绩效目标申报表</w:t>
            </w:r>
          </w:p>
        </w:tc>
      </w:tr>
      <w:tr>
        <w:tblPrEx>
          <w:tblCellMar>
            <w:top w:w="0" w:type="dxa"/>
            <w:left w:w="108" w:type="dxa"/>
            <w:bottom w:w="0" w:type="dxa"/>
            <w:right w:w="108" w:type="dxa"/>
          </w:tblCellMar>
        </w:tblPrEx>
        <w:trPr>
          <w:trHeight w:val="405" w:hRule="atLeast"/>
        </w:trPr>
        <w:tc>
          <w:tcPr>
            <w:tcW w:w="5000" w:type="pct"/>
            <w:vAlign w:val="center"/>
          </w:tcPr>
          <w:p>
            <w:pPr>
              <w:widowControl/>
              <w:jc w:val="center"/>
              <w:rPr>
                <w:kern w:val="0"/>
                <w:sz w:val="32"/>
                <w:szCs w:val="32"/>
              </w:rPr>
            </w:pPr>
            <w:r>
              <w:rPr>
                <w:kern w:val="0"/>
                <w:sz w:val="24"/>
              </w:rPr>
              <w:t>（</w:t>
            </w:r>
            <w:r>
              <w:rPr>
                <w:rFonts w:hint="eastAsia"/>
                <w:kern w:val="0"/>
                <w:sz w:val="24"/>
                <w:lang w:val="en-US" w:eastAsia="zh-CN"/>
              </w:rPr>
              <w:t>2021</w:t>
            </w:r>
            <w:r>
              <w:rPr>
                <w:kern w:val="0"/>
                <w:sz w:val="24"/>
              </w:rPr>
              <w:t>年度）</w:t>
            </w:r>
          </w:p>
        </w:tc>
      </w:tr>
      <w:tr>
        <w:tblPrEx>
          <w:tblCellMar>
            <w:top w:w="0" w:type="dxa"/>
            <w:left w:w="108" w:type="dxa"/>
            <w:bottom w:w="0" w:type="dxa"/>
            <w:right w:w="108" w:type="dxa"/>
          </w:tblCellMar>
        </w:tblPrEx>
        <w:trPr>
          <w:trHeight w:val="405" w:hRule="atLeast"/>
        </w:trPr>
        <w:tc>
          <w:tcPr>
            <w:tcW w:w="5000" w:type="pct"/>
            <w:tcBorders>
              <w:bottom w:val="single" w:color="auto" w:sz="4" w:space="0"/>
            </w:tcBorders>
            <w:vAlign w:val="center"/>
          </w:tcPr>
          <w:tbl>
            <w:tblPr>
              <w:tblStyle w:val="11"/>
              <w:tblW w:w="10458" w:type="dxa"/>
              <w:tblInd w:w="3" w:type="dxa"/>
              <w:tblLayout w:type="fixed"/>
              <w:tblCellMar>
                <w:top w:w="0" w:type="dxa"/>
                <w:left w:w="108" w:type="dxa"/>
                <w:bottom w:w="0" w:type="dxa"/>
                <w:right w:w="108" w:type="dxa"/>
              </w:tblCellMar>
            </w:tblPr>
            <w:tblGrid>
              <w:gridCol w:w="456"/>
              <w:gridCol w:w="842"/>
              <w:gridCol w:w="852"/>
              <w:gridCol w:w="1929"/>
              <w:gridCol w:w="1236"/>
              <w:gridCol w:w="1109"/>
              <w:gridCol w:w="1603"/>
              <w:gridCol w:w="768"/>
              <w:gridCol w:w="1663"/>
            </w:tblGrid>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中央专项彩票公益金支持残疾人事业发展补助资金　</w:t>
                  </w:r>
                </w:p>
              </w:tc>
            </w:tr>
            <w:tr>
              <w:tblPrEx>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017"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新乡县残疾人联合会</w:t>
                  </w:r>
                  <w:r>
                    <w:rPr>
                      <w:rFonts w:hint="eastAsia" w:ascii="仿宋" w:hAnsi="仿宋" w:eastAsia="仿宋" w:cs="仿宋"/>
                      <w:kern w:val="0"/>
                      <w:sz w:val="24"/>
                    </w:rPr>
                    <w:t>　</w:t>
                  </w:r>
                </w:p>
              </w:tc>
              <w:tc>
                <w:tcPr>
                  <w:tcW w:w="2712"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243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新乡县残疾人联合会</w:t>
                  </w: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26.7</w:t>
                  </w:r>
                </w:p>
              </w:tc>
              <w:tc>
                <w:tcPr>
                  <w:tcW w:w="27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243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26.7</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26.7</w:t>
                  </w:r>
                </w:p>
              </w:tc>
              <w:tc>
                <w:tcPr>
                  <w:tcW w:w="27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243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lang w:val="en-US" w:eastAsia="zh-CN"/>
                    </w:rPr>
                    <w:t>26.7</w:t>
                  </w:r>
                </w:p>
              </w:tc>
            </w:tr>
            <w:tr>
              <w:tblPrEx>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p>
              </w:tc>
              <w:tc>
                <w:tcPr>
                  <w:tcW w:w="271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2431" w:type="dxa"/>
                  <w:gridSpan w:val="2"/>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4859"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5143"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4859"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rPr>
                  </w:pPr>
                  <w:r>
                    <w:rPr>
                      <w:rFonts w:hint="eastAsia" w:ascii="仿宋" w:hAnsi="仿宋" w:eastAsia="仿宋" w:cs="仿宋"/>
                    </w:rPr>
                    <w:t xml:space="preserve"> 目标1：为符合条件的0-6岁残疾儿童提供人工耳蜗及助听器验配、肢体矫治手术、功能训练等基本康复服务，改善残疾儿童功能状况，不断提高残疾儿童生活自理能力，增强社会参与；为早期干预试点地区有需求的小龄听力、肢体等残疾儿童提供亲子同训、家长培训等以家庭为中心的早期干预康复服务，改善残疾儿童功能状况，不断提高残疾儿童生活自理能力，增强社会参与。</w:t>
                  </w:r>
                  <w:r>
                    <w:rPr>
                      <w:rFonts w:hint="eastAsia" w:ascii="仿宋" w:hAnsi="仿宋" w:eastAsia="仿宋" w:cs="仿宋"/>
                    </w:rPr>
                    <w:br w:type="textWrapping"/>
                  </w:r>
                  <w:r>
                    <w:rPr>
                      <w:rFonts w:hint="eastAsia" w:ascii="仿宋" w:hAnsi="仿宋" w:eastAsia="仿宋" w:cs="仿宋"/>
                    </w:rPr>
                    <w:t xml:space="preserve"> 目标2：支持困难重度残疾人实施家庭无障碍改造，改善残疾人居家环境。</w:t>
                  </w:r>
                  <w:r>
                    <w:rPr>
                      <w:rFonts w:hint="eastAsia" w:ascii="仿宋" w:hAnsi="仿宋" w:eastAsia="仿宋" w:cs="仿宋"/>
                    </w:rPr>
                    <w:br w:type="textWrapping"/>
                  </w:r>
                  <w:r>
                    <w:rPr>
                      <w:rFonts w:hint="eastAsia" w:ascii="仿宋" w:hAnsi="仿宋" w:eastAsia="仿宋" w:cs="仿宋"/>
                    </w:rPr>
                    <w:t xml:space="preserve"> 目标3：通过实施残疾人文化进家庭“五个一”及文化产业项目，使残疾人参加与文化活动的需要得到满足。通过实施电视手语栏目及融媒体建设项目，使残联传播力、影响力进一步提升。</w:t>
                  </w:r>
                </w:p>
                <w:p>
                  <w:pPr>
                    <w:pStyle w:val="2"/>
                    <w:rPr>
                      <w:rFonts w:hint="eastAsia" w:ascii="仿宋" w:hAnsi="仿宋" w:eastAsia="仿宋" w:cs="仿宋"/>
                    </w:rPr>
                  </w:pPr>
                  <w:r>
                    <w:rPr>
                      <w:rFonts w:hint="eastAsia" w:ascii="仿宋" w:hAnsi="仿宋" w:eastAsia="仿宋" w:cs="仿宋"/>
                    </w:rPr>
                    <w:t>目标</w:t>
                  </w:r>
                  <w:r>
                    <w:rPr>
                      <w:rFonts w:hint="eastAsia" w:ascii="仿宋" w:hAnsi="仿宋" w:eastAsia="仿宋" w:cs="仿宋"/>
                      <w:lang w:val="en-US" w:eastAsia="zh-CN"/>
                    </w:rPr>
                    <w:t>4</w:t>
                  </w:r>
                  <w:r>
                    <w:rPr>
                      <w:rFonts w:hint="eastAsia" w:ascii="仿宋" w:hAnsi="仿宋" w:eastAsia="仿宋" w:cs="仿宋"/>
                    </w:rPr>
                    <w:t>：为困难智力、精神和重度残疾人提供残疾评定补贴，减轻残疾人经济负担。</w:t>
                  </w:r>
                </w:p>
              </w:tc>
              <w:tc>
                <w:tcPr>
                  <w:tcW w:w="5143" w:type="dxa"/>
                  <w:gridSpan w:val="4"/>
                  <w:tcBorders>
                    <w:top w:val="single" w:color="auto" w:sz="4" w:space="0"/>
                    <w:left w:val="single" w:color="auto" w:sz="4" w:space="0"/>
                    <w:bottom w:val="single" w:color="auto" w:sz="4" w:space="0"/>
                    <w:right w:val="single" w:color="auto" w:sz="4" w:space="0"/>
                  </w:tcBorders>
                </w:tcPr>
                <w:p>
                  <w:pPr>
                    <w:widowControl/>
                    <w:jc w:val="left"/>
                    <w:rPr>
                      <w:rFonts w:hint="eastAsia" w:ascii="仿宋" w:hAnsi="仿宋" w:eastAsia="仿宋" w:cs="仿宋"/>
                    </w:rPr>
                  </w:pPr>
                  <w:r>
                    <w:rPr>
                      <w:rFonts w:hint="eastAsia" w:ascii="仿宋" w:hAnsi="仿宋" w:eastAsia="仿宋" w:cs="仿宋"/>
                    </w:rPr>
                    <w:t>目标1：为符合条件的0-6岁残疾儿童提供人工耳蜗及助听器验配、肢体矫治手术、功能训练等基本康复服务，改善残疾儿童功能状况，不断提高残疾儿童生活自理能力，增强社会参与；为早期干预试点地区有需求的小龄听力、肢体等残疾儿童提供亲子同训、家长培训等以家庭为中心的早期干预康复服务，改善残疾儿童功能状况，不断提高残疾儿童生活自理能力，增强社会参与。</w:t>
                  </w:r>
                  <w:r>
                    <w:rPr>
                      <w:rFonts w:hint="eastAsia" w:ascii="仿宋" w:hAnsi="仿宋" w:eastAsia="仿宋" w:cs="仿宋"/>
                    </w:rPr>
                    <w:br w:type="textWrapping"/>
                  </w:r>
                  <w:r>
                    <w:rPr>
                      <w:rFonts w:hint="eastAsia" w:ascii="仿宋" w:hAnsi="仿宋" w:eastAsia="仿宋" w:cs="仿宋"/>
                    </w:rPr>
                    <w:t xml:space="preserve"> 目标2：支持困难重度残疾人实施家庭无障碍改造，改善残疾人居家环境。</w:t>
                  </w:r>
                  <w:r>
                    <w:rPr>
                      <w:rFonts w:hint="eastAsia" w:ascii="仿宋" w:hAnsi="仿宋" w:eastAsia="仿宋" w:cs="仿宋"/>
                    </w:rPr>
                    <w:br w:type="textWrapping"/>
                  </w:r>
                  <w:r>
                    <w:rPr>
                      <w:rFonts w:hint="eastAsia" w:ascii="仿宋" w:hAnsi="仿宋" w:eastAsia="仿宋" w:cs="仿宋"/>
                    </w:rPr>
                    <w:t xml:space="preserve"> 目标3：通过实施残疾人文化进家庭“五个一”及文化产业项目，使残疾人参加与文化活动的需要得到满足。通过实施电视手语栏目及融媒体建设项目，使残联传播力、影响力进一步提升。</w:t>
                  </w:r>
                </w:p>
                <w:p>
                  <w:pPr>
                    <w:widowControl/>
                    <w:jc w:val="left"/>
                    <w:rPr>
                      <w:rFonts w:hint="eastAsia" w:ascii="仿宋" w:hAnsi="仿宋" w:eastAsia="仿宋" w:cs="仿宋"/>
                      <w:kern w:val="0"/>
                      <w:sz w:val="24"/>
                    </w:rPr>
                  </w:pPr>
                  <w:r>
                    <w:rPr>
                      <w:rFonts w:hint="eastAsia" w:ascii="仿宋" w:hAnsi="仿宋" w:eastAsia="仿宋" w:cs="仿宋"/>
                    </w:rPr>
                    <w:t>目标</w:t>
                  </w:r>
                  <w:r>
                    <w:rPr>
                      <w:rFonts w:hint="eastAsia" w:ascii="仿宋" w:hAnsi="仿宋" w:eastAsia="仿宋" w:cs="仿宋"/>
                      <w:lang w:val="en-US" w:eastAsia="zh-CN"/>
                    </w:rPr>
                    <w:t>4</w:t>
                  </w:r>
                  <w:r>
                    <w:rPr>
                      <w:rFonts w:hint="eastAsia" w:ascii="仿宋" w:hAnsi="仿宋" w:eastAsia="仿宋" w:cs="仿宋"/>
                    </w:rPr>
                    <w:t>：为困难智力、精神和重度残疾人提供残疾评定补贴，减轻残疾人经济负担。</w:t>
                  </w:r>
                </w:p>
              </w:tc>
            </w:tr>
            <w:tr>
              <w:tblPrEx>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11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得到基本康复服务的残疾儿童数量</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tabs>
                      <w:tab w:val="center" w:pos="510"/>
                    </w:tabs>
                    <w:jc w:val="left"/>
                    <w:rPr>
                      <w:rFonts w:hint="default" w:ascii="仿宋" w:hAnsi="仿宋" w:eastAsia="仿宋" w:cs="仿宋"/>
                      <w:kern w:val="0"/>
                      <w:sz w:val="24"/>
                      <w:lang w:val="en-US" w:eastAsia="zh-CN"/>
                    </w:rPr>
                  </w:pPr>
                  <w:r>
                    <w:rPr>
                      <w:rFonts w:hint="eastAsia" w:ascii="仿宋" w:hAnsi="仿宋" w:eastAsia="仿宋" w:cs="仿宋"/>
                      <w:kern w:val="0"/>
                      <w:sz w:val="24"/>
                    </w:rPr>
                    <w:t>≥</w:t>
                  </w:r>
                  <w:r>
                    <w:rPr>
                      <w:rFonts w:hint="eastAsia" w:ascii="仿宋" w:hAnsi="仿宋" w:eastAsia="仿宋" w:cs="仿宋"/>
                      <w:kern w:val="0"/>
                      <w:sz w:val="24"/>
                      <w:lang w:val="en-US" w:eastAsia="zh-CN"/>
                    </w:rPr>
                    <w:t>20</w:t>
                  </w:r>
                  <w:r>
                    <w:rPr>
                      <w:rFonts w:hint="eastAsia" w:ascii="仿宋" w:hAnsi="仿宋" w:eastAsia="仿宋" w:cs="仿宋"/>
                      <w:kern w:val="0"/>
                      <w:sz w:val="24"/>
                      <w:lang w:val="en-US" w:eastAsia="zh-CN"/>
                    </w:rPr>
                    <w:tab/>
                    <w:t>人</w:t>
                  </w:r>
                  <w:bookmarkStart w:id="0" w:name="_GoBack"/>
                  <w:bookmarkEnd w:id="0"/>
                </w:p>
              </w:tc>
              <w:tc>
                <w:tcPr>
                  <w:tcW w:w="110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得到基本康复服务的残疾儿童数量</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仿宋" w:hAnsi="仿宋" w:eastAsia="仿宋" w:cs="仿宋"/>
                      <w:kern w:val="0"/>
                      <w:sz w:val="24"/>
                      <w:szCs w:val="24"/>
                      <w:lang w:val="en-US" w:eastAsia="zh-CN" w:bidi="ar-SA"/>
                    </w:rPr>
                  </w:pPr>
                  <w:r>
                    <w:rPr>
                      <w:rFonts w:hint="eastAsia" w:ascii="仿宋" w:hAnsi="仿宋" w:eastAsia="仿宋" w:cs="仿宋"/>
                      <w:kern w:val="0"/>
                      <w:sz w:val="24"/>
                    </w:rPr>
                    <w:t>≥</w:t>
                  </w:r>
                  <w:r>
                    <w:rPr>
                      <w:rFonts w:hint="eastAsia" w:ascii="仿宋" w:hAnsi="仿宋" w:eastAsia="仿宋" w:cs="仿宋"/>
                      <w:kern w:val="0"/>
                      <w:sz w:val="24"/>
                      <w:lang w:val="en-US" w:eastAsia="zh-CN"/>
                    </w:rPr>
                    <w:t>20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困难重度残疾人家庭进行无障碍改造惠及人数</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133户</w:t>
                  </w:r>
                </w:p>
              </w:tc>
              <w:tc>
                <w:tcPr>
                  <w:tcW w:w="11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困难重度残疾人家庭进行无障碍改造惠及人数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133户</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残疾人文化进家庭“五个一”完成户数</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12户</w:t>
                  </w:r>
                </w:p>
              </w:tc>
              <w:tc>
                <w:tcPr>
                  <w:tcW w:w="11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rPr>
                    <w:t>残疾人文化进家庭“五个一”完成户数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lang w:val="en-US" w:eastAsia="zh-CN"/>
                    </w:rPr>
                    <w:t>12户</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得到残疾评定补贴的残疾人数</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val="en-US" w:eastAsia="zh-CN"/>
                    </w:rPr>
                    <w:t>30</w:t>
                  </w:r>
                </w:p>
              </w:tc>
              <w:tc>
                <w:tcPr>
                  <w:tcW w:w="11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得到残疾评定补贴的残疾人数</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w:t>
                  </w:r>
                  <w:r>
                    <w:rPr>
                      <w:rFonts w:hint="eastAsia" w:ascii="仿宋" w:hAnsi="仿宋" w:eastAsia="仿宋" w:cs="仿宋"/>
                      <w:kern w:val="0"/>
                      <w:sz w:val="24"/>
                      <w:lang w:val="en-US" w:eastAsia="zh-CN"/>
                    </w:rPr>
                    <w:t>30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项目完成时间</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2021年12月底</w:t>
                  </w:r>
                </w:p>
              </w:tc>
              <w:tc>
                <w:tcPr>
                  <w:tcW w:w="110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项目完成时间</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2021年12月底</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社会</w:t>
                  </w:r>
                  <w:r>
                    <w:rPr>
                      <w:rFonts w:hint="eastAsia" w:ascii="仿宋" w:hAnsi="仿宋" w:eastAsia="仿宋" w:cs="仿宋"/>
                      <w:kern w:val="0"/>
                      <w:sz w:val="24"/>
                    </w:rPr>
                    <w:t>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有需求的残疾儿童得到基本康复服务覆盖率</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≥90%</w:t>
                  </w:r>
                </w:p>
              </w:tc>
              <w:tc>
                <w:tcPr>
                  <w:tcW w:w="110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社会</w:t>
                  </w:r>
                  <w:r>
                    <w:rPr>
                      <w:rFonts w:hint="eastAsia" w:ascii="仿宋" w:hAnsi="仿宋" w:eastAsia="仿宋" w:cs="仿宋"/>
                      <w:kern w:val="0"/>
                      <w:sz w:val="24"/>
                    </w:rPr>
                    <w:t>效益指标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有需求的残疾儿童得到基本康复服务覆盖率</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残疾人享有公共文化服务水平</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有所提高</w:t>
                  </w:r>
                </w:p>
              </w:tc>
              <w:tc>
                <w:tcPr>
                  <w:tcW w:w="11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残疾人享有公共文化服务水平</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有所提高</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残疾儿童或家庭对基本康复服务的满意度</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r>
                    <w:rPr>
                      <w:rFonts w:hint="eastAsia" w:ascii="仿宋" w:hAnsi="仿宋" w:eastAsia="仿宋" w:cs="仿宋"/>
                      <w:kern w:val="0"/>
                      <w:sz w:val="24"/>
                    </w:rPr>
                    <w:t>≥90%</w:t>
                  </w:r>
                </w:p>
              </w:tc>
              <w:tc>
                <w:tcPr>
                  <w:tcW w:w="110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残疾儿童或家庭对基本康复服务的满意度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r>
                    <w:rPr>
                      <w:rFonts w:hint="eastAsia" w:ascii="仿宋" w:hAnsi="仿宋" w:eastAsia="仿宋" w:cs="仿宋"/>
                      <w:kern w:val="0"/>
                      <w:sz w:val="24"/>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接受无障碍改造残疾人家庭满意度</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r>
                    <w:rPr>
                      <w:rFonts w:hint="eastAsia" w:ascii="仿宋" w:hAnsi="仿宋" w:eastAsia="仿宋" w:cs="仿宋"/>
                      <w:kern w:val="0"/>
                      <w:sz w:val="24"/>
                    </w:rPr>
                    <w:t>≥90%</w:t>
                  </w:r>
                </w:p>
              </w:tc>
              <w:tc>
                <w:tcPr>
                  <w:tcW w:w="11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接受无障碍改造残疾人家庭满意度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lang w:val="en-US" w:eastAsia="zh-CN" w:bidi="ar-SA"/>
                    </w:rPr>
                  </w:pPr>
                  <w:r>
                    <w:rPr>
                      <w:rFonts w:hint="eastAsia" w:ascii="仿宋" w:hAnsi="仿宋" w:eastAsia="仿宋" w:cs="仿宋"/>
                      <w:kern w:val="0"/>
                      <w:sz w:val="24"/>
                    </w:rPr>
                    <w:t>≥90%</w:t>
                  </w:r>
                </w:p>
              </w:tc>
            </w:tr>
            <w:tr>
              <w:tblPrEx>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残疾人及亲友对残疾人能享有的文化服务的满意度</w:t>
                  </w:r>
                </w:p>
              </w:tc>
              <w:tc>
                <w:tcPr>
                  <w:tcW w:w="1236" w:type="dxa"/>
                  <w:tcBorders>
                    <w:top w:val="single" w:color="auto" w:sz="4" w:space="0"/>
                    <w:left w:val="single" w:color="auto" w:sz="4" w:space="0"/>
                    <w:bottom w:val="single" w:color="auto" w:sz="4" w:space="0"/>
                    <w:right w:val="single" w:color="auto" w:sz="4" w:space="0"/>
                  </w:tcBorders>
                  <w:vAlign w:val="center"/>
                </w:tcPr>
                <w:p>
                  <w:pPr>
                    <w:widowControl/>
                    <w:tabs>
                      <w:tab w:val="left" w:pos="228"/>
                    </w:tabs>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ab/>
                  </w:r>
                  <w:r>
                    <w:rPr>
                      <w:rFonts w:hint="eastAsia" w:ascii="仿宋" w:hAnsi="仿宋" w:eastAsia="仿宋" w:cs="仿宋"/>
                      <w:kern w:val="0"/>
                      <w:sz w:val="24"/>
                    </w:rPr>
                    <w:t>≥90%</w:t>
                  </w:r>
                </w:p>
              </w:tc>
              <w:tc>
                <w:tcPr>
                  <w:tcW w:w="11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lang w:val="en-US" w:eastAsia="zh-CN" w:bidi="ar-SA"/>
                    </w:rPr>
                  </w:pPr>
                  <w:r>
                    <w:rPr>
                      <w:rFonts w:hint="eastAsia" w:ascii="仿宋" w:hAnsi="仿宋" w:eastAsia="仿宋" w:cs="仿宋"/>
                      <w:kern w:val="0"/>
                      <w:sz w:val="24"/>
                    </w:rPr>
                    <w:t>残疾人及亲友对残疾人能享有的文化服务的满意度</w:t>
                  </w:r>
                </w:p>
              </w:tc>
              <w:tc>
                <w:tcPr>
                  <w:tcW w:w="1663" w:type="dxa"/>
                  <w:tcBorders>
                    <w:top w:val="single" w:color="auto" w:sz="4" w:space="0"/>
                    <w:left w:val="single" w:color="auto" w:sz="4" w:space="0"/>
                    <w:bottom w:val="single" w:color="auto" w:sz="4" w:space="0"/>
                    <w:right w:val="single" w:color="auto" w:sz="4" w:space="0"/>
                  </w:tcBorders>
                  <w:vAlign w:val="center"/>
                </w:tcPr>
                <w:p>
                  <w:pPr>
                    <w:widowControl/>
                    <w:tabs>
                      <w:tab w:val="left" w:pos="228"/>
                    </w:tabs>
                    <w:jc w:val="left"/>
                    <w:rPr>
                      <w:rFonts w:hint="eastAsia" w:ascii="仿宋" w:hAnsi="仿宋" w:eastAsia="仿宋" w:cs="仿宋"/>
                      <w:kern w:val="0"/>
                      <w:sz w:val="24"/>
                      <w:szCs w:val="24"/>
                      <w:lang w:val="en-US" w:eastAsia="zh-CN" w:bidi="ar-SA"/>
                    </w:rPr>
                  </w:pPr>
                  <w:r>
                    <w:rPr>
                      <w:rFonts w:hint="eastAsia" w:ascii="仿宋" w:hAnsi="仿宋" w:eastAsia="仿宋" w:cs="仿宋"/>
                      <w:kern w:val="0"/>
                      <w:sz w:val="24"/>
                      <w:lang w:eastAsia="zh-CN"/>
                    </w:rPr>
                    <w:tab/>
                  </w:r>
                  <w:r>
                    <w:rPr>
                      <w:rFonts w:hint="eastAsia" w:ascii="仿宋" w:hAnsi="仿宋" w:eastAsia="仿宋" w:cs="仿宋"/>
                      <w:kern w:val="0"/>
                      <w:sz w:val="24"/>
                    </w:rPr>
                    <w:t>≥90%</w:t>
                  </w: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1"/>
        <w:tblW w:w="4998" w:type="pct"/>
        <w:tblInd w:w="0" w:type="dxa"/>
        <w:tblLayout w:type="autofit"/>
        <w:tblCellMar>
          <w:top w:w="0" w:type="dxa"/>
          <w:left w:w="0" w:type="dxa"/>
          <w:bottom w:w="0" w:type="dxa"/>
          <w:right w:w="0" w:type="dxa"/>
        </w:tblCellMar>
      </w:tblPr>
      <w:tblGrid>
        <w:gridCol w:w="852"/>
        <w:gridCol w:w="938"/>
        <w:gridCol w:w="1901"/>
        <w:gridCol w:w="995"/>
        <w:gridCol w:w="5806"/>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年度）</w:t>
            </w:r>
          </w:p>
        </w:tc>
      </w:tr>
      <w:tr>
        <w:tblPrEx>
          <w:tblCellMar>
            <w:top w:w="0" w:type="dxa"/>
            <w:left w:w="0" w:type="dxa"/>
            <w:bottom w:w="0" w:type="dxa"/>
            <w:right w:w="0" w:type="dxa"/>
          </w:tblCellMar>
        </w:tblPrEx>
        <w:trPr>
          <w:trHeight w:val="450" w:hRule="atLeast"/>
        </w:trPr>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25"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4146"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3"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3240"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ascii="仿宋" w:hAnsi="仿宋" w:eastAsia="仿宋" w:cs="仿宋"/>
                <w:color w:val="000000"/>
                <w:sz w:val="22"/>
                <w:szCs w:val="22"/>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4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0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765"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B991E13"/>
    <w:rsid w:val="0CA90420"/>
    <w:rsid w:val="0DE46181"/>
    <w:rsid w:val="0F690488"/>
    <w:rsid w:val="11DC45C4"/>
    <w:rsid w:val="144F741F"/>
    <w:rsid w:val="1460110F"/>
    <w:rsid w:val="157B319D"/>
    <w:rsid w:val="17713066"/>
    <w:rsid w:val="18755C9B"/>
    <w:rsid w:val="18904A43"/>
    <w:rsid w:val="18967E92"/>
    <w:rsid w:val="1AFF02A6"/>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2F4E1B2F"/>
    <w:rsid w:val="302B2BB8"/>
    <w:rsid w:val="319A78EE"/>
    <w:rsid w:val="33C9294F"/>
    <w:rsid w:val="344D1089"/>
    <w:rsid w:val="351077AD"/>
    <w:rsid w:val="356B73F7"/>
    <w:rsid w:val="37190D0A"/>
    <w:rsid w:val="39B35D5B"/>
    <w:rsid w:val="3C650EA2"/>
    <w:rsid w:val="3C882259"/>
    <w:rsid w:val="3D8D2DB2"/>
    <w:rsid w:val="3DBF3F38"/>
    <w:rsid w:val="40DC543A"/>
    <w:rsid w:val="44661788"/>
    <w:rsid w:val="447B51CD"/>
    <w:rsid w:val="48792D39"/>
    <w:rsid w:val="499C14F2"/>
    <w:rsid w:val="4A69625F"/>
    <w:rsid w:val="4B870AC0"/>
    <w:rsid w:val="4C281AB1"/>
    <w:rsid w:val="4C2B4AF1"/>
    <w:rsid w:val="530504E8"/>
    <w:rsid w:val="53D53D55"/>
    <w:rsid w:val="54FE107E"/>
    <w:rsid w:val="55163C24"/>
    <w:rsid w:val="5601198C"/>
    <w:rsid w:val="56104055"/>
    <w:rsid w:val="572C68E4"/>
    <w:rsid w:val="5CE85B58"/>
    <w:rsid w:val="5D731A92"/>
    <w:rsid w:val="603E5DB0"/>
    <w:rsid w:val="62A47E73"/>
    <w:rsid w:val="62A85D16"/>
    <w:rsid w:val="642660CF"/>
    <w:rsid w:val="64D12C3C"/>
    <w:rsid w:val="6647282C"/>
    <w:rsid w:val="678B2E0B"/>
    <w:rsid w:val="6988452D"/>
    <w:rsid w:val="699060B1"/>
    <w:rsid w:val="6C3F7D84"/>
    <w:rsid w:val="707D36D5"/>
    <w:rsid w:val="721C39A2"/>
    <w:rsid w:val="72B91FCA"/>
    <w:rsid w:val="755D3DB4"/>
    <w:rsid w:val="76FB7953"/>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1</TotalTime>
  <ScaleCrop>false</ScaleCrop>
  <LinksUpToDate>false</LinksUpToDate>
  <CharactersWithSpaces>3401</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新乡县残疾人联合会</cp:lastModifiedBy>
  <dcterms:modified xsi:type="dcterms:W3CDTF">2021-10-13T08:15:00Z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2BB3D6730ED14DADAED5BF6B7F50A499</vt:lpwstr>
  </property>
</Properties>
</file>