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pPr w:leftFromText="180" w:rightFromText="180" w:vertAnchor="text" w:horzAnchor="page" w:tblpX="697" w:tblpY="603"/>
        <w:tblOverlap w:val="never"/>
        <w:tblW w:w="4998" w:type="pct"/>
        <w:tblInd w:w="0" w:type="dxa"/>
        <w:tblLayout w:type="autofit"/>
        <w:tblCellMar>
          <w:top w:w="0" w:type="dxa"/>
          <w:left w:w="0" w:type="dxa"/>
          <w:bottom w:w="0" w:type="dxa"/>
          <w:right w:w="0" w:type="dxa"/>
        </w:tblCellMar>
      </w:tblPr>
      <w:tblGrid>
        <w:gridCol w:w="519"/>
        <w:gridCol w:w="4341"/>
        <w:gridCol w:w="1229"/>
        <w:gridCol w:w="645"/>
        <w:gridCol w:w="3762"/>
      </w:tblGrid>
      <w:tr>
        <w:tblPrEx>
          <w:tblCellMar>
            <w:top w:w="0" w:type="dxa"/>
            <w:left w:w="0" w:type="dxa"/>
            <w:bottom w:w="0" w:type="dxa"/>
            <w:right w:w="0" w:type="dxa"/>
          </w:tblCellMar>
        </w:tblPrEx>
        <w:trPr>
          <w:trHeight w:val="750" w:hRule="atLeast"/>
        </w:trPr>
        <w:tc>
          <w:tcPr>
            <w:tcW w:w="5000" w:type="pct"/>
            <w:gridSpan w:val="5"/>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44"/>
                <w:szCs w:val="44"/>
              </w:rPr>
            </w:pPr>
            <w:r>
              <w:rPr>
                <w:rFonts w:hint="eastAsia" w:ascii="宋体" w:hAnsi="宋体" w:cs="宋体"/>
                <w:b/>
                <w:color w:val="000000"/>
                <w:kern w:val="0"/>
                <w:sz w:val="44"/>
                <w:szCs w:val="44"/>
              </w:rPr>
              <w:t>部门（单位）整体绩效目标申报表</w:t>
            </w:r>
          </w:p>
        </w:tc>
      </w:tr>
      <w:tr>
        <w:tblPrEx>
          <w:tblCellMar>
            <w:top w:w="0" w:type="dxa"/>
            <w:left w:w="0" w:type="dxa"/>
            <w:bottom w:w="0" w:type="dxa"/>
            <w:right w:w="0" w:type="dxa"/>
          </w:tblCellMar>
        </w:tblPrEx>
        <w:trPr>
          <w:trHeight w:val="416" w:hRule="atLeast"/>
        </w:trPr>
        <w:tc>
          <w:tcPr>
            <w:tcW w:w="5000" w:type="pct"/>
            <w:gridSpan w:val="5"/>
            <w:tcBorders>
              <w:top w:val="nil"/>
              <w:left w:val="nil"/>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36"/>
                <w:szCs w:val="36"/>
              </w:rPr>
            </w:pPr>
            <w:r>
              <w:rPr>
                <w:rFonts w:hint="eastAsia" w:ascii="宋体" w:hAnsi="宋体" w:cs="宋体"/>
                <w:b/>
                <w:color w:val="000000"/>
                <w:kern w:val="0"/>
                <w:sz w:val="24"/>
              </w:rPr>
              <w:t>（</w:t>
            </w:r>
            <w:r>
              <w:rPr>
                <w:rFonts w:hint="eastAsia" w:ascii="宋体" w:hAnsi="宋体" w:cs="宋体"/>
                <w:b/>
                <w:color w:val="000000"/>
                <w:kern w:val="0"/>
                <w:sz w:val="24"/>
                <w:lang w:val="en-US" w:eastAsia="zh-CN"/>
              </w:rPr>
              <w:t>2021</w:t>
            </w:r>
            <w:r>
              <w:rPr>
                <w:rFonts w:hint="eastAsia" w:ascii="宋体" w:hAnsi="宋体" w:cs="宋体"/>
                <w:b/>
                <w:color w:val="000000"/>
                <w:kern w:val="0"/>
                <w:sz w:val="24"/>
              </w:rPr>
              <w:t>年度）</w:t>
            </w:r>
          </w:p>
        </w:tc>
      </w:tr>
      <w:tr>
        <w:tblPrEx>
          <w:tblCellMar>
            <w:top w:w="0" w:type="dxa"/>
            <w:left w:w="0" w:type="dxa"/>
            <w:bottom w:w="0" w:type="dxa"/>
            <w:right w:w="0" w:type="dxa"/>
          </w:tblCellMar>
        </w:tblPrEx>
        <w:trPr>
          <w:trHeight w:val="450" w:hRule="atLeast"/>
        </w:trPr>
        <w:tc>
          <w:tcPr>
            <w:tcW w:w="853"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部门（单位）名称</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b/>
                <w:color w:val="000000"/>
                <w:sz w:val="22"/>
                <w:szCs w:val="22"/>
                <w:lang w:eastAsia="zh-CN"/>
              </w:rPr>
            </w:pPr>
            <w:r>
              <w:rPr>
                <w:rFonts w:hint="eastAsia" w:ascii="仿宋" w:hAnsi="仿宋" w:eastAsia="仿宋" w:cs="仿宋"/>
                <w:b/>
                <w:color w:val="000000"/>
                <w:sz w:val="22"/>
                <w:szCs w:val="22"/>
                <w:lang w:eastAsia="zh-CN"/>
              </w:rPr>
              <w:t>新乡县水利局</w:t>
            </w:r>
          </w:p>
        </w:tc>
      </w:tr>
      <w:tr>
        <w:tblPrEx>
          <w:tblCellMar>
            <w:top w:w="0" w:type="dxa"/>
            <w:left w:w="0" w:type="dxa"/>
            <w:bottom w:w="0" w:type="dxa"/>
            <w:right w:w="0" w:type="dxa"/>
          </w:tblCellMar>
        </w:tblPrEx>
        <w:trPr>
          <w:trHeight w:val="45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年度履职目标</w:t>
            </w:r>
          </w:p>
        </w:tc>
        <w:tc>
          <w:tcPr>
            <w:tcW w:w="4593" w:type="pct"/>
            <w:gridSpan w:val="4"/>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spacing w:line="560" w:lineRule="exact"/>
              <w:ind w:firstLine="440" w:firstLineChars="200"/>
              <w:jc w:val="both"/>
              <w:rPr>
                <w:rFonts w:hint="eastAsia" w:ascii="仿宋" w:hAnsi="仿宋" w:eastAsia="仿宋" w:cs="宋体"/>
                <w:color w:val="000000"/>
                <w:kern w:val="0"/>
                <w:sz w:val="18"/>
                <w:szCs w:val="18"/>
                <w:lang w:bidi="ar"/>
              </w:rPr>
            </w:pPr>
            <w:r>
              <w:rPr>
                <w:rFonts w:hint="eastAsia" w:ascii="仿宋" w:hAnsi="仿宋" w:eastAsia="仿宋" w:cs="仿宋"/>
                <w:color w:val="000000"/>
                <w:kern w:val="0"/>
                <w:sz w:val="22"/>
                <w:szCs w:val="22"/>
              </w:rPr>
              <w:t>目标1：</w:t>
            </w:r>
            <w:r>
              <w:rPr>
                <w:rFonts w:hint="eastAsia" w:ascii="仿宋" w:hAnsi="仿宋" w:eastAsia="仿宋" w:cs="宋体"/>
                <w:color w:val="000000"/>
                <w:kern w:val="0"/>
                <w:sz w:val="18"/>
                <w:szCs w:val="18"/>
                <w:lang w:bidi="ar"/>
              </w:rPr>
              <w:t>组织开展中小型灌排工程建设、改造与管理，负责引黄灌溉工程管理，指导农村饮水安全工程建设与管理工作,指导节水灌溉有关工作；指导农村水利社会化服务体系建设和农村水利技术推广，指导水利扶贫工作；组织编制水土保持规划并监督实施,承担水土流失综合防治工作，组织水土流失监测、预报并公告,负责生产建设项目水土保持方案审核并监督实施，负责县级水土保持补偿费征收管理工作。</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lang w:val="en-US" w:eastAsia="zh-CN"/>
              </w:rPr>
              <w:t xml:space="preserve">    </w:t>
            </w:r>
            <w:r>
              <w:rPr>
                <w:rFonts w:hint="eastAsia" w:ascii="仿宋" w:hAnsi="仿宋" w:eastAsia="仿宋" w:cs="仿宋"/>
                <w:color w:val="000000"/>
                <w:kern w:val="0"/>
                <w:sz w:val="22"/>
                <w:szCs w:val="22"/>
              </w:rPr>
              <w:t>目标2：</w:t>
            </w:r>
            <w:r>
              <w:rPr>
                <w:rFonts w:hint="eastAsia" w:ascii="仿宋" w:hAnsi="仿宋" w:eastAsia="仿宋" w:cs="宋体"/>
                <w:color w:val="000000"/>
                <w:kern w:val="0"/>
                <w:sz w:val="18"/>
                <w:szCs w:val="18"/>
                <w:lang w:bidi="ar"/>
              </w:rPr>
              <w:t>负责全县全面推行河长制工作，拟定有关工作计划、政策、制度等；负责落实河长制工作任务的组织协调、督导、检查、考核等；协调解决河湖管理保护重大问题和重点事项</w:t>
            </w:r>
            <w:r>
              <w:rPr>
                <w:rFonts w:hint="eastAsia" w:ascii="仿宋" w:hAnsi="仿宋" w:eastAsia="仿宋" w:cs="宋体"/>
                <w:color w:val="000000"/>
                <w:kern w:val="0"/>
                <w:sz w:val="18"/>
                <w:szCs w:val="18"/>
                <w:lang w:eastAsia="zh-CN" w:bidi="ar"/>
              </w:rPr>
              <w:t>。</w:t>
            </w:r>
            <w:r>
              <w:rPr>
                <w:rFonts w:hint="eastAsia" w:ascii="仿宋" w:hAnsi="仿宋" w:eastAsia="仿宋" w:cs="宋体"/>
                <w:color w:val="000000"/>
                <w:kern w:val="0"/>
                <w:sz w:val="18"/>
                <w:szCs w:val="18"/>
                <w:lang w:bidi="ar"/>
              </w:rPr>
              <w:t>负责水域及其岸线、水利设施的管理、保护和综合利用;指导河道、湖泊、水库及河口、滩地的开发、治理和保护;组织编制水库运行调度规程,组织实施河道管理范围内工程建设方案审查制度；指导水库、堤防、水闸等水利工程的运行管理与确权划界；组织开展水库大坝、堤防、水闸安全监测、鉴定及注册登记工作，指导水库养殖工作；组织指导河湖生态流量水量管理、河湖水生态保护与修复、河湖生态水系连通工作；对口承担上级水利部门与河道采砂相关的工作；对口承担涉及水利工程的相关移民工作。</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lang w:val="en-US" w:eastAsia="zh-CN"/>
              </w:rPr>
              <w:t xml:space="preserve">     </w:t>
            </w:r>
            <w:r>
              <w:rPr>
                <w:rFonts w:hint="eastAsia" w:ascii="仿宋" w:hAnsi="仿宋" w:eastAsia="仿宋" w:cs="仿宋"/>
                <w:color w:val="000000"/>
                <w:kern w:val="0"/>
                <w:sz w:val="22"/>
                <w:szCs w:val="22"/>
              </w:rPr>
              <w:t>目标3：</w:t>
            </w:r>
            <w:r>
              <w:rPr>
                <w:rFonts w:hint="eastAsia" w:ascii="仿宋" w:hAnsi="仿宋" w:eastAsia="仿宋" w:cs="宋体"/>
                <w:color w:val="000000"/>
                <w:kern w:val="0"/>
                <w:sz w:val="18"/>
                <w:szCs w:val="18"/>
                <w:lang w:bidi="ar"/>
              </w:rPr>
              <w:t>指导全县水利工程建设，按规定制定水利工程建设有关制度和重大事故应急预案并监督实施；指导水利工程建设质量、安全、进度管理工作；负责水利工程质量和安全监督、检查、考核工作；组织实施水利工程建设安全生产监督管理工作；组织指导水利工程蓄水安全鉴定和验收，负责病险水库并指导水闸等重要水利工程的除险加固工作;指导水利建设市场的监督管理和水利建设市场信用体系建设；承担水利统计工作。</w:t>
            </w:r>
          </w:p>
          <w:p>
            <w:pPr>
              <w:widowControl/>
              <w:jc w:val="left"/>
              <w:textAlignment w:val="center"/>
              <w:rPr>
                <w:rFonts w:ascii="仿宋" w:hAnsi="仿宋" w:eastAsia="仿宋" w:cs="仿宋"/>
                <w:color w:val="000000"/>
                <w:sz w:val="22"/>
                <w:szCs w:val="22"/>
              </w:rPr>
            </w:pPr>
          </w:p>
        </w:tc>
      </w:tr>
      <w:tr>
        <w:tblPrEx>
          <w:tblCellMar>
            <w:top w:w="0" w:type="dxa"/>
            <w:left w:w="0" w:type="dxa"/>
            <w:bottom w:w="0" w:type="dxa"/>
            <w:right w:w="0" w:type="dxa"/>
          </w:tblCellMar>
        </w:tblPrEx>
        <w:trPr>
          <w:trHeight w:val="45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400" w:hRule="atLeast"/>
        </w:trPr>
        <w:tc>
          <w:tcPr>
            <w:tcW w:w="40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年度主要任务</w:t>
            </w: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任务名称</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主要内容</w:t>
            </w:r>
          </w:p>
        </w:tc>
      </w:tr>
      <w:tr>
        <w:tblPrEx>
          <w:tblCellMar>
            <w:top w:w="0" w:type="dxa"/>
            <w:left w:w="0" w:type="dxa"/>
            <w:bottom w:w="0" w:type="dxa"/>
            <w:right w:w="0" w:type="dxa"/>
          </w:tblCellMar>
        </w:tblPrEx>
        <w:trPr>
          <w:trHeight w:val="1088"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18"/>
                <w:szCs w:val="18"/>
              </w:rPr>
            </w:pPr>
            <w:r>
              <w:rPr>
                <w:rFonts w:hint="eastAsia" w:ascii="仿宋" w:hAnsi="仿宋" w:eastAsia="仿宋" w:cs="仿宋"/>
                <w:kern w:val="0"/>
                <w:sz w:val="18"/>
                <w:szCs w:val="18"/>
              </w:rPr>
              <w:t>二支排河道清洁专项整治行动（化肥厂至刘店段）一标段</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18"/>
                <w:szCs w:val="18"/>
              </w:rPr>
            </w:pPr>
            <w:r>
              <w:rPr>
                <w:rFonts w:hint="eastAsia" w:ascii="仿宋" w:hAnsi="仿宋" w:eastAsia="仿宋" w:cs="仿宋"/>
                <w:kern w:val="0"/>
                <w:sz w:val="18"/>
                <w:szCs w:val="18"/>
                <w:lang w:eastAsia="zh-CN"/>
              </w:rPr>
              <w:t>河堤清淤、两岸河坡整治</w:t>
            </w:r>
            <w:r>
              <w:rPr>
                <w:rFonts w:hint="eastAsia" w:ascii="仿宋" w:hAnsi="仿宋" w:eastAsia="仿宋" w:cs="仿宋"/>
                <w:kern w:val="0"/>
                <w:sz w:val="18"/>
                <w:szCs w:val="18"/>
                <w:lang w:val="en-US" w:eastAsia="zh-CN"/>
              </w:rPr>
              <w:t>2.763千米，生产桥1座</w:t>
            </w:r>
          </w:p>
        </w:tc>
      </w:tr>
      <w:tr>
        <w:tblPrEx>
          <w:tblCellMar>
            <w:top w:w="0" w:type="dxa"/>
            <w:left w:w="0" w:type="dxa"/>
            <w:bottom w:w="0" w:type="dxa"/>
            <w:right w:w="0" w:type="dxa"/>
          </w:tblCellMar>
        </w:tblPrEx>
        <w:trPr>
          <w:trHeight w:val="61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18"/>
                <w:szCs w:val="18"/>
              </w:rPr>
            </w:pPr>
            <w:r>
              <w:rPr>
                <w:rFonts w:hint="eastAsia" w:ascii="仿宋" w:hAnsi="仿宋" w:eastAsia="仿宋" w:cs="仿宋"/>
                <w:kern w:val="0"/>
                <w:sz w:val="18"/>
                <w:szCs w:val="18"/>
              </w:rPr>
              <w:t>新乡县卫河堤顶道路及堤防灾后修复工程　</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18"/>
                <w:szCs w:val="18"/>
              </w:rPr>
            </w:pPr>
            <w:r>
              <w:rPr>
                <w:rFonts w:hint="eastAsia" w:ascii="仿宋" w:hAnsi="仿宋" w:eastAsia="仿宋" w:cs="仿宋"/>
                <w:kern w:val="0"/>
                <w:sz w:val="18"/>
                <w:szCs w:val="18"/>
              </w:rPr>
              <w:t>堤顶损坏道路修复</w:t>
            </w:r>
            <w:r>
              <w:rPr>
                <w:rFonts w:ascii="仿宋" w:hAnsi="仿宋" w:eastAsia="仿宋" w:cs="仿宋"/>
                <w:kern w:val="0"/>
                <w:sz w:val="18"/>
                <w:szCs w:val="18"/>
              </w:rPr>
              <w:t>0.6km</w:t>
            </w:r>
            <w:r>
              <w:rPr>
                <w:rFonts w:hint="eastAsia" w:ascii="仿宋" w:hAnsi="仿宋" w:eastAsia="仿宋" w:cs="仿宋"/>
                <w:kern w:val="0"/>
                <w:sz w:val="18"/>
                <w:szCs w:val="18"/>
              </w:rPr>
              <w:t>，堤防决口修复5处</w:t>
            </w:r>
          </w:p>
        </w:tc>
      </w:tr>
      <w:tr>
        <w:tblPrEx>
          <w:tblCellMar>
            <w:top w:w="0" w:type="dxa"/>
            <w:left w:w="0" w:type="dxa"/>
            <w:bottom w:w="0" w:type="dxa"/>
            <w:right w:w="0" w:type="dxa"/>
          </w:tblCellMar>
        </w:tblPrEx>
        <w:trPr>
          <w:trHeight w:val="54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b w:val="0"/>
                <w:bCs w:val="0"/>
                <w:color w:val="000000"/>
                <w:sz w:val="18"/>
                <w:szCs w:val="18"/>
                <w:lang w:val="en-US" w:eastAsia="zh-CN"/>
              </w:rPr>
            </w:pPr>
            <w:r>
              <w:rPr>
                <w:rFonts w:hint="eastAsia" w:ascii="仿宋" w:hAnsi="仿宋" w:eastAsia="仿宋" w:cs="仿宋"/>
                <w:kern w:val="0"/>
                <w:sz w:val="18"/>
                <w:szCs w:val="18"/>
              </w:rPr>
              <w:t>新乡县卫河堤顶道路工程</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b w:val="0"/>
                <w:bCs w:val="0"/>
                <w:color w:val="000000"/>
                <w:sz w:val="18"/>
                <w:szCs w:val="18"/>
                <w:lang w:eastAsia="zh-CN"/>
              </w:rPr>
            </w:pPr>
            <w:r>
              <w:rPr>
                <w:rFonts w:hint="eastAsia" w:ascii="仿宋" w:hAnsi="仿宋" w:eastAsia="仿宋" w:cs="仿宋"/>
                <w:kern w:val="0"/>
                <w:sz w:val="18"/>
                <w:szCs w:val="18"/>
              </w:rPr>
              <w:t>堤顶道路硬化长度</w:t>
            </w:r>
            <w:r>
              <w:rPr>
                <w:rFonts w:ascii="仿宋" w:hAnsi="仿宋" w:eastAsia="仿宋" w:cs="仿宋"/>
                <w:kern w:val="0"/>
                <w:sz w:val="18"/>
                <w:szCs w:val="18"/>
              </w:rPr>
              <w:t>4.813km</w:t>
            </w:r>
          </w:p>
        </w:tc>
      </w:tr>
      <w:tr>
        <w:tblPrEx>
          <w:tblCellMar>
            <w:top w:w="0" w:type="dxa"/>
            <w:left w:w="0" w:type="dxa"/>
            <w:bottom w:w="0" w:type="dxa"/>
            <w:right w:w="0" w:type="dxa"/>
          </w:tblCellMar>
        </w:tblPrEx>
        <w:trPr>
          <w:trHeight w:val="1013"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18"/>
                <w:szCs w:val="18"/>
              </w:rPr>
            </w:pPr>
            <w:r>
              <w:rPr>
                <w:rFonts w:hint="eastAsia" w:ascii="仿宋" w:hAnsi="仿宋" w:eastAsia="仿宋" w:cs="仿宋"/>
                <w:kern w:val="0"/>
                <w:sz w:val="18"/>
                <w:szCs w:val="18"/>
              </w:rPr>
              <w:t>二支排河道清洁专项整治行动五标段（化肥厂至刘店）</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18"/>
                <w:szCs w:val="18"/>
              </w:rPr>
            </w:pPr>
            <w:r>
              <w:rPr>
                <w:rFonts w:hint="eastAsia" w:ascii="仿宋" w:hAnsi="仿宋" w:eastAsia="仿宋" w:cs="仿宋"/>
                <w:kern w:val="0"/>
                <w:sz w:val="18"/>
                <w:szCs w:val="18"/>
                <w:lang w:eastAsia="zh-CN"/>
              </w:rPr>
              <w:t>河堤清淤、两岸河坡整治</w:t>
            </w:r>
            <w:r>
              <w:rPr>
                <w:rFonts w:hint="eastAsia" w:ascii="仿宋" w:hAnsi="仿宋" w:eastAsia="仿宋" w:cs="仿宋"/>
                <w:kern w:val="0"/>
                <w:sz w:val="18"/>
                <w:szCs w:val="18"/>
                <w:lang w:val="en-US" w:eastAsia="zh-CN"/>
              </w:rPr>
              <w:t>1.94千米，钢筋混凝土渠道210米，生产桥2座</w:t>
            </w:r>
          </w:p>
        </w:tc>
      </w:tr>
      <w:tr>
        <w:tblPrEx>
          <w:tblCellMar>
            <w:top w:w="0" w:type="dxa"/>
            <w:left w:w="0" w:type="dxa"/>
            <w:bottom w:w="0" w:type="dxa"/>
            <w:right w:w="0" w:type="dxa"/>
          </w:tblCellMar>
        </w:tblPrEx>
        <w:trPr>
          <w:trHeight w:val="525"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4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预算情况</w:t>
            </w:r>
          </w:p>
        </w:tc>
        <w:tc>
          <w:tcPr>
            <w:tcW w:w="135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年度部门预算总额（万元）</w:t>
            </w:r>
          </w:p>
        </w:tc>
        <w:tc>
          <w:tcPr>
            <w:tcW w:w="3241"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296.63</w:t>
            </w:r>
          </w:p>
        </w:tc>
      </w:tr>
      <w:tr>
        <w:tblPrEx>
          <w:tblCellMar>
            <w:top w:w="0" w:type="dxa"/>
            <w:left w:w="0" w:type="dxa"/>
            <w:bottom w:w="0" w:type="dxa"/>
            <w:right w:w="0" w:type="dxa"/>
          </w:tblCellMar>
        </w:tblPrEx>
        <w:trPr>
          <w:trHeight w:val="4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1、资金来源：（1）财政性资金</w:t>
            </w:r>
          </w:p>
        </w:tc>
        <w:tc>
          <w:tcPr>
            <w:tcW w:w="3241"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r>
              <w:rPr>
                <w:rFonts w:hint="eastAsia" w:ascii="仿宋" w:hAnsi="仿宋" w:eastAsia="仿宋" w:cs="仿宋"/>
                <w:b/>
                <w:color w:val="000000"/>
                <w:sz w:val="22"/>
                <w:szCs w:val="22"/>
                <w:lang w:val="en-US" w:eastAsia="zh-CN"/>
              </w:rPr>
              <w:t>296.63</w:t>
            </w:r>
          </w:p>
        </w:tc>
      </w:tr>
      <w:tr>
        <w:tblPrEx>
          <w:tblCellMar>
            <w:top w:w="0" w:type="dxa"/>
            <w:left w:w="0" w:type="dxa"/>
            <w:bottom w:w="0" w:type="dxa"/>
            <w:right w:w="0" w:type="dxa"/>
          </w:tblCellMar>
        </w:tblPrEx>
        <w:trPr>
          <w:trHeight w:val="3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（2）其他资金</w:t>
            </w:r>
          </w:p>
        </w:tc>
        <w:tc>
          <w:tcPr>
            <w:tcW w:w="3241"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0</w:t>
            </w:r>
          </w:p>
        </w:tc>
      </w:tr>
      <w:tr>
        <w:tblPrEx>
          <w:tblCellMar>
            <w:top w:w="0" w:type="dxa"/>
            <w:left w:w="0" w:type="dxa"/>
            <w:bottom w:w="0" w:type="dxa"/>
            <w:right w:w="0" w:type="dxa"/>
          </w:tblCellMar>
        </w:tblPrEx>
        <w:trPr>
          <w:trHeight w:val="4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2、资金结构：（1）基本支出</w:t>
            </w:r>
          </w:p>
        </w:tc>
        <w:tc>
          <w:tcPr>
            <w:tcW w:w="3241"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0</w:t>
            </w:r>
          </w:p>
        </w:tc>
      </w:tr>
      <w:tr>
        <w:tblPrEx>
          <w:tblCellMar>
            <w:top w:w="0" w:type="dxa"/>
            <w:left w:w="0" w:type="dxa"/>
            <w:bottom w:w="0" w:type="dxa"/>
            <w:right w:w="0" w:type="dxa"/>
          </w:tblCellMar>
        </w:tblPrEx>
        <w:trPr>
          <w:trHeight w:val="4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（2）项目支出</w:t>
            </w:r>
          </w:p>
        </w:tc>
        <w:tc>
          <w:tcPr>
            <w:tcW w:w="3241"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296.63</w:t>
            </w:r>
          </w:p>
        </w:tc>
      </w:tr>
      <w:tr>
        <w:tblPrEx>
          <w:tblCellMar>
            <w:top w:w="0" w:type="dxa"/>
            <w:left w:w="0" w:type="dxa"/>
            <w:bottom w:w="0" w:type="dxa"/>
            <w:right w:w="0" w:type="dxa"/>
          </w:tblCellMar>
        </w:tblPrEx>
        <w:trPr>
          <w:trHeight w:val="540" w:hRule="atLeast"/>
        </w:trPr>
        <w:tc>
          <w:tcPr>
            <w:tcW w:w="4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一级指标</w:t>
            </w:r>
          </w:p>
        </w:tc>
        <w:tc>
          <w:tcPr>
            <w:tcW w:w="44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二级指标</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三级指标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指标值说明</w:t>
            </w:r>
          </w:p>
        </w:tc>
      </w:tr>
      <w:tr>
        <w:tblPrEx>
          <w:tblCellMar>
            <w:top w:w="0" w:type="dxa"/>
            <w:left w:w="0" w:type="dxa"/>
            <w:bottom w:w="0" w:type="dxa"/>
            <w:right w:w="0" w:type="dxa"/>
          </w:tblCellMar>
        </w:tblPrEx>
        <w:trPr>
          <w:trHeight w:val="128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44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工作目标管理</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年度履职目标相关性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相关</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年度履职目标是否符合国家、省、市委市政府战略部署和发展规划，与国家、省、市宏观政策、行业政策一致；2.年度履职目标是否与部门（单位）职责、工作规划和重点工作相关；3.确定的预算项目是否合理，是否与工作目标密切相关；4.工作任务和项目预算安排是否合理。</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工作任务科学性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科学</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是否有明确的绩效目标，绩效目标是否与部门（单位）年度履职目标一致，是否能体现工作任务的产出和效果；2.工作任务对应的预算项目是否有明确的绩效目标，绩效目标是否与部门（单位）职责目标、工作任务目标一致，是否能体现预算项目的产出和效果</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绩效指标合理性</w:t>
            </w:r>
          </w:p>
        </w:tc>
        <w:tc>
          <w:tcPr>
            <w:tcW w:w="47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2"/>
                <w:szCs w:val="22"/>
                <w:lang w:eastAsia="zh-CN"/>
              </w:rPr>
            </w:pPr>
            <w:r>
              <w:rPr>
                <w:rFonts w:hint="eastAsia" w:ascii="仿宋" w:hAnsi="仿宋" w:eastAsia="仿宋" w:cs="仿宋"/>
                <w:color w:val="000000"/>
                <w:sz w:val="22"/>
                <w:szCs w:val="22"/>
                <w:lang w:eastAsia="zh-CN"/>
              </w:rPr>
              <w:t>合理</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预算项目绩效指标设置是否准确反映部门（单位）绩效完成情况；2.工作任务、预算项目绩效指标是否清晰、细化、可评价、可衡量；3.工作任务、预算项目绩效指标的评价标准是否清晰、可衡量；4.是否与部门（单位）年度的任务数或计划数相对应。</w:t>
            </w:r>
          </w:p>
        </w:tc>
      </w:tr>
      <w:tr>
        <w:tblPrEx>
          <w:tblCellMar>
            <w:top w:w="0" w:type="dxa"/>
            <w:left w:w="0" w:type="dxa"/>
            <w:bottom w:w="0" w:type="dxa"/>
            <w:right w:w="0" w:type="dxa"/>
          </w:tblCellMar>
        </w:tblPrEx>
        <w:trPr>
          <w:trHeight w:val="9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预算编制完整性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完整</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1.部门（单位）所有收入是否全部纳入部门（单位）预算；2.部门（单位）支出预算是否统筹各类资金来源，全部纳入部门（单位）预算管理。</w:t>
            </w:r>
          </w:p>
        </w:tc>
      </w:tr>
      <w:tr>
        <w:tblPrEx>
          <w:tblCellMar>
            <w:top w:w="0" w:type="dxa"/>
            <w:left w:w="0" w:type="dxa"/>
            <w:bottom w:w="0" w:type="dxa"/>
            <w:right w:w="0" w:type="dxa"/>
          </w:tblCellMar>
        </w:tblPrEx>
        <w:trPr>
          <w:trHeight w:val="6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专项资金细化率=（已细化到具体县区和承担单位的资金数/部门（单位）参与分配资金总数）×100%。</w:t>
            </w:r>
          </w:p>
        </w:tc>
      </w:tr>
      <w:tr>
        <w:tblPrEx>
          <w:tblCellMar>
            <w:top w:w="0" w:type="dxa"/>
            <w:left w:w="0" w:type="dxa"/>
            <w:bottom w:w="0" w:type="dxa"/>
            <w:right w:w="0" w:type="dxa"/>
          </w:tblCellMar>
        </w:tblPrEx>
        <w:trPr>
          <w:trHeight w:val="10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eastAsia="zh-CN"/>
              </w:rPr>
              <w:t>≥</w:t>
            </w:r>
            <w:r>
              <w:rPr>
                <w:rFonts w:hint="eastAsia" w:ascii="仿宋" w:hAnsi="仿宋" w:eastAsia="仿宋" w:cs="仿宋"/>
                <w:color w:val="000000"/>
                <w:sz w:val="20"/>
                <w:szCs w:val="20"/>
                <w:lang w:val="en-US" w:eastAsia="zh-CN"/>
              </w:rPr>
              <w:t>90%</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预算执行率=（预算完成数/预算数）×100%。预算完成数指部门（单位）实际执行的预算数；预算数指财政部门批复的本年度部门（单位）的（调整）预算数。</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eastAsia="zh-CN"/>
              </w:rPr>
              <w:t>≤</w:t>
            </w:r>
            <w:r>
              <w:rPr>
                <w:rFonts w:hint="eastAsia" w:ascii="仿宋" w:hAnsi="仿宋" w:eastAsia="仿宋" w:cs="仿宋"/>
                <w:color w:val="000000"/>
                <w:sz w:val="20"/>
                <w:szCs w:val="20"/>
                <w:lang w:val="en-US" w:eastAsia="zh-CN"/>
              </w:rPr>
              <w:t>20%</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预算调整数-年初预算数）/年初预算数×100%。预算调整数：部门（单位）在本年度内涉及预算的追加、追减或结构调整的资金总和（因落实国家政策、发生不可抗力、上级部门或本级党委政府临时交办而产生的调整除外）。</w:t>
            </w:r>
          </w:p>
        </w:tc>
      </w:tr>
      <w:tr>
        <w:tblPrEx>
          <w:tblCellMar>
            <w:top w:w="0" w:type="dxa"/>
            <w:left w:w="0" w:type="dxa"/>
            <w:bottom w:w="0" w:type="dxa"/>
            <w:right w:w="0" w:type="dxa"/>
          </w:tblCellMar>
        </w:tblPrEx>
        <w:trPr>
          <w:trHeight w:val="9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eastAsia="zh-CN"/>
              </w:rPr>
              <w:t>≤</w:t>
            </w:r>
            <w:r>
              <w:rPr>
                <w:rFonts w:hint="eastAsia" w:ascii="仿宋" w:hAnsi="仿宋" w:eastAsia="仿宋" w:cs="仿宋"/>
                <w:color w:val="000000"/>
                <w:sz w:val="20"/>
                <w:szCs w:val="20"/>
                <w:lang w:val="en-US" w:eastAsia="zh-CN"/>
              </w:rPr>
              <w:t>5%</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结转结余率=结转结余总额/预算数*100%。结转结余总额是指部门（单位）本年度的结转结余资金之和。预算数是指财政部门批复的本年度部门（单位）的（调整）预算数。</w:t>
            </w:r>
          </w:p>
        </w:tc>
      </w:tr>
      <w:tr>
        <w:tblPrEx>
          <w:tblCellMar>
            <w:top w:w="0" w:type="dxa"/>
            <w:left w:w="0" w:type="dxa"/>
            <w:bottom w:w="0" w:type="dxa"/>
            <w:right w:w="0" w:type="dxa"/>
          </w:tblCellMar>
        </w:tblPrEx>
        <w:trPr>
          <w:trHeight w:val="7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“三公经费”控制率=本年度“三公经费”实际支出数/“三公经费”预算数*100%</w:t>
            </w:r>
          </w:p>
        </w:tc>
      </w:tr>
      <w:tr>
        <w:tblPrEx>
          <w:tblCellMar>
            <w:top w:w="0" w:type="dxa"/>
            <w:left w:w="0" w:type="dxa"/>
            <w:bottom w:w="0" w:type="dxa"/>
            <w:right w:w="0" w:type="dxa"/>
          </w:tblCellMar>
        </w:tblPrEx>
        <w:trPr>
          <w:trHeight w:val="10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eastAsia="zh-CN"/>
              </w:rPr>
              <w:t>≥</w:t>
            </w:r>
            <w:r>
              <w:rPr>
                <w:rFonts w:hint="eastAsia" w:ascii="仿宋" w:hAnsi="仿宋" w:eastAsia="仿宋" w:cs="仿宋"/>
                <w:color w:val="000000"/>
                <w:sz w:val="20"/>
                <w:szCs w:val="20"/>
                <w:lang w:val="en-US" w:eastAsia="zh-CN"/>
              </w:rPr>
              <w:t>90%</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政府采购执行率=（实际政府采购金额/政府采购预算数）×100%。政府采购预算：采购机关根据事业发展计划和行政任务编制的、并经过规定程序批准的年度政府采购计划。</w:t>
            </w:r>
          </w:p>
        </w:tc>
      </w:tr>
      <w:tr>
        <w:tblPrEx>
          <w:tblCellMar>
            <w:top w:w="0" w:type="dxa"/>
            <w:left w:w="0" w:type="dxa"/>
            <w:bottom w:w="0" w:type="dxa"/>
            <w:right w:w="0" w:type="dxa"/>
          </w:tblCellMar>
        </w:tblPrEx>
        <w:trPr>
          <w:trHeight w:val="52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决算真实性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真实</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决算编制数据是否账表一致，即决算报表数据与会计账簿数据是否一致。</w:t>
            </w:r>
          </w:p>
        </w:tc>
      </w:tr>
      <w:tr>
        <w:tblPrEx>
          <w:tblCellMar>
            <w:top w:w="0" w:type="dxa"/>
            <w:left w:w="0" w:type="dxa"/>
            <w:bottom w:w="0" w:type="dxa"/>
            <w:right w:w="0" w:type="dxa"/>
          </w:tblCellMar>
        </w:tblPrEx>
        <w:trPr>
          <w:trHeight w:val="2160" w:hRule="atLeast"/>
        </w:trPr>
        <w:tc>
          <w:tcPr>
            <w:tcW w:w="40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447"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04"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资金使用合规性</w:t>
            </w:r>
          </w:p>
        </w:tc>
        <w:tc>
          <w:tcPr>
            <w:tcW w:w="474"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合规</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CellMar>
            <w:top w:w="0" w:type="dxa"/>
            <w:left w:w="0" w:type="dxa"/>
            <w:bottom w:w="0" w:type="dxa"/>
            <w:right w:w="0" w:type="dxa"/>
          </w:tblCellMar>
        </w:tblPrEx>
        <w:trPr>
          <w:trHeight w:val="16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管理制度健全性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健全</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CellMar>
            <w:top w:w="0" w:type="dxa"/>
            <w:left w:w="0" w:type="dxa"/>
            <w:bottom w:w="0" w:type="dxa"/>
            <w:right w:w="0" w:type="dxa"/>
          </w:tblCellMar>
        </w:tblPrEx>
        <w:trPr>
          <w:trHeight w:val="12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预决算信息公开性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及时公开</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政府信息公开有关规定公开部门（单位）预算、执行、决算、监督、绩效等相关预决算信息，用以反映和考核部门（单位）预决算管理的公开透明情况。1.是否按规定内容公开预决算信息；2.是否按规定时限公开预决算信息。</w:t>
            </w:r>
          </w:p>
        </w:tc>
      </w:tr>
      <w:tr>
        <w:tblPrEx>
          <w:tblCellMar>
            <w:top w:w="0" w:type="dxa"/>
            <w:left w:w="0" w:type="dxa"/>
            <w:bottom w:w="0" w:type="dxa"/>
            <w:right w:w="0" w:type="dxa"/>
          </w:tblCellMar>
        </w:tblPrEx>
        <w:trPr>
          <w:trHeight w:val="17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资产管理规范性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规范</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的资产配置、使用是否合规，处置是否规范，收入是否及时足额上缴，用以反映和考核部门（单位）资产管理的规范程度。1.是否建立资产台账，资产报表数据与会计账簿数据是否相符；2.新增资产是否符合规定程序和规定标准；3.资产对外使用（出租等）、资产处置事项是否按规定报批；4.资产收益是否及时足额上交财政。</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绩效管理</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事前评估完成率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部门（单位）按要求实施事前评估的项目数量占应实施绩效评估项目总数的比重。部门（单位）事前评估完成率=已完成事前评估项目数量/部门（单位）应事前评估项目总数*100%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部门（单位）按要求实施绩效监控的项目数量占应实施绩效监控项目总数的比重。部门（单位）绩效监控完成率=已完成绩效监控项目数量/部门（单位）项目总数*100%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绩效自评完成率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lang w:val="en-US" w:eastAsia="zh-CN"/>
              </w:rPr>
              <w:t>100%</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部门（单位）按要求实施绩效自评的项目数量占应实施绩效自评项目总数的比重。部门（单位）绩效自评完成率=已完成评价项目数量/部门（单位）项目总数*100%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部门评价完成率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lang w:val="en-US" w:eastAsia="zh-CN"/>
              </w:rPr>
              <w:t>100%</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部门重点绩效评价项目评价完成情况。部门评价完成率=已完成评价项目数量/部门重点绩效评价项目数*100%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评价结果应用率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lang w:val="en-US" w:eastAsia="zh-CN"/>
              </w:rPr>
              <w:t>100%</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绩效监控、单位自评、部门评价、财政评价结果应用情况。评价结果应用率=评价提出的意见建议采纳数/提出的意见建议总数*100%</w:t>
            </w:r>
          </w:p>
        </w:tc>
      </w:tr>
      <w:tr>
        <w:tblPrEx>
          <w:tblCellMar>
            <w:top w:w="0" w:type="dxa"/>
            <w:left w:w="0" w:type="dxa"/>
            <w:bottom w:w="0" w:type="dxa"/>
            <w:right w:w="0" w:type="dxa"/>
          </w:tblCellMar>
        </w:tblPrEx>
        <w:trPr>
          <w:trHeight w:val="54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产出指标</w:t>
            </w:r>
          </w:p>
        </w:tc>
        <w:tc>
          <w:tcPr>
            <w:tcW w:w="44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重点工作任务完成</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重点工作1计划完成率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kern w:val="2"/>
                <w:sz w:val="20"/>
                <w:szCs w:val="20"/>
                <w:lang w:val="en-US" w:eastAsia="zh-CN" w:bidi="ar-SA"/>
              </w:rPr>
            </w:pPr>
            <w:r>
              <w:rPr>
                <w:rFonts w:hint="eastAsia" w:ascii="仿宋" w:hAnsi="仿宋" w:eastAsia="仿宋" w:cs="仿宋"/>
                <w:color w:val="000000"/>
                <w:sz w:val="20"/>
                <w:szCs w:val="20"/>
                <w:lang w:val="en-US" w:eastAsia="zh-CN"/>
              </w:rPr>
              <w:t>100%</w:t>
            </w:r>
          </w:p>
        </w:tc>
        <w:tc>
          <w:tcPr>
            <w:tcW w:w="276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分项具体列示本部门（单位）重点工作任务推进情况，相关情况应予以细化、量化表述。</w:t>
            </w:r>
          </w:p>
        </w:tc>
      </w:tr>
      <w:tr>
        <w:tblPrEx>
          <w:tblCellMar>
            <w:top w:w="0" w:type="dxa"/>
            <w:left w:w="0" w:type="dxa"/>
            <w:bottom w:w="0" w:type="dxa"/>
            <w:right w:w="0" w:type="dxa"/>
          </w:tblCellMar>
        </w:tblPrEx>
        <w:trPr>
          <w:trHeight w:val="5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重点工作2计划完成率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kern w:val="2"/>
                <w:sz w:val="20"/>
                <w:szCs w:val="20"/>
                <w:lang w:val="en-US" w:eastAsia="zh-CN" w:bidi="ar-SA"/>
              </w:rPr>
            </w:pPr>
            <w:r>
              <w:rPr>
                <w:rFonts w:hint="eastAsia" w:ascii="仿宋" w:hAnsi="仿宋" w:eastAsia="仿宋" w:cs="仿宋"/>
                <w:color w:val="000000"/>
                <w:sz w:val="20"/>
                <w:szCs w:val="20"/>
                <w:lang w:val="en-US" w:eastAsia="zh-CN"/>
              </w:rPr>
              <w:t>100%</w:t>
            </w:r>
          </w:p>
        </w:tc>
        <w:tc>
          <w:tcPr>
            <w:tcW w:w="27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3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履职目标实现</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年度工作目标1实现率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kern w:val="2"/>
                <w:sz w:val="20"/>
                <w:szCs w:val="20"/>
                <w:lang w:val="en-US" w:eastAsia="zh-CN" w:bidi="ar-SA"/>
              </w:rPr>
            </w:pPr>
            <w:r>
              <w:rPr>
                <w:rFonts w:hint="eastAsia" w:ascii="仿宋" w:hAnsi="仿宋" w:eastAsia="仿宋" w:cs="仿宋"/>
                <w:color w:val="000000"/>
                <w:sz w:val="20"/>
                <w:szCs w:val="20"/>
                <w:lang w:val="en-US" w:eastAsia="zh-CN"/>
              </w:rPr>
              <w:t>100%</w:t>
            </w:r>
          </w:p>
        </w:tc>
        <w:tc>
          <w:tcPr>
            <w:tcW w:w="276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分项具体列示本部门（单位）年度工作目标达成情况，相关情况应予以细化、量化表述。</w:t>
            </w:r>
          </w:p>
        </w:tc>
      </w:tr>
      <w:tr>
        <w:tblPrEx>
          <w:tblCellMar>
            <w:top w:w="0" w:type="dxa"/>
            <w:left w:w="0" w:type="dxa"/>
            <w:bottom w:w="0" w:type="dxa"/>
            <w:right w:w="0" w:type="dxa"/>
          </w:tblCellMar>
        </w:tblPrEx>
        <w:trPr>
          <w:trHeight w:val="3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年度工作目标2实现率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kern w:val="2"/>
                <w:sz w:val="20"/>
                <w:szCs w:val="20"/>
                <w:lang w:val="en-US" w:eastAsia="zh-CN" w:bidi="ar-SA"/>
              </w:rPr>
            </w:pPr>
            <w:r>
              <w:rPr>
                <w:rFonts w:hint="eastAsia" w:ascii="仿宋" w:hAnsi="仿宋" w:eastAsia="仿宋" w:cs="仿宋"/>
                <w:color w:val="000000"/>
                <w:sz w:val="20"/>
                <w:szCs w:val="20"/>
                <w:lang w:val="en-US" w:eastAsia="zh-CN"/>
              </w:rPr>
              <w:t>100%</w:t>
            </w:r>
          </w:p>
        </w:tc>
        <w:tc>
          <w:tcPr>
            <w:tcW w:w="27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7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2"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效益指标</w:t>
            </w:r>
          </w:p>
        </w:tc>
        <w:tc>
          <w:tcPr>
            <w:tcW w:w="44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履职效益</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经济效益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反映部门（单位）履职对经济社会发展等所带来的社会效益、经济效益、生态效益等。可根据部门（单位）实际情况有选择的进行设置，并将三级指标细化为相应的个性化指标。</w:t>
            </w:r>
          </w:p>
        </w:tc>
      </w:tr>
      <w:tr>
        <w:tblPrEx>
          <w:tblCellMar>
            <w:top w:w="0" w:type="dxa"/>
            <w:left w:w="0" w:type="dxa"/>
            <w:bottom w:w="0" w:type="dxa"/>
            <w:right w:w="0" w:type="dxa"/>
          </w:tblCellMar>
        </w:tblPrEx>
        <w:trPr>
          <w:trHeight w:val="3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社会效益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生态效益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 xml:space="preserve">     可持续影响</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6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满意度</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公众或服务对象满意度</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90%</w:t>
            </w:r>
          </w:p>
        </w:tc>
        <w:tc>
          <w:tcPr>
            <w:tcW w:w="276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反映社会公众或服务对象在部门（单位）履职效果、解决民众关心的热点问题等方面的满意程度。可根据部门（单位）实际情况有选择的进行设置，并将三级指标细化为相应的个性化指标。</w:t>
            </w:r>
          </w:p>
        </w:tc>
      </w:tr>
      <w:tr>
        <w:tblPrEx>
          <w:tblCellMar>
            <w:top w:w="0" w:type="dxa"/>
            <w:left w:w="0" w:type="dxa"/>
            <w:bottom w:w="0" w:type="dxa"/>
            <w:right w:w="0" w:type="dxa"/>
          </w:tblCellMar>
        </w:tblPrEx>
        <w:trPr>
          <w:trHeight w:val="8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投诉案件处理满意率或评议满意度</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lang w:val="en-US" w:eastAsia="zh-CN"/>
              </w:rPr>
              <w:t>90%</w:t>
            </w:r>
          </w:p>
        </w:tc>
        <w:tc>
          <w:tcPr>
            <w:tcW w:w="27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bl>
    <w:p>
      <w:pPr>
        <w:pStyle w:val="2"/>
        <w:ind w:left="0" w:leftChars="0" w:firstLine="0" w:firstLineChars="0"/>
        <w:sectPr>
          <w:headerReference r:id="rId3" w:type="default"/>
          <w:footerReference r:id="rId4" w:type="default"/>
          <w:pgSz w:w="11906" w:h="16838"/>
          <w:pgMar w:top="720" w:right="720" w:bottom="720" w:left="720" w:header="851" w:footer="227" w:gutter="0"/>
          <w:cols w:space="0" w:num="1"/>
          <w:docGrid w:type="lines" w:linePitch="319" w:charSpace="0"/>
        </w:sectPr>
      </w:pPr>
    </w:p>
    <w:p>
      <w:pPr>
        <w:pStyle w:val="2"/>
        <w:ind w:firstLine="0" w:firstLineChars="0"/>
        <w:rPr>
          <w:rFonts w:hint="eastAsia" w:eastAsia="宋体"/>
          <w:lang w:val="en-US" w:eastAsia="zh-CN"/>
        </w:rPr>
      </w:pPr>
    </w:p>
    <w:sectPr>
      <w:pgSz w:w="11906" w:h="16838"/>
      <w:pgMar w:top="720" w:right="720" w:bottom="720" w:left="720" w:header="851" w:footer="227" w:gutter="0"/>
      <w:cols w:space="0" w:num="1"/>
      <w:docGrid w:type="lines" w:linePitch="319" w:charSpace="0"/>
    </w:sectPr>
  </w:body>
</w:document>
</file>

<file path=word/customizations.xml><?xml version="1.0" encoding="utf-8"?>
<wne:tcg xmlns:r="http://schemas.openxmlformats.org/officeDocument/2006/relationships" xmlns:wne="http://schemas.microsoft.com/office/word/2006/wordml">
  <wne:keymaps>
    <wne:keymap wne:kcmPrimary="04DE">
      <wne:acd wne:acdName="acd0"/>
    </wne:keymap>
  </wne:keymaps>
  <wne:acds>
    <wne:acd wne:argValue="AQAAAAAA" wne:acdName="acd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MingLiU">
    <w:panose1 w:val="02020509000000000000"/>
    <w:charset w:val="88"/>
    <w:family w:val="modern"/>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9"/>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5</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documentProtection w:enforcement="0"/>
  <w:defaultTabStop w:val="420"/>
  <w:drawingGridVerticalSpacing w:val="159"/>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09DB"/>
    <w:rsid w:val="00110077"/>
    <w:rsid w:val="003F09DB"/>
    <w:rsid w:val="00B52A78"/>
    <w:rsid w:val="026F1FB2"/>
    <w:rsid w:val="039F3544"/>
    <w:rsid w:val="04CC7B54"/>
    <w:rsid w:val="0591655C"/>
    <w:rsid w:val="0601105B"/>
    <w:rsid w:val="07432C73"/>
    <w:rsid w:val="0B991E13"/>
    <w:rsid w:val="0CA90420"/>
    <w:rsid w:val="0DE46181"/>
    <w:rsid w:val="0F690488"/>
    <w:rsid w:val="11DC45C4"/>
    <w:rsid w:val="144F741F"/>
    <w:rsid w:val="1460110F"/>
    <w:rsid w:val="14C8783F"/>
    <w:rsid w:val="157B319D"/>
    <w:rsid w:val="17713066"/>
    <w:rsid w:val="18755C9B"/>
    <w:rsid w:val="18904A43"/>
    <w:rsid w:val="18967E92"/>
    <w:rsid w:val="1AFF02A6"/>
    <w:rsid w:val="1B0735BC"/>
    <w:rsid w:val="1B9603D1"/>
    <w:rsid w:val="1BF11801"/>
    <w:rsid w:val="1CAA076C"/>
    <w:rsid w:val="1D1A137D"/>
    <w:rsid w:val="1EAC6210"/>
    <w:rsid w:val="1F091BEE"/>
    <w:rsid w:val="215B43BB"/>
    <w:rsid w:val="21C11718"/>
    <w:rsid w:val="22302EBD"/>
    <w:rsid w:val="22B90070"/>
    <w:rsid w:val="22BB4AB2"/>
    <w:rsid w:val="23247CB7"/>
    <w:rsid w:val="232A0A7A"/>
    <w:rsid w:val="2451548A"/>
    <w:rsid w:val="24611640"/>
    <w:rsid w:val="29894473"/>
    <w:rsid w:val="2A4749CF"/>
    <w:rsid w:val="2C020CF3"/>
    <w:rsid w:val="302B2BB8"/>
    <w:rsid w:val="319A78EE"/>
    <w:rsid w:val="33C9294F"/>
    <w:rsid w:val="344D1089"/>
    <w:rsid w:val="351077AD"/>
    <w:rsid w:val="356B73F7"/>
    <w:rsid w:val="365F5F4D"/>
    <w:rsid w:val="37190D0A"/>
    <w:rsid w:val="39B35D5B"/>
    <w:rsid w:val="3B595312"/>
    <w:rsid w:val="3C650EA2"/>
    <w:rsid w:val="3C882259"/>
    <w:rsid w:val="3D8D2DB2"/>
    <w:rsid w:val="3DBF3F38"/>
    <w:rsid w:val="40DC543A"/>
    <w:rsid w:val="424A49C0"/>
    <w:rsid w:val="44661788"/>
    <w:rsid w:val="447B51CD"/>
    <w:rsid w:val="48792D39"/>
    <w:rsid w:val="499C14F2"/>
    <w:rsid w:val="4A69625F"/>
    <w:rsid w:val="4B870AC0"/>
    <w:rsid w:val="4C281AB1"/>
    <w:rsid w:val="4C2B4AF1"/>
    <w:rsid w:val="530504E8"/>
    <w:rsid w:val="53D53D55"/>
    <w:rsid w:val="54FE107E"/>
    <w:rsid w:val="55163C24"/>
    <w:rsid w:val="5601198C"/>
    <w:rsid w:val="56104055"/>
    <w:rsid w:val="572C68E4"/>
    <w:rsid w:val="5CE85B58"/>
    <w:rsid w:val="5D731A92"/>
    <w:rsid w:val="603E5DB0"/>
    <w:rsid w:val="62A47E73"/>
    <w:rsid w:val="62A85D16"/>
    <w:rsid w:val="642660CF"/>
    <w:rsid w:val="64D12C3C"/>
    <w:rsid w:val="6647282C"/>
    <w:rsid w:val="678B2E0B"/>
    <w:rsid w:val="6988452D"/>
    <w:rsid w:val="707D36D5"/>
    <w:rsid w:val="721C39A2"/>
    <w:rsid w:val="72B91FCA"/>
    <w:rsid w:val="755D3DB4"/>
    <w:rsid w:val="77A44894"/>
    <w:rsid w:val="788B35BF"/>
    <w:rsid w:val="796F6487"/>
    <w:rsid w:val="7AC44184"/>
    <w:rsid w:val="7CA865D9"/>
    <w:rsid w:val="7EBF2BB0"/>
    <w:rsid w:val="7FA525D4"/>
    <w:rsid w:val="7FBE199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ourier New" w:hAnsi="Courier New" w:eastAsiaTheme="minorEastAsia" w:cs="Courier New"/>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5"/>
    <w:qFormat/>
    <w:uiPriority w:val="0"/>
    <w:pPr>
      <w:keepNext/>
      <w:keepLines/>
      <w:adjustRightInd w:val="0"/>
      <w:snapToGrid w:val="0"/>
      <w:spacing w:before="340" w:after="330" w:line="360" w:lineRule="auto"/>
      <w:outlineLvl w:val="0"/>
    </w:pPr>
    <w:rPr>
      <w:b/>
      <w:bCs/>
      <w:kern w:val="44"/>
      <w:sz w:val="36"/>
      <w:szCs w:val="44"/>
    </w:rPr>
  </w:style>
  <w:style w:type="paragraph" w:styleId="5">
    <w:name w:val="heading 2"/>
    <w:basedOn w:val="1"/>
    <w:next w:val="1"/>
    <w:link w:val="14"/>
    <w:semiHidden/>
    <w:unhideWhenUsed/>
    <w:qFormat/>
    <w:uiPriority w:val="0"/>
    <w:pPr>
      <w:keepNext/>
      <w:keepLines/>
      <w:adjustRightInd w:val="0"/>
      <w:snapToGrid w:val="0"/>
      <w:spacing w:line="360" w:lineRule="auto"/>
      <w:outlineLvl w:val="1"/>
    </w:pPr>
    <w:rPr>
      <w:rFonts w:ascii="Arial" w:hAnsi="Arial" w:cs="Arial"/>
      <w:b/>
      <w:sz w:val="32"/>
    </w:rPr>
  </w:style>
  <w:style w:type="paragraph" w:styleId="6">
    <w:name w:val="heading 3"/>
    <w:basedOn w:val="1"/>
    <w:next w:val="1"/>
    <w:link w:val="16"/>
    <w:semiHidden/>
    <w:unhideWhenUsed/>
    <w:qFormat/>
    <w:uiPriority w:val="0"/>
    <w:pPr>
      <w:keepNext/>
      <w:keepLines/>
      <w:spacing w:before="100" w:after="100" w:line="360" w:lineRule="auto"/>
      <w:ind w:firstLine="1040" w:firstLineChars="200"/>
      <w:outlineLvl w:val="2"/>
    </w:pPr>
    <w:rPr>
      <w:rFonts w:ascii="Calibri" w:hAnsi="Calibri" w:cs="宋体"/>
      <w:b/>
      <w:sz w:val="30"/>
    </w:rPr>
  </w:style>
  <w:style w:type="paragraph" w:styleId="7">
    <w:name w:val="heading 4"/>
    <w:basedOn w:val="1"/>
    <w:next w:val="1"/>
    <w:link w:val="17"/>
    <w:semiHidden/>
    <w:unhideWhenUsed/>
    <w:qFormat/>
    <w:uiPriority w:val="0"/>
    <w:pPr>
      <w:keepNext/>
      <w:keepLines/>
      <w:spacing w:line="372" w:lineRule="auto"/>
      <w:outlineLvl w:val="3"/>
    </w:pPr>
    <w:rPr>
      <w:rFonts w:ascii="宋体" w:hAnsi="宋体"/>
      <w:b/>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style>
  <w:style w:type="paragraph" w:styleId="8">
    <w:name w:val="Body Text Indent"/>
    <w:basedOn w:val="1"/>
    <w:qFormat/>
    <w:uiPriority w:val="0"/>
    <w:pPr>
      <w:ind w:firstLine="645"/>
    </w:pPr>
    <w:rPr>
      <w:rFonts w:ascii="仿宋_GB2312" w:hAnsi="仿宋_GB2312" w:cs="仿宋_GB2312"/>
      <w:sz w:val="28"/>
      <w:szCs w:val="32"/>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4">
    <w:name w:val="标题 2 Char"/>
    <w:link w:val="5"/>
    <w:qFormat/>
    <w:uiPriority w:val="9"/>
    <w:rPr>
      <w:rFonts w:ascii="Arial" w:hAnsi="Arial" w:eastAsia="宋体" w:cs="Arial"/>
      <w:b/>
      <w:bCs/>
      <w:sz w:val="32"/>
      <w:szCs w:val="32"/>
    </w:rPr>
  </w:style>
  <w:style w:type="character" w:customStyle="1" w:styleId="15">
    <w:name w:val="标题 1 Char"/>
    <w:link w:val="4"/>
    <w:qFormat/>
    <w:uiPriority w:val="0"/>
    <w:rPr>
      <w:rFonts w:ascii="Times New Roman" w:hAnsi="Times New Roman" w:eastAsia="宋体" w:cs="宋体"/>
      <w:b/>
      <w:kern w:val="44"/>
      <w:sz w:val="36"/>
    </w:rPr>
  </w:style>
  <w:style w:type="character" w:customStyle="1" w:styleId="16">
    <w:name w:val="标题 3 Char"/>
    <w:link w:val="6"/>
    <w:qFormat/>
    <w:uiPriority w:val="9"/>
    <w:rPr>
      <w:rFonts w:ascii="Calibri" w:hAnsi="Calibri" w:eastAsia="宋体" w:cs="宋体"/>
      <w:b/>
      <w:sz w:val="30"/>
    </w:rPr>
  </w:style>
  <w:style w:type="character" w:customStyle="1" w:styleId="17">
    <w:name w:val="标题 4 Char"/>
    <w:link w:val="7"/>
    <w:qFormat/>
    <w:uiPriority w:val="0"/>
    <w:rPr>
      <w:rFonts w:ascii="宋体" w:hAnsi="宋体" w:eastAsia="宋体"/>
      <w:b/>
    </w:rPr>
  </w:style>
  <w:style w:type="paragraph" w:customStyle="1" w:styleId="18">
    <w:name w:val="正文文本1"/>
    <w:basedOn w:val="1"/>
    <w:link w:val="20"/>
    <w:qFormat/>
    <w:uiPriority w:val="0"/>
    <w:pPr>
      <w:shd w:val="clear" w:color="auto" w:fill="FFFFFF"/>
      <w:spacing w:before="540" w:line="595" w:lineRule="exact"/>
      <w:ind w:hanging="240"/>
      <w:jc w:val="distribute"/>
    </w:pPr>
    <w:rPr>
      <w:rFonts w:ascii="MingLiU" w:hAnsi="MingLiU" w:eastAsia="MingLiU" w:cs="MingLiU"/>
      <w:spacing w:val="40"/>
      <w:sz w:val="28"/>
      <w:szCs w:val="28"/>
    </w:rPr>
  </w:style>
  <w:style w:type="character" w:customStyle="1" w:styleId="19">
    <w:name w:val="正文文本 + 11 pt"/>
    <w:basedOn w:val="20"/>
    <w:qFormat/>
    <w:uiPriority w:val="0"/>
    <w:rPr>
      <w:color w:val="000000"/>
      <w:w w:val="100"/>
      <w:position w:val="0"/>
      <w:sz w:val="22"/>
      <w:szCs w:val="22"/>
      <w:lang w:val="en-US"/>
    </w:rPr>
  </w:style>
  <w:style w:type="character" w:customStyle="1" w:styleId="20">
    <w:name w:val="正文文本_"/>
    <w:basedOn w:val="13"/>
    <w:link w:val="18"/>
    <w:qFormat/>
    <w:uiPriority w:val="0"/>
    <w:rPr>
      <w:rFonts w:ascii="MingLiU" w:hAnsi="MingLiU" w:eastAsia="MingLiU" w:cs="MingLiU"/>
      <w:spacing w:val="40"/>
      <w:sz w:val="28"/>
      <w:szCs w:val="28"/>
      <w:u w:val="none"/>
    </w:rPr>
  </w:style>
  <w:style w:type="character" w:customStyle="1" w:styleId="21">
    <w:name w:val="font01"/>
    <w:basedOn w:val="13"/>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microsoft.com/office/2006/relationships/keyMapCustomizations" Target="customization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508</Words>
  <Characters>2899</Characters>
  <Lines>24</Lines>
  <Paragraphs>6</Paragraphs>
  <TotalTime>1</TotalTime>
  <ScaleCrop>false</ScaleCrop>
  <LinksUpToDate>false</LinksUpToDate>
  <CharactersWithSpaces>3401</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2020-12-07T03:52:00Z</dcterms:created>
  <dc:creator>hnzyz</dc:creator>
  <cp:lastModifiedBy>Administrator</cp:lastModifiedBy>
  <dcterms:modified xsi:type="dcterms:W3CDTF">2021-09-18T02:12:27Z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D5F2D09A5C3445DDA004C464910EAAC3</vt:lpwstr>
  </property>
</Properties>
</file>