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92" w:type="dxa"/>
        <w:tblInd w:w="0" w:type="dxa"/>
        <w:tblLayout w:type="fixed"/>
        <w:tblCellMar>
          <w:top w:w="0" w:type="dxa"/>
          <w:left w:w="0" w:type="dxa"/>
          <w:bottom w:w="0" w:type="dxa"/>
          <w:right w:w="0" w:type="dxa"/>
        </w:tblCellMar>
      </w:tblPr>
      <w:tblGrid>
        <w:gridCol w:w="852"/>
        <w:gridCol w:w="938"/>
        <w:gridCol w:w="2090"/>
        <w:gridCol w:w="789"/>
        <w:gridCol w:w="5823"/>
      </w:tblGrid>
      <w:tr>
        <w:tblPrEx>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17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新乡县融媒体中心</w:t>
            </w:r>
          </w:p>
        </w:tc>
      </w:tr>
      <w:tr>
        <w:tblPrEx>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eastAsia="宋体"/>
                <w:lang w:eastAsia="zh-CN"/>
              </w:rPr>
            </w:pPr>
            <w:r>
              <w:rPr>
                <w:rFonts w:hint="eastAsia"/>
              </w:rPr>
              <w:t>目标1：2021全年完成《新乡县新闻》145期，稿件900篇，市级以上媒体发稿96篇。</w:t>
            </w:r>
          </w:p>
          <w:p>
            <w:pPr>
              <w:widowControl/>
              <w:jc w:val="left"/>
              <w:textAlignment w:val="center"/>
              <w:rPr>
                <w:rFonts w:hint="eastAsia" w:eastAsia="宋体"/>
                <w:lang w:eastAsia="zh-CN"/>
              </w:rPr>
            </w:pPr>
            <w:r>
              <w:rPr>
                <w:rFonts w:hint="eastAsia"/>
              </w:rPr>
              <w:t>目标2：2021年围绕全县重点工作,新乡广电传媒微信公众号、“云上新乡县”APP、抖音、微博等</w:t>
            </w:r>
            <w:r>
              <w:rPr>
                <w:rFonts w:hint="eastAsia"/>
                <w:lang w:val="en-US" w:eastAsia="zh-CN"/>
              </w:rPr>
              <w:t>平台</w:t>
            </w:r>
            <w:r>
              <w:rPr>
                <w:rFonts w:hint="eastAsia"/>
              </w:rPr>
              <w:t>推送新媒体消息2000条。</w:t>
            </w:r>
          </w:p>
          <w:p>
            <w:pPr>
              <w:widowControl/>
              <w:jc w:val="left"/>
              <w:textAlignment w:val="center"/>
              <w:rPr>
                <w:rFonts w:hint="eastAsia"/>
                <w:lang w:val="en-US" w:eastAsia="zh-CN"/>
              </w:rPr>
            </w:pPr>
            <w:r>
              <w:rPr>
                <w:rFonts w:hint="eastAsia"/>
              </w:rPr>
              <w:t>目标3：着重抓好五一、国庆、春节等时间节点，</w:t>
            </w:r>
            <w:r>
              <w:rPr>
                <w:rFonts w:hint="eastAsia"/>
                <w:lang w:val="en-US" w:eastAsia="zh-CN"/>
              </w:rPr>
              <w:t>计划开展各类活动六场。</w:t>
            </w:r>
          </w:p>
          <w:p>
            <w:pPr>
              <w:pStyle w:val="2"/>
              <w:ind w:left="0" w:leftChars="0" w:firstLine="0" w:firstLineChars="0"/>
              <w:rPr>
                <w:rFonts w:hint="default"/>
                <w:lang w:val="en-US" w:eastAsia="zh-CN"/>
              </w:rPr>
            </w:pPr>
            <w:r>
              <w:rPr>
                <w:rFonts w:hint="default"/>
                <w:lang w:val="en-US" w:eastAsia="zh-CN"/>
              </w:rPr>
              <w:t>目标</w:t>
            </w:r>
            <w:r>
              <w:rPr>
                <w:rFonts w:hint="eastAsia"/>
                <w:lang w:val="en-US" w:eastAsia="zh-CN"/>
              </w:rPr>
              <w:t>4</w:t>
            </w:r>
            <w:r>
              <w:rPr>
                <w:rFonts w:hint="default"/>
                <w:lang w:val="en-US" w:eastAsia="zh-CN"/>
              </w:rPr>
              <w:t>：全年安全播出零事故</w:t>
            </w:r>
          </w:p>
        </w:tc>
      </w:tr>
      <w:tr>
        <w:tblPrEx>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保质保量完成全年新闻宣传。</w:t>
            </w:r>
          </w:p>
        </w:tc>
      </w:tr>
      <w:tr>
        <w:tblPrEx>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建立健全新媒体与传统媒体融合的机制，开展各项新媒体融合业务</w:t>
            </w: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组织好全县综艺文化活动</w:t>
            </w: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做好安全播出工作</w:t>
            </w:r>
          </w:p>
        </w:tc>
      </w:tr>
      <w:tr>
        <w:tblPrEx>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val="0"/>
                <w:bCs/>
                <w:color w:val="000000"/>
                <w:sz w:val="22"/>
                <w:szCs w:val="22"/>
                <w:lang w:val="en-US" w:eastAsia="zh-CN"/>
              </w:rPr>
              <w:t>669.58</w:t>
            </w:r>
          </w:p>
        </w:tc>
      </w:tr>
      <w:tr>
        <w:tblPrEx>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1、资金来源：（1）财政性资金</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669.58</w:t>
            </w:r>
          </w:p>
        </w:tc>
      </w:tr>
      <w:tr>
        <w:tblPrEx>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（2）其他资金</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2、资金结构：（1）基本支出</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371.35</w:t>
            </w: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rPr>
              <w:t>（2）项目支出</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298.23</w:t>
            </w:r>
          </w:p>
        </w:tc>
      </w:tr>
      <w:tr>
        <w:tblPrEx>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相关</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科学</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合理</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完整</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&gt;90%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&lt;10%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&lt;10%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真实</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0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7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合规</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健全</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及时公开</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规范</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052"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484"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54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78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558"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78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32"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78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85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78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8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209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社会效益</w:t>
            </w:r>
          </w:p>
          <w:p>
            <w:pPr>
              <w:widowControl/>
              <w:jc w:val="center"/>
              <w:textAlignment w:val="center"/>
              <w:rPr>
                <w:rFonts w:ascii="仿宋" w:hAnsi="仿宋" w:eastAsia="仿宋" w:cs="仿宋"/>
                <w:color w:val="000000"/>
                <w:sz w:val="20"/>
                <w:szCs w:val="20"/>
              </w:rPr>
            </w:pPr>
          </w:p>
          <w:p>
            <w:pPr>
              <w:widowControl/>
              <w:jc w:val="left"/>
              <w:textAlignment w:val="center"/>
              <w:rPr>
                <w:rFonts w:ascii="仿宋" w:hAnsi="仿宋" w:eastAsia="仿宋" w:cs="仿宋"/>
                <w:color w:val="00000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完成部门所定目标，做好新闻宣传工作，为新乡县经济社会发展营造好的舆论氛围。</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rPr>
              <w:t>社会公众满意度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&gt;90%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lang w:eastAsia="zh-CN"/>
              </w:rPr>
              <w:t>县委县政府满意度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&gt;90%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left="0" w:leftChars="0" w:firstLine="0" w:firstLineChars="0"/>
      </w:pPr>
    </w:p>
    <w:p>
      <w:bookmarkStart w:id="0" w:name="_GoBack"/>
      <w:bookmarkEnd w:id="0"/>
    </w:p>
    <w:sectPr>
      <w:pgSz w:w="11906" w:h="16838"/>
      <w:pgMar w:top="986" w:right="1800" w:bottom="1043" w:left="78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A2E64"/>
    <w:rsid w:val="311F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2022-03-11T06:38:00Z</dcterms:created>
  <dc:creator>Lenovo</dc:creator>
  <cp:lastModifiedBy>Administrator</cp:lastModifiedBy>
  <dcterms:modified xsi:type="dcterms:W3CDTF">2022-03-14T04:40:57Z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D72EAE6E05C745E995B626DAE4DC1937</vt:lpwstr>
  </property>
</Properties>
</file>