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998" w:type="pct"/>
        <w:tblInd w:w="0" w:type="dxa"/>
        <w:tblLayout w:type="autofit"/>
        <w:tblCellMar>
          <w:top w:w="0" w:type="dxa"/>
          <w:left w:w="0" w:type="dxa"/>
          <w:bottom w:w="0" w:type="dxa"/>
          <w:right w:w="0" w:type="dxa"/>
        </w:tblCellMar>
      </w:tblPr>
      <w:tblGrid>
        <w:gridCol w:w="852"/>
        <w:gridCol w:w="938"/>
        <w:gridCol w:w="1897"/>
        <w:gridCol w:w="995"/>
        <w:gridCol w:w="5810"/>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新乡县商务局</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2"/>
                <w:szCs w:val="22"/>
                <w:lang w:eastAsia="zh-CN"/>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lang w:eastAsia="zh-CN"/>
              </w:rPr>
              <w:t>统筹协调、归口管理全县对外开放、商贸流通、对外贸易、国际经济技术合作和电子商务等工作。</w:t>
            </w:r>
          </w:p>
          <w:p>
            <w:pPr>
              <w:widowControl/>
              <w:jc w:val="left"/>
              <w:textAlignment w:val="center"/>
              <w:rPr>
                <w:rFonts w:hint="eastAsia" w:ascii="仿宋" w:hAnsi="仿宋" w:eastAsia="仿宋" w:cs="仿宋"/>
                <w:color w:val="000000"/>
                <w:kern w:val="0"/>
                <w:sz w:val="22"/>
                <w:szCs w:val="22"/>
                <w:lang w:eastAsia="zh-CN"/>
              </w:rPr>
            </w:pP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lang w:eastAsia="zh-CN"/>
              </w:rPr>
              <w:t>负责全县对外开放的宏观指导和组织协调，研究蹄筋开放带动战略实施的长效机制。</w:t>
            </w:r>
          </w:p>
          <w:p>
            <w:pPr>
              <w:widowControl/>
              <w:jc w:val="left"/>
              <w:textAlignment w:val="center"/>
              <w:rPr>
                <w:rFonts w:hint="eastAsia" w:ascii="仿宋" w:hAnsi="仿宋" w:eastAsia="仿宋" w:cs="仿宋"/>
                <w:color w:val="000000"/>
                <w:sz w:val="22"/>
                <w:szCs w:val="22"/>
                <w:lang w:eastAsia="zh-CN"/>
              </w:rPr>
            </w:pPr>
            <w:r>
              <w:rPr>
                <w:rFonts w:hint="eastAsia" w:ascii="仿宋" w:hAnsi="仿宋" w:eastAsia="仿宋" w:cs="仿宋"/>
                <w:color w:val="000000"/>
                <w:kern w:val="0"/>
                <w:sz w:val="22"/>
                <w:szCs w:val="22"/>
              </w:rPr>
              <w:t>目标3：</w:t>
            </w:r>
            <w:r>
              <w:rPr>
                <w:rFonts w:hint="eastAsia" w:ascii="仿宋" w:hAnsi="仿宋" w:eastAsia="仿宋" w:cs="仿宋"/>
                <w:color w:val="000000"/>
                <w:kern w:val="0"/>
                <w:sz w:val="22"/>
                <w:szCs w:val="22"/>
                <w:lang w:eastAsia="zh-CN"/>
              </w:rPr>
              <w:t>负责前线商务系统涉及世界贸易相关事物的研究、指导和服务工作。</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电子商务进农村项目</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省级招商引资项目</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支持中小企业开拓市场项目</w:t>
            </w:r>
          </w:p>
        </w:tc>
      </w:tr>
      <w:tr>
        <w:tblPrEx>
          <w:tblCellMar>
            <w:top w:w="0" w:type="dxa"/>
            <w:left w:w="0" w:type="dxa"/>
            <w:bottom w:w="0" w:type="dxa"/>
            <w:right w:w="0" w:type="dxa"/>
          </w:tblCellMar>
        </w:tblPrEx>
        <w:trPr>
          <w:trHeight w:val="9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9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643.14</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1、资金来源：（1）财政性资金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643.14</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（2）其他资金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2、资金结构：（1）基本支出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165.00</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（2）项目支出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478.14</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相关</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科学</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合理</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完整</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0.3%</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51.3%</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真实</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合规</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健全</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及时公开</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规范</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1、</w:t>
            </w:r>
            <w:r>
              <w:rPr>
                <w:rFonts w:hint="eastAsia" w:ascii="仿宋" w:hAnsi="仿宋" w:eastAsia="仿宋" w:cs="仿宋"/>
                <w:b w:val="0"/>
                <w:bCs w:val="0"/>
                <w:color w:val="000000"/>
                <w:sz w:val="21"/>
                <w:szCs w:val="21"/>
                <w:lang w:eastAsia="zh-CN"/>
              </w:rPr>
              <w:t>电子商务进农村项目</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2、</w:t>
            </w:r>
            <w:r>
              <w:rPr>
                <w:rFonts w:hint="eastAsia" w:ascii="仿宋" w:hAnsi="仿宋" w:eastAsia="仿宋" w:cs="仿宋"/>
                <w:b w:val="0"/>
                <w:bCs w:val="0"/>
                <w:color w:val="000000"/>
                <w:sz w:val="21"/>
                <w:szCs w:val="21"/>
                <w:lang w:eastAsia="zh-CN"/>
              </w:rPr>
              <w:t>省级招商引资项目</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3、</w:t>
            </w:r>
            <w:r>
              <w:rPr>
                <w:rFonts w:hint="eastAsia" w:ascii="仿宋" w:hAnsi="仿宋" w:eastAsia="仿宋" w:cs="仿宋"/>
                <w:b w:val="0"/>
                <w:bCs w:val="0"/>
                <w:color w:val="000000"/>
                <w:sz w:val="21"/>
                <w:szCs w:val="21"/>
                <w:lang w:eastAsia="zh-CN"/>
              </w:rPr>
              <w:t>支持中小企业开拓市场项目</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1、</w:t>
            </w:r>
            <w:r>
              <w:rPr>
                <w:rFonts w:hint="eastAsia" w:ascii="仿宋" w:hAnsi="仿宋" w:eastAsia="仿宋" w:cs="仿宋"/>
                <w:b w:val="0"/>
                <w:bCs w:val="0"/>
                <w:color w:val="000000"/>
                <w:kern w:val="0"/>
                <w:sz w:val="21"/>
                <w:szCs w:val="21"/>
              </w:rPr>
              <w:t>目标1：</w:t>
            </w:r>
            <w:r>
              <w:rPr>
                <w:rFonts w:hint="eastAsia" w:ascii="仿宋" w:hAnsi="仿宋" w:eastAsia="仿宋" w:cs="仿宋"/>
                <w:b w:val="0"/>
                <w:bCs w:val="0"/>
                <w:color w:val="000000"/>
                <w:kern w:val="0"/>
                <w:sz w:val="21"/>
                <w:szCs w:val="21"/>
                <w:lang w:eastAsia="zh-CN"/>
              </w:rPr>
              <w:t>统筹协调、归口管理全县对外开放、商贸流通、对外贸易、国际经济技术合作和电子商务等工作。</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2、</w:t>
            </w:r>
            <w:r>
              <w:rPr>
                <w:rFonts w:hint="eastAsia" w:ascii="仿宋" w:hAnsi="仿宋" w:eastAsia="仿宋" w:cs="仿宋"/>
                <w:b w:val="0"/>
                <w:bCs w:val="0"/>
                <w:color w:val="000000"/>
                <w:kern w:val="0"/>
                <w:sz w:val="21"/>
                <w:szCs w:val="21"/>
              </w:rPr>
              <w:t>目标2：</w:t>
            </w:r>
            <w:r>
              <w:rPr>
                <w:rFonts w:hint="eastAsia" w:ascii="仿宋" w:hAnsi="仿宋" w:eastAsia="仿宋" w:cs="仿宋"/>
                <w:b w:val="0"/>
                <w:bCs w:val="0"/>
                <w:color w:val="000000"/>
                <w:kern w:val="0"/>
                <w:sz w:val="21"/>
                <w:szCs w:val="21"/>
                <w:lang w:eastAsia="zh-CN"/>
              </w:rPr>
              <w:t>负责全县对外开放的宏观指导和组织协调，研究蹄筋开放带动战略实施的长效机制。</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3、</w:t>
            </w:r>
            <w:r>
              <w:rPr>
                <w:rFonts w:hint="eastAsia" w:ascii="仿宋" w:hAnsi="仿宋" w:eastAsia="仿宋" w:cs="仿宋"/>
                <w:b w:val="0"/>
                <w:bCs w:val="0"/>
                <w:color w:val="000000"/>
                <w:sz w:val="21"/>
                <w:szCs w:val="21"/>
                <w:lang w:eastAsia="zh-CN"/>
              </w:rPr>
              <w:t>支持中小企业开拓市场项目</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kern w:val="2"/>
                <w:sz w:val="20"/>
                <w:szCs w:val="20"/>
                <w:lang w:val="en-US" w:eastAsia="zh-CN" w:bidi="ar-SA"/>
              </w:rPr>
            </w:pPr>
            <w:r>
              <w:rPr>
                <w:rFonts w:hint="eastAsia" w:ascii="仿宋" w:hAnsi="仿宋" w:eastAsia="仿宋" w:cs="仿宋"/>
                <w:color w:val="000000"/>
                <w:sz w:val="20"/>
                <w:szCs w:val="20"/>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rPr>
                <w:sz w:val="18"/>
                <w:szCs w:val="18"/>
              </w:rPr>
            </w:pPr>
            <w:r>
              <w:rPr>
                <w:rFonts w:hint="eastAsia" w:ascii="宋体" w:hAnsi="宋体" w:eastAsia="宋体" w:cs="宋体"/>
                <w:color w:val="000000"/>
                <w:kern w:val="0"/>
                <w:sz w:val="18"/>
                <w:szCs w:val="18"/>
                <w:lang w:val="en-US" w:eastAsia="zh-CN" w:bidi="ar"/>
              </w:rPr>
              <w:t>完成商务部门职</w:t>
            </w:r>
          </w:p>
          <w:p>
            <w:pPr>
              <w:keepNext w:val="0"/>
              <w:keepLines w:val="0"/>
              <w:widowControl/>
              <w:suppressLineNumbers w:val="0"/>
              <w:jc w:val="center"/>
              <w:rPr>
                <w:sz w:val="18"/>
                <w:szCs w:val="18"/>
              </w:rPr>
            </w:pPr>
            <w:r>
              <w:rPr>
                <w:rFonts w:hint="eastAsia" w:ascii="宋体" w:hAnsi="宋体" w:eastAsia="宋体" w:cs="宋体"/>
                <w:color w:val="000000"/>
                <w:kern w:val="0"/>
                <w:sz w:val="18"/>
                <w:szCs w:val="18"/>
                <w:lang w:val="en-US" w:eastAsia="zh-CN" w:bidi="ar"/>
              </w:rPr>
              <w:t>责，达到</w:t>
            </w:r>
            <w:r>
              <w:rPr>
                <w:rFonts w:hint="eastAsia" w:ascii="Arial" w:hAnsi="Arial" w:eastAsia="宋体" w:cs="Arial"/>
                <w:color w:val="000000"/>
                <w:kern w:val="0"/>
                <w:sz w:val="18"/>
                <w:szCs w:val="18"/>
                <w:lang w:val="en-US" w:eastAsia="zh-CN" w:bidi="ar"/>
              </w:rPr>
              <w:t>良好的</w:t>
            </w:r>
            <w:r>
              <w:rPr>
                <w:rFonts w:hint="eastAsia" w:ascii="宋体" w:hAnsi="宋体" w:eastAsia="宋体" w:cs="宋体"/>
                <w:color w:val="000000"/>
                <w:kern w:val="0"/>
                <w:sz w:val="18"/>
                <w:szCs w:val="18"/>
                <w:lang w:val="en-US" w:eastAsia="zh-CN" w:bidi="ar"/>
              </w:rPr>
              <w:t>效</w:t>
            </w:r>
          </w:p>
          <w:p>
            <w:pPr>
              <w:keepNext w:val="0"/>
              <w:keepLines w:val="0"/>
              <w:widowControl/>
              <w:suppressLineNumbers w:val="0"/>
              <w:jc w:val="center"/>
              <w:rPr>
                <w:sz w:val="18"/>
                <w:szCs w:val="18"/>
              </w:rPr>
            </w:pPr>
            <w:r>
              <w:rPr>
                <w:rFonts w:hint="eastAsia" w:ascii="宋体" w:hAnsi="宋体" w:eastAsia="宋体" w:cs="宋体"/>
                <w:color w:val="000000"/>
                <w:kern w:val="0"/>
                <w:sz w:val="18"/>
                <w:szCs w:val="18"/>
                <w:lang w:val="en-US" w:eastAsia="zh-CN" w:bidi="ar"/>
              </w:rPr>
              <w:t>益。</w:t>
            </w:r>
          </w:p>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Style w:val="9"/>
                <w:rFonts w:hint="eastAsia" w:ascii="黑体" w:hAnsi="宋体" w:eastAsia="黑体"/>
                <w:b w:val="0"/>
                <w:i w:val="0"/>
                <w:caps w:val="0"/>
                <w:color w:val="000000"/>
                <w:spacing w:val="0"/>
                <w:w w:val="100"/>
                <w:kern w:val="2"/>
                <w:sz w:val="20"/>
                <w:szCs w:val="20"/>
                <w:lang w:val="en-US" w:eastAsia="zh-CN" w:bidi="ar-SA"/>
              </w:rPr>
              <w:t>良好生态效应</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Style w:val="9"/>
                <w:rFonts w:hint="eastAsia" w:ascii="宋体" w:hAnsi="宋体" w:eastAsia="宋体" w:cs="宋体"/>
                <w:b w:val="0"/>
                <w:i w:val="0"/>
                <w:caps w:val="0"/>
                <w:spacing w:val="0"/>
                <w:w w:val="100"/>
                <w:kern w:val="0"/>
                <w:sz w:val="18"/>
                <w:szCs w:val="18"/>
                <w:lang w:val="en-US" w:eastAsia="zh-CN" w:bidi="ar-SA"/>
              </w:rPr>
              <w:t>≧</w:t>
            </w:r>
            <w:r>
              <w:rPr>
                <w:rFonts w:hint="eastAsia" w:ascii="仿宋" w:hAnsi="仿宋" w:eastAsia="仿宋" w:cs="仿宋"/>
                <w:color w:val="000000"/>
                <w:sz w:val="20"/>
                <w:szCs w:val="20"/>
                <w:lang w:val="en-US" w:eastAsia="zh-CN"/>
              </w:rPr>
              <w:t>95%</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Style w:val="9"/>
                <w:rFonts w:ascii="仿宋" w:hAnsi="仿宋" w:eastAsia="仿宋"/>
                <w:b w:val="0"/>
                <w:i w:val="0"/>
                <w:caps w:val="0"/>
                <w:color w:val="000000"/>
                <w:spacing w:val="0"/>
                <w:w w:val="100"/>
                <w:kern w:val="0"/>
                <w:sz w:val="18"/>
                <w:szCs w:val="18"/>
                <w:lang w:val="en-US" w:eastAsia="zh-CN"/>
              </w:rPr>
              <w:t>社会公众满意度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Style w:val="9"/>
                <w:rFonts w:hint="eastAsia" w:ascii="宋体" w:hAnsi="宋体" w:eastAsia="宋体" w:cs="宋体"/>
                <w:b w:val="0"/>
                <w:i w:val="0"/>
                <w:caps w:val="0"/>
                <w:spacing w:val="0"/>
                <w:w w:val="100"/>
                <w:kern w:val="0"/>
                <w:sz w:val="18"/>
                <w:szCs w:val="18"/>
                <w:lang w:val="en-US" w:eastAsia="zh-CN" w:bidi="ar-SA"/>
              </w:rPr>
              <w:t>≧</w:t>
            </w:r>
            <w:r>
              <w:rPr>
                <w:rFonts w:hint="eastAsia" w:ascii="仿宋" w:hAnsi="仿宋" w:eastAsia="仿宋" w:cs="仿宋"/>
                <w:color w:val="000000"/>
                <w:sz w:val="20"/>
                <w:szCs w:val="20"/>
                <w:lang w:val="en-US" w:eastAsia="zh-CN"/>
              </w:rPr>
              <w:t>95%</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131117"/>
    <w:rsid w:val="72131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qFormat/>
    <w:uiPriority w:val="0"/>
    <w:pPr>
      <w:widowControl w:val="0"/>
      <w:ind w:firstLine="420" w:firstLineChars="100"/>
      <w:jc w:val="both"/>
    </w:pPr>
    <w:rPr>
      <w:rFonts w:ascii="Times New Roman" w:hAnsi="Times New Roman" w:eastAsia="宋体" w:cs="Times New Roman"/>
      <w:kern w:val="2"/>
      <w:sz w:val="21"/>
      <w:szCs w:val="24"/>
      <w:lang w:val="en-US" w:eastAsia="zh-CN" w:bidi="ar-SA"/>
    </w:rPr>
  </w:style>
  <w:style w:type="paragraph" w:styleId="3">
    <w:name w:val="Body Text"/>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24"/>
      <w:lang w:val="en-US" w:eastAsia="zh-CN" w:bidi="ar-SA"/>
    </w:rPr>
  </w:style>
  <w:style w:type="paragraph" w:styleId="5">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jc w:val="both"/>
    </w:pPr>
    <w:rPr>
      <w:rFonts w:ascii="Times New Roman" w:hAnsi="Times New Roman" w:eastAsia="宋体" w:cs="Times New Roman"/>
      <w:kern w:val="2"/>
      <w:sz w:val="18"/>
      <w:szCs w:val="24"/>
      <w:lang w:val="en-US" w:eastAsia="zh-CN" w:bidi="ar-SA"/>
    </w:rPr>
  </w:style>
  <w:style w:type="character" w:customStyle="1" w:styleId="8">
    <w:name w:val="font01"/>
    <w:qFormat/>
    <w:uiPriority w:val="0"/>
    <w:rPr>
      <w:rFonts w:hint="eastAsia" w:ascii="宋体" w:hAnsi="宋体" w:eastAsia="宋体" w:cs="宋体"/>
      <w:color w:val="000000"/>
      <w:sz w:val="22"/>
      <w:szCs w:val="22"/>
      <w:u w:val="none"/>
    </w:rPr>
  </w:style>
  <w:style w:type="character" w:customStyle="1" w:styleId="9">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2022-03-11T07:59:00Z</dcterms:created>
  <dc:creator>wink~</dc:creator>
  <cp:lastModifiedBy>wink~</cp:lastModifiedBy>
  <dcterms:modified xsi:type="dcterms:W3CDTF">2022-03-11T08:00:48Z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47615E5FEF864D06BE5703EE8DDB40B2</vt:lpwstr>
  </property>
</Properties>
</file>