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5000" w:type="pct"/>
        <w:tblInd w:w="0" w:type="dxa"/>
        <w:tblLayout w:type="autofit"/>
        <w:tblCellMar>
          <w:top w:w="0" w:type="dxa"/>
          <w:left w:w="0" w:type="dxa"/>
          <w:bottom w:w="0" w:type="dxa"/>
          <w:right w:w="0" w:type="dxa"/>
        </w:tblCellMar>
      </w:tblPr>
      <w:tblGrid>
        <w:gridCol w:w="568"/>
        <w:gridCol w:w="618"/>
        <w:gridCol w:w="2049"/>
        <w:gridCol w:w="1094"/>
        <w:gridCol w:w="6167"/>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trPr>
        <w:tc>
          <w:tcPr>
            <w:tcW w:w="56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43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新乡县城市管理局</w:t>
            </w:r>
          </w:p>
        </w:tc>
      </w:tr>
      <w:tr>
        <w:tblPrEx>
          <w:tblCellMar>
            <w:top w:w="0" w:type="dxa"/>
            <w:left w:w="0" w:type="dxa"/>
            <w:bottom w:w="0" w:type="dxa"/>
            <w:right w:w="0" w:type="dxa"/>
          </w:tblCellMar>
        </w:tblPrEx>
        <w:trPr>
          <w:trHeight w:val="450" w:hRule="atLeast"/>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729"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宋体"/>
                <w:color w:val="000000"/>
                <w:kern w:val="0"/>
                <w:sz w:val="18"/>
                <w:szCs w:val="18"/>
                <w:lang w:val="en-US" w:eastAsia="zh-CN" w:bidi="ar"/>
              </w:rPr>
              <w:t>加强城市基础设施建设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宋体"/>
                <w:color w:val="000000"/>
                <w:kern w:val="0"/>
                <w:sz w:val="18"/>
                <w:szCs w:val="18"/>
                <w:lang w:val="en-US" w:eastAsia="zh-CN" w:bidi="ar"/>
              </w:rPr>
              <w:t>做好农村垃圾治理和分类，完善垃圾收运处置体系</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r>
              <w:rPr>
                <w:rFonts w:hint="eastAsia" w:ascii="仿宋" w:hAnsi="仿宋" w:eastAsia="仿宋" w:cs="宋体"/>
                <w:color w:val="000000"/>
                <w:kern w:val="0"/>
                <w:sz w:val="18"/>
                <w:szCs w:val="18"/>
                <w:lang w:val="en-US" w:eastAsia="zh-CN" w:bidi="ar"/>
              </w:rPr>
              <w:t>加大执法力度，优化县容县貌</w:t>
            </w:r>
          </w:p>
        </w:tc>
      </w:tr>
      <w:tr>
        <w:tblPrEx>
          <w:tblCellMar>
            <w:top w:w="0" w:type="dxa"/>
            <w:left w:w="0" w:type="dxa"/>
            <w:bottom w:w="0" w:type="dxa"/>
            <w:right w:w="0" w:type="dxa"/>
          </w:tblCellMar>
        </w:tblPrEx>
        <w:trPr>
          <w:trHeight w:val="45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2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2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2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27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43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43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bidi="ar"/>
              </w:rPr>
              <w:t>加大窨井盖管护力度；城区环卫清扫力度；凤鸣湖公园管理；道路绿化养护，提升绿化面积。</w:t>
            </w:r>
          </w:p>
        </w:tc>
      </w:tr>
      <w:tr>
        <w:tblPrEx>
          <w:tblCellMar>
            <w:top w:w="0" w:type="dxa"/>
            <w:left w:w="0" w:type="dxa"/>
            <w:bottom w:w="0" w:type="dxa"/>
            <w:right w:w="0" w:type="dxa"/>
          </w:tblCellMar>
        </w:tblPrEx>
        <w:trPr>
          <w:trHeight w:val="34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43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bidi="ar"/>
              </w:rPr>
              <w:t>引入农村垃圾治理市场化机制，不断完善“五有”标准和把握好“四个环节”，进一步健全农村垃圾收运处置体系，并积极引导和推广农村生活垃圾“二级四分法”。</w:t>
            </w:r>
          </w:p>
        </w:tc>
      </w:tr>
      <w:tr>
        <w:tblPrEx>
          <w:tblCellMar>
            <w:top w:w="0" w:type="dxa"/>
            <w:left w:w="0" w:type="dxa"/>
            <w:bottom w:w="0" w:type="dxa"/>
            <w:right w:w="0" w:type="dxa"/>
          </w:tblCellMar>
        </w:tblPrEx>
        <w:trPr>
          <w:trHeight w:val="42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43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bidi="ar"/>
              </w:rPr>
              <w:t>开展违法建设、占道经营、“三乱小广告”、户外广告牌匾、建筑工地、运输车辆道路遗撒和环境卫生等专项整治活动；加强执法监督，坚决纠正乱检查、乱处罚、乱作为等侵害商</w:t>
            </w:r>
          </w:p>
        </w:tc>
      </w:tr>
      <w:tr>
        <w:tblPrEx>
          <w:tblCellMar>
            <w:top w:w="0" w:type="dxa"/>
            <w:left w:w="0" w:type="dxa"/>
            <w:bottom w:w="0" w:type="dxa"/>
            <w:right w:w="0" w:type="dxa"/>
          </w:tblCellMar>
        </w:tblPrEx>
        <w:trPr>
          <w:trHeight w:val="440" w:hRule="atLeast"/>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4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22"/>
                <w:rFonts w:hint="default" w:ascii="仿宋" w:hAnsi="仿宋" w:eastAsia="仿宋" w:cs="仿宋"/>
                <w:lang w:val="en-US" w:eastAsia="zh-CN"/>
              </w:rPr>
            </w:pPr>
            <w:r>
              <w:rPr>
                <w:rStyle w:val="22"/>
                <w:rFonts w:hint="eastAsia" w:ascii="仿宋" w:hAnsi="仿宋" w:eastAsia="仿宋" w:cs="仿宋"/>
                <w:lang w:val="en-US" w:eastAsia="zh-CN"/>
              </w:rPr>
              <w:t>4449.19</w:t>
            </w:r>
            <w:bookmarkStart w:id="0" w:name="_GoBack"/>
            <w:bookmarkEnd w:id="0"/>
          </w:p>
        </w:tc>
      </w:tr>
      <w:tr>
        <w:tblPrEx>
          <w:tblCellMar>
            <w:top w:w="0" w:type="dxa"/>
            <w:left w:w="0" w:type="dxa"/>
            <w:bottom w:w="0" w:type="dxa"/>
            <w:right w:w="0" w:type="dxa"/>
          </w:tblCellMar>
        </w:tblPrEx>
        <w:trPr>
          <w:trHeight w:val="4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1、资金来源：（1）财政性资金</w:t>
            </w:r>
          </w:p>
        </w:tc>
        <w:tc>
          <w:tcPr>
            <w:tcW w:w="34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22"/>
                <w:rFonts w:hint="default" w:ascii="仿宋" w:hAnsi="仿宋" w:eastAsia="仿宋" w:cs="仿宋"/>
                <w:lang w:val="en-US"/>
              </w:rPr>
            </w:pPr>
            <w:r>
              <w:rPr>
                <w:rStyle w:val="22"/>
                <w:rFonts w:hint="eastAsia" w:ascii="仿宋" w:hAnsi="仿宋" w:eastAsia="仿宋" w:cs="仿宋"/>
                <w:lang w:val="en-US" w:eastAsia="zh-CN"/>
              </w:rPr>
              <w:t>4449.19</w:t>
            </w:r>
          </w:p>
        </w:tc>
      </w:tr>
      <w:tr>
        <w:tblPrEx>
          <w:tblCellMar>
            <w:top w:w="0" w:type="dxa"/>
            <w:left w:w="0" w:type="dxa"/>
            <w:bottom w:w="0" w:type="dxa"/>
            <w:right w:w="0" w:type="dxa"/>
          </w:tblCellMar>
        </w:tblPrEx>
        <w:trPr>
          <w:trHeight w:val="3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（2）其他资金</w:t>
            </w:r>
          </w:p>
        </w:tc>
        <w:tc>
          <w:tcPr>
            <w:tcW w:w="34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22"/>
                <w:rFonts w:ascii="仿宋" w:hAnsi="仿宋" w:eastAsia="仿宋" w:cs="仿宋"/>
              </w:rPr>
            </w:pPr>
          </w:p>
        </w:tc>
      </w:tr>
      <w:tr>
        <w:tblPrEx>
          <w:tblCellMar>
            <w:top w:w="0" w:type="dxa"/>
            <w:left w:w="0" w:type="dxa"/>
            <w:bottom w:w="0" w:type="dxa"/>
            <w:right w:w="0" w:type="dxa"/>
          </w:tblCellMar>
        </w:tblPrEx>
        <w:trPr>
          <w:trHeight w:val="40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2、资金结构：（1）基本支出</w:t>
            </w:r>
          </w:p>
        </w:tc>
        <w:tc>
          <w:tcPr>
            <w:tcW w:w="34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22"/>
                <w:rFonts w:hint="default" w:ascii="仿宋" w:hAnsi="仿宋" w:eastAsia="仿宋" w:cs="仿宋"/>
                <w:lang w:val="en-US" w:eastAsia="zh-CN"/>
              </w:rPr>
            </w:pPr>
            <w:r>
              <w:rPr>
                <w:rStyle w:val="22"/>
                <w:rFonts w:hint="eastAsia" w:ascii="仿宋" w:hAnsi="仿宋" w:eastAsia="仿宋" w:cs="仿宋"/>
                <w:lang w:val="en-US" w:eastAsia="zh-CN"/>
              </w:rPr>
              <w:t>287.1</w:t>
            </w:r>
          </w:p>
        </w:tc>
      </w:tr>
      <w:tr>
        <w:tblPrEx>
          <w:tblCellMar>
            <w:top w:w="0" w:type="dxa"/>
            <w:left w:w="0" w:type="dxa"/>
            <w:bottom w:w="0" w:type="dxa"/>
            <w:right w:w="0" w:type="dxa"/>
          </w:tblCellMar>
        </w:tblPrEx>
        <w:trPr>
          <w:trHeight w:val="44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（2）项目支出</w:t>
            </w:r>
          </w:p>
        </w:tc>
        <w:tc>
          <w:tcPr>
            <w:tcW w:w="34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22"/>
                <w:rFonts w:hint="default" w:ascii="仿宋" w:hAnsi="仿宋" w:eastAsia="仿宋" w:cs="仿宋"/>
                <w:lang w:val="en-US" w:eastAsia="zh-CN"/>
              </w:rPr>
            </w:pPr>
            <w:r>
              <w:rPr>
                <w:rStyle w:val="22"/>
                <w:rFonts w:hint="eastAsia" w:ascii="仿宋" w:hAnsi="仿宋" w:eastAsia="仿宋" w:cs="仿宋"/>
                <w:lang w:val="en-US" w:eastAsia="zh-CN"/>
              </w:rPr>
              <w:t>4162.09</w:t>
            </w:r>
          </w:p>
        </w:tc>
      </w:tr>
      <w:tr>
        <w:tblPrEx>
          <w:tblCellMar>
            <w:top w:w="0" w:type="dxa"/>
            <w:left w:w="0" w:type="dxa"/>
            <w:bottom w:w="0" w:type="dxa"/>
            <w:right w:w="0" w:type="dxa"/>
          </w:tblCellMar>
        </w:tblPrEx>
        <w:trPr>
          <w:trHeight w:val="540" w:hRule="atLeast"/>
        </w:trPr>
        <w:tc>
          <w:tcPr>
            <w:tcW w:w="2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相关</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科学</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jc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sz w:val="18"/>
                <w:szCs w:val="18"/>
                <w:lang w:val="en-US" w:eastAsia="zh-CN"/>
              </w:rPr>
              <w:t>合理</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sz w:val="18"/>
                <w:szCs w:val="18"/>
                <w:lang w:val="en-US" w:eastAsia="zh-CN"/>
              </w:rPr>
              <w:t>完整</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95%</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hint="eastAsia"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90%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hint="eastAsia"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5%</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15%</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color w:val="000000"/>
                <w:kern w:val="2"/>
                <w:sz w:val="18"/>
                <w:szCs w:val="18"/>
                <w:lang w:val="en-US" w:eastAsia="zh-CN" w:bidi="ar-SA"/>
              </w:rPr>
            </w:pPr>
            <w:r>
              <w:rPr>
                <w:rFonts w:hint="eastAsia" w:ascii="仿宋" w:hAnsi="仿宋" w:eastAsia="仿宋" w:cs="仿宋"/>
                <w:b w:val="0"/>
                <w:bCs w:val="0"/>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真实</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27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294"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518"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合规</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健全</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公开</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规范</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27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仿宋"/>
                <w:b w:val="0"/>
                <w:bCs w:val="0"/>
                <w:color w:val="000000"/>
                <w:kern w:val="2"/>
                <w:sz w:val="20"/>
                <w:szCs w:val="20"/>
                <w:lang w:val="en-US" w:eastAsia="zh-CN" w:bidi="ar-SA"/>
              </w:rPr>
            </w:pPr>
            <w:r>
              <w:rPr>
                <w:rFonts w:hint="eastAsia" w:ascii="仿宋" w:hAnsi="仿宋" w:eastAsia="仿宋" w:cs="仿宋"/>
                <w:b w:val="0"/>
                <w:bCs w:val="0"/>
                <w:color w:val="000000"/>
                <w:sz w:val="20"/>
                <w:szCs w:val="20"/>
                <w:lang w:val="en-US" w:eastAsia="zh-CN"/>
              </w:rPr>
              <w:t>100%</w:t>
            </w:r>
          </w:p>
        </w:tc>
        <w:tc>
          <w:tcPr>
            <w:tcW w:w="29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宋体"/>
                <w:color w:val="000000"/>
                <w:kern w:val="0"/>
                <w:sz w:val="18"/>
                <w:szCs w:val="18"/>
                <w:lang w:val="en-US" w:eastAsia="zh-CN" w:bidi="ar"/>
              </w:rPr>
              <w:t>完成非税收入任务</w:t>
            </w:r>
          </w:p>
        </w:tc>
        <w:tc>
          <w:tcPr>
            <w:tcW w:w="29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强化基础设施，优化</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改善县容县貌，增加绿化面积</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5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90%</w:t>
            </w:r>
          </w:p>
        </w:tc>
        <w:tc>
          <w:tcPr>
            <w:tcW w:w="29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widowControl/>
        <w:spacing w:line="320" w:lineRule="exact"/>
        <w:jc w:val="both"/>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11"/>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4F0FED"/>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2D3176E9"/>
    <w:rsid w:val="2EB252FC"/>
    <w:rsid w:val="2F15079F"/>
    <w:rsid w:val="302B2BB8"/>
    <w:rsid w:val="319A78EE"/>
    <w:rsid w:val="33C9294F"/>
    <w:rsid w:val="344D1089"/>
    <w:rsid w:val="351077AD"/>
    <w:rsid w:val="356B73F7"/>
    <w:rsid w:val="37190D0A"/>
    <w:rsid w:val="39B35D5B"/>
    <w:rsid w:val="3C650EA2"/>
    <w:rsid w:val="3C882259"/>
    <w:rsid w:val="3D7C1E32"/>
    <w:rsid w:val="3D8D2DB2"/>
    <w:rsid w:val="3DBF3F38"/>
    <w:rsid w:val="40DC543A"/>
    <w:rsid w:val="44661788"/>
    <w:rsid w:val="447B51CD"/>
    <w:rsid w:val="48792D39"/>
    <w:rsid w:val="499C14F2"/>
    <w:rsid w:val="4A69625F"/>
    <w:rsid w:val="4B870AC0"/>
    <w:rsid w:val="4C281AB1"/>
    <w:rsid w:val="4C2B4AF1"/>
    <w:rsid w:val="4CB84B16"/>
    <w:rsid w:val="530504E8"/>
    <w:rsid w:val="53D53D55"/>
    <w:rsid w:val="54FE107E"/>
    <w:rsid w:val="55163C24"/>
    <w:rsid w:val="5601198C"/>
    <w:rsid w:val="56104055"/>
    <w:rsid w:val="572C68E4"/>
    <w:rsid w:val="5ACE410D"/>
    <w:rsid w:val="5CE85B58"/>
    <w:rsid w:val="5D731A92"/>
    <w:rsid w:val="603E5DB0"/>
    <w:rsid w:val="62A47E73"/>
    <w:rsid w:val="62A85D16"/>
    <w:rsid w:val="642660CF"/>
    <w:rsid w:val="64D12C3C"/>
    <w:rsid w:val="6647282C"/>
    <w:rsid w:val="678B2E0B"/>
    <w:rsid w:val="6988452D"/>
    <w:rsid w:val="69A529BF"/>
    <w:rsid w:val="703D259A"/>
    <w:rsid w:val="707D36D5"/>
    <w:rsid w:val="721C39A2"/>
    <w:rsid w:val="72B91FCA"/>
    <w:rsid w:val="755D3DB4"/>
    <w:rsid w:val="77A44894"/>
    <w:rsid w:val="788B35BF"/>
    <w:rsid w:val="796F6487"/>
    <w:rsid w:val="79F9693F"/>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6"/>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5"/>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7"/>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8"/>
    <w:semiHidden/>
    <w:unhideWhenUsed/>
    <w:qFormat/>
    <w:uiPriority w:val="0"/>
    <w:pPr>
      <w:keepNext/>
      <w:keepLines/>
      <w:spacing w:line="372" w:lineRule="auto"/>
      <w:outlineLvl w:val="3"/>
    </w:pPr>
    <w:rPr>
      <w:rFonts w:ascii="宋体" w:hAnsi="宋体"/>
      <w:b/>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Indent 2"/>
    <w:basedOn w:val="1"/>
    <w:qFormat/>
    <w:uiPriority w:val="0"/>
    <w:pPr>
      <w:spacing w:line="480" w:lineRule="auto"/>
      <w:ind w:left="420" w:leftChars="200"/>
    </w:pPr>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First Indent"/>
    <w:basedOn w:val="2"/>
    <w:qFormat/>
    <w:uiPriority w:val="0"/>
    <w:pPr>
      <w:ind w:firstLine="420" w:firstLineChars="1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2 Char"/>
    <w:link w:val="5"/>
    <w:qFormat/>
    <w:uiPriority w:val="9"/>
    <w:rPr>
      <w:rFonts w:ascii="Arial" w:hAnsi="Arial" w:eastAsia="宋体" w:cs="Arial"/>
      <w:b/>
      <w:bCs/>
      <w:sz w:val="32"/>
      <w:szCs w:val="32"/>
    </w:rPr>
  </w:style>
  <w:style w:type="character" w:customStyle="1" w:styleId="16">
    <w:name w:val="标题 1 Char"/>
    <w:link w:val="4"/>
    <w:qFormat/>
    <w:uiPriority w:val="0"/>
    <w:rPr>
      <w:rFonts w:ascii="Times New Roman" w:hAnsi="Times New Roman" w:eastAsia="宋体" w:cs="宋体"/>
      <w:b/>
      <w:kern w:val="44"/>
      <w:sz w:val="36"/>
    </w:rPr>
  </w:style>
  <w:style w:type="character" w:customStyle="1" w:styleId="17">
    <w:name w:val="标题 3 Char"/>
    <w:link w:val="6"/>
    <w:qFormat/>
    <w:uiPriority w:val="9"/>
    <w:rPr>
      <w:rFonts w:ascii="Calibri" w:hAnsi="Calibri" w:eastAsia="宋体" w:cs="宋体"/>
      <w:b/>
      <w:sz w:val="30"/>
    </w:rPr>
  </w:style>
  <w:style w:type="character" w:customStyle="1" w:styleId="18">
    <w:name w:val="标题 4 Char"/>
    <w:link w:val="7"/>
    <w:qFormat/>
    <w:uiPriority w:val="0"/>
    <w:rPr>
      <w:rFonts w:ascii="宋体" w:hAnsi="宋体" w:eastAsia="宋体"/>
      <w:b/>
    </w:rPr>
  </w:style>
  <w:style w:type="paragraph" w:customStyle="1" w:styleId="19">
    <w:name w:val="正文文本1"/>
    <w:basedOn w:val="1"/>
    <w:link w:val="21"/>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20">
    <w:name w:val="正文文本 + 11 pt"/>
    <w:basedOn w:val="21"/>
    <w:qFormat/>
    <w:uiPriority w:val="0"/>
    <w:rPr>
      <w:color w:val="000000"/>
      <w:w w:val="100"/>
      <w:position w:val="0"/>
      <w:sz w:val="22"/>
      <w:szCs w:val="22"/>
      <w:lang w:val="en-US"/>
    </w:rPr>
  </w:style>
  <w:style w:type="character" w:customStyle="1" w:styleId="21">
    <w:name w:val="正文文本_"/>
    <w:basedOn w:val="14"/>
    <w:link w:val="19"/>
    <w:qFormat/>
    <w:uiPriority w:val="0"/>
    <w:rPr>
      <w:rFonts w:ascii="MingLiU" w:hAnsi="MingLiU" w:eastAsia="MingLiU" w:cs="MingLiU"/>
      <w:spacing w:val="40"/>
      <w:sz w:val="28"/>
      <w:szCs w:val="28"/>
      <w:u w:val="none"/>
    </w:rPr>
  </w:style>
  <w:style w:type="character" w:customStyle="1" w:styleId="22">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 木槿 </cp:lastModifiedBy>
  <cp:lastPrinted>2021-09-16T02:32:00Z</cp:lastPrinted>
  <dcterms:modified xsi:type="dcterms:W3CDTF">2022-03-11T07:09:13Z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AD5AF3474F64440691FFC28E788D8B8B</vt:lpwstr>
  </property>
</Properties>
</file>