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10682" w:type="dxa"/>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71"/>
              <w:gridCol w:w="324"/>
              <w:gridCol w:w="1339"/>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公务用车</w:t>
                  </w:r>
                  <w:r>
                    <w:rPr>
                      <w:rFonts w:hint="eastAsia" w:ascii="仿宋" w:hAnsi="仿宋" w:eastAsia="仿宋" w:cs="仿宋"/>
                      <w:kern w:val="0"/>
                      <w:sz w:val="24"/>
                      <w:lang w:val="en-US" w:eastAsia="zh-CN"/>
                    </w:rPr>
                    <w:t>购置</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　</w:t>
                  </w:r>
                  <w:r>
                    <w:rPr>
                      <w:rFonts w:hint="eastAsia" w:ascii="仿宋" w:hAnsi="仿宋" w:eastAsia="仿宋" w:cs="仿宋"/>
                      <w:kern w:val="0"/>
                      <w:sz w:val="24"/>
                      <w:lang w:eastAsia="zh-CN"/>
                    </w:rPr>
                    <w:t>新乡县住房和城乡建设局</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新乡县住建局</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15万元</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rPr>
                    <w:t>　</w:t>
                  </w:r>
                  <w:r>
                    <w:rPr>
                      <w:rFonts w:hint="eastAsia" w:ascii="仿宋" w:hAnsi="仿宋" w:eastAsia="仿宋" w:cs="仿宋"/>
                      <w:kern w:val="0"/>
                      <w:sz w:val="24"/>
                      <w:lang w:val="en-US" w:eastAsia="zh-CN"/>
                    </w:rPr>
                    <w:t>15万元</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15万元</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rPr>
                    <w:t>　</w:t>
                  </w:r>
                  <w:r>
                    <w:rPr>
                      <w:rFonts w:hint="eastAsia" w:ascii="仿宋" w:hAnsi="仿宋" w:eastAsia="仿宋" w:cs="仿宋"/>
                      <w:kern w:val="0"/>
                      <w:sz w:val="24"/>
                      <w:lang w:val="en-US" w:eastAsia="zh-CN"/>
                    </w:rPr>
                    <w:t>15万元</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68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rPr>
                    <w:t xml:space="preserve"> </w:t>
                  </w:r>
                  <w:r>
                    <w:rPr>
                      <w:rFonts w:hint="eastAsia" w:ascii="仿宋" w:hAnsi="仿宋" w:eastAsia="仿宋" w:cs="仿宋"/>
                      <w:kern w:val="0"/>
                      <w:sz w:val="24"/>
                      <w:lang w:val="en-US" w:eastAsia="zh-CN"/>
                    </w:rPr>
                    <w:t>购置公务用车1辆，</w:t>
                  </w:r>
                  <w:r>
                    <w:rPr>
                      <w:rFonts w:hint="eastAsia" w:ascii="仿宋" w:hAnsi="仿宋" w:eastAsia="仿宋" w:cs="仿宋"/>
                      <w:kern w:val="0"/>
                      <w:sz w:val="24"/>
                      <w:lang w:eastAsia="zh-CN"/>
                    </w:rPr>
                    <w:t>保障工作正常开展。</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购置公务用车1辆，</w:t>
                  </w:r>
                  <w:r>
                    <w:rPr>
                      <w:rFonts w:hint="eastAsia" w:ascii="仿宋" w:hAnsi="仿宋" w:eastAsia="仿宋" w:cs="仿宋"/>
                      <w:kern w:val="0"/>
                      <w:sz w:val="24"/>
                      <w:lang w:eastAsia="zh-CN"/>
                    </w:rPr>
                    <w:t>保障工作正常开展。</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购置车辆数</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1辆</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购</w:t>
                  </w:r>
                  <w:bookmarkStart w:id="0" w:name="_GoBack"/>
                  <w:bookmarkEnd w:id="0"/>
                  <w:r>
                    <w:rPr>
                      <w:rFonts w:hint="eastAsia" w:ascii="仿宋" w:hAnsi="仿宋" w:eastAsia="仿宋" w:cs="仿宋"/>
                      <w:kern w:val="0"/>
                      <w:sz w:val="24"/>
                      <w:lang w:eastAsia="zh-CN"/>
                    </w:rPr>
                    <w:t>置车辆数</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1辆</w:t>
                  </w:r>
                </w:p>
              </w:tc>
            </w:tr>
            <w:tr>
              <w:tblPrEx>
                <w:tblCellMar>
                  <w:top w:w="0" w:type="dxa"/>
                  <w:left w:w="108" w:type="dxa"/>
                  <w:bottom w:w="0" w:type="dxa"/>
                  <w:right w:w="108" w:type="dxa"/>
                </w:tblCellMar>
              </w:tblPrEx>
              <w:trPr>
                <w:trHeight w:val="188"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车辆验收合格率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车辆验收合格率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143"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车辆购置及时性</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车辆购置及时性</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25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车辆总成本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宋体" w:hAnsi="宋体" w:eastAsia="宋体" w:cs="宋体"/>
                      <w:kern w:val="0"/>
                      <w:sz w:val="24"/>
                      <w:lang w:val="en-US" w:eastAsia="zh-CN"/>
                    </w:rPr>
                    <w:t>≦</w:t>
                  </w:r>
                  <w:r>
                    <w:rPr>
                      <w:rFonts w:hint="eastAsia" w:ascii="仿宋" w:hAnsi="仿宋" w:eastAsia="仿宋" w:cs="仿宋"/>
                      <w:kern w:val="0"/>
                      <w:sz w:val="24"/>
                      <w:lang w:val="en-US" w:eastAsia="zh-CN"/>
                    </w:rPr>
                    <w:t>15万元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车辆总成本</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宋体" w:hAnsi="宋体" w:eastAsia="宋体" w:cs="宋体"/>
                      <w:kern w:val="0"/>
                      <w:sz w:val="24"/>
                      <w:lang w:val="en-US" w:eastAsia="zh-CN"/>
                    </w:rPr>
                    <w:t>≦</w:t>
                  </w:r>
                  <w:r>
                    <w:rPr>
                      <w:rFonts w:hint="eastAsia" w:ascii="仿宋" w:hAnsi="仿宋" w:eastAsia="仿宋" w:cs="仿宋"/>
                      <w:kern w:val="0"/>
                      <w:sz w:val="24"/>
                      <w:lang w:val="en-US" w:eastAsia="zh-CN"/>
                    </w:rPr>
                    <w:t>15万元</w:t>
                  </w:r>
                </w:p>
              </w:tc>
            </w:tr>
            <w:tr>
              <w:tblPrEx>
                <w:tblCellMar>
                  <w:top w:w="0" w:type="dxa"/>
                  <w:left w:w="108" w:type="dxa"/>
                  <w:bottom w:w="0" w:type="dxa"/>
                  <w:right w:w="108" w:type="dxa"/>
                </w:tblCellMar>
              </w:tblPrEx>
              <w:trPr>
                <w:trHeight w:val="19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3497" w:type="dxa"/>
                  <w:gridSpan w:val="2"/>
                  <w:tcBorders>
                    <w:top w:val="single" w:color="auto" w:sz="4" w:space="0"/>
                    <w:left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4034"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606"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保障工作正常的开展</w:t>
                  </w:r>
                </w:p>
              </w:tc>
              <w:tc>
                <w:tcPr>
                  <w:tcW w:w="1568" w:type="dxa"/>
                  <w:tcBorders>
                    <w:top w:val="single" w:color="auto" w:sz="4" w:space="0"/>
                    <w:left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促进</w:t>
                  </w:r>
                </w:p>
              </w:tc>
              <w:tc>
                <w:tcPr>
                  <w:tcW w:w="777"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tcBorders>
                    <w:top w:val="single" w:color="auto" w:sz="4" w:space="0"/>
                    <w:left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保障工作正常的开展</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促进</w:t>
                  </w:r>
                </w:p>
              </w:tc>
            </w:tr>
            <w:tr>
              <w:tblPrEx>
                <w:tblCellMar>
                  <w:top w:w="0" w:type="dxa"/>
                  <w:left w:w="108" w:type="dxa"/>
                  <w:bottom w:w="0" w:type="dxa"/>
                  <w:right w:w="108" w:type="dxa"/>
                </w:tblCellMar>
              </w:tblPrEx>
              <w:trPr>
                <w:trHeight w:val="398"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304"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234"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268"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单位满意度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val="en-US" w:eastAsia="zh-CN"/>
                    </w:rPr>
                  </w:pPr>
                  <w:r>
                    <w:rPr>
                      <w:rFonts w:hint="eastAsia" w:ascii="宋体" w:hAnsi="宋体" w:eastAsia="宋体" w:cs="宋体"/>
                      <w:kern w:val="0"/>
                      <w:sz w:val="24"/>
                    </w:rPr>
                    <w:t>≧</w:t>
                  </w:r>
                  <w:r>
                    <w:rPr>
                      <w:rFonts w:hint="eastAsia" w:ascii="仿宋" w:hAnsi="仿宋" w:eastAsia="仿宋" w:cs="仿宋"/>
                      <w:kern w:val="0"/>
                      <w:sz w:val="24"/>
                      <w:lang w:val="en-US" w:eastAsia="zh-CN"/>
                    </w:rPr>
                    <w:t>95%</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单位满意度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宋体" w:hAnsi="宋体" w:eastAsia="宋体" w:cs="宋体"/>
                      <w:kern w:val="0"/>
                      <w:sz w:val="24"/>
                    </w:rPr>
                    <w:t>≧</w:t>
                  </w:r>
                  <w:r>
                    <w:rPr>
                      <w:rFonts w:hint="eastAsia" w:ascii="仿宋" w:hAnsi="仿宋" w:eastAsia="仿宋" w:cs="仿宋"/>
                      <w:kern w:val="0"/>
                      <w:sz w:val="24"/>
                      <w:lang w:val="en-US" w:eastAsia="zh-CN"/>
                    </w:rPr>
                    <w:t>95%</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1"/>
        <w:tblW w:w="10492" w:type="dxa"/>
        <w:tblInd w:w="0" w:type="dxa"/>
        <w:tblLayout w:type="fixed"/>
        <w:tblCellMar>
          <w:top w:w="0" w:type="dxa"/>
          <w:left w:w="0" w:type="dxa"/>
          <w:bottom w:w="0" w:type="dxa"/>
          <w:right w:w="0" w:type="dxa"/>
        </w:tblCellMar>
      </w:tblPr>
      <w:tblGrid>
        <w:gridCol w:w="852"/>
        <w:gridCol w:w="939"/>
        <w:gridCol w:w="1900"/>
        <w:gridCol w:w="995"/>
        <w:gridCol w:w="5806"/>
      </w:tblGrid>
      <w:tr>
        <w:tblPrEx>
          <w:tblCellMar>
            <w:top w:w="0" w:type="dxa"/>
            <w:left w:w="0" w:type="dxa"/>
            <w:bottom w:w="0" w:type="dxa"/>
            <w:right w:w="0" w:type="dxa"/>
          </w:tblCellMar>
        </w:tblPrEx>
        <w:trPr>
          <w:trHeight w:val="750" w:hRule="atLeast"/>
        </w:trPr>
        <w:tc>
          <w:tcPr>
            <w:tcW w:w="10492" w:type="dxa"/>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10492" w:type="dxa"/>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年度）</w:t>
            </w:r>
          </w:p>
        </w:tc>
      </w:tr>
      <w:tr>
        <w:tblPrEx>
          <w:tblCellMar>
            <w:top w:w="0" w:type="dxa"/>
            <w:left w:w="0" w:type="dxa"/>
            <w:bottom w:w="0" w:type="dxa"/>
            <w:right w:w="0" w:type="dxa"/>
          </w:tblCellMar>
        </w:tblPrEx>
        <w:trPr>
          <w:trHeight w:val="450" w:hRule="atLeast"/>
        </w:trPr>
        <w:tc>
          <w:tcPr>
            <w:tcW w:w="179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9640"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CellMar>
            <w:top w:w="0" w:type="dxa"/>
            <w:left w:w="0" w:type="dxa"/>
            <w:bottom w:w="0" w:type="dxa"/>
            <w:right w:w="0"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40" w:hRule="atLeast"/>
        </w:trPr>
        <w:tc>
          <w:tcPr>
            <w:tcW w:w="8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9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9"/>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9DB"/>
    <w:rsid w:val="00110077"/>
    <w:rsid w:val="003F09DB"/>
    <w:rsid w:val="00B52A78"/>
    <w:rsid w:val="026F1FB2"/>
    <w:rsid w:val="039F3544"/>
    <w:rsid w:val="04CC7B54"/>
    <w:rsid w:val="0591655C"/>
    <w:rsid w:val="0601105B"/>
    <w:rsid w:val="07432C73"/>
    <w:rsid w:val="0B991E13"/>
    <w:rsid w:val="0CA90420"/>
    <w:rsid w:val="0DE46181"/>
    <w:rsid w:val="0F690488"/>
    <w:rsid w:val="0FD73003"/>
    <w:rsid w:val="11DC45C4"/>
    <w:rsid w:val="144F741F"/>
    <w:rsid w:val="1460110F"/>
    <w:rsid w:val="157B319D"/>
    <w:rsid w:val="17713066"/>
    <w:rsid w:val="18755C9B"/>
    <w:rsid w:val="18904A43"/>
    <w:rsid w:val="18967E92"/>
    <w:rsid w:val="1AFF02A6"/>
    <w:rsid w:val="1B9603D1"/>
    <w:rsid w:val="1BF11801"/>
    <w:rsid w:val="1CAA076C"/>
    <w:rsid w:val="1CC26514"/>
    <w:rsid w:val="1F091BEE"/>
    <w:rsid w:val="215B43BB"/>
    <w:rsid w:val="21C11718"/>
    <w:rsid w:val="22302EBD"/>
    <w:rsid w:val="22B90070"/>
    <w:rsid w:val="22BB4AB2"/>
    <w:rsid w:val="23247CB7"/>
    <w:rsid w:val="232A0A7A"/>
    <w:rsid w:val="2451548A"/>
    <w:rsid w:val="24611640"/>
    <w:rsid w:val="28BE44C8"/>
    <w:rsid w:val="2A4749CF"/>
    <w:rsid w:val="2C020CF3"/>
    <w:rsid w:val="2DDA58A4"/>
    <w:rsid w:val="302B2BB8"/>
    <w:rsid w:val="319A78EE"/>
    <w:rsid w:val="33C9294F"/>
    <w:rsid w:val="344D1089"/>
    <w:rsid w:val="351077AD"/>
    <w:rsid w:val="356B73F7"/>
    <w:rsid w:val="37190D0A"/>
    <w:rsid w:val="39B35D5B"/>
    <w:rsid w:val="3C650EA2"/>
    <w:rsid w:val="3C882259"/>
    <w:rsid w:val="3D8D2DB2"/>
    <w:rsid w:val="3DBF3F38"/>
    <w:rsid w:val="40DC543A"/>
    <w:rsid w:val="44661788"/>
    <w:rsid w:val="447B51CD"/>
    <w:rsid w:val="48792D39"/>
    <w:rsid w:val="499C14F2"/>
    <w:rsid w:val="4A69625F"/>
    <w:rsid w:val="4B870AC0"/>
    <w:rsid w:val="4C281AB1"/>
    <w:rsid w:val="4C2B4AF1"/>
    <w:rsid w:val="530504E8"/>
    <w:rsid w:val="53D53D55"/>
    <w:rsid w:val="54FE107E"/>
    <w:rsid w:val="55163C24"/>
    <w:rsid w:val="5601198C"/>
    <w:rsid w:val="56104055"/>
    <w:rsid w:val="572C68E4"/>
    <w:rsid w:val="5CE85B58"/>
    <w:rsid w:val="5D731A92"/>
    <w:rsid w:val="5EC4478E"/>
    <w:rsid w:val="603E5DB0"/>
    <w:rsid w:val="62A47E73"/>
    <w:rsid w:val="62A85D16"/>
    <w:rsid w:val="642660CF"/>
    <w:rsid w:val="64D12C3C"/>
    <w:rsid w:val="65BC4A7E"/>
    <w:rsid w:val="6647282C"/>
    <w:rsid w:val="678B2E0B"/>
    <w:rsid w:val="6988452D"/>
    <w:rsid w:val="6B9201FF"/>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0</TotalTime>
  <ScaleCrop>false</ScaleCrop>
  <LinksUpToDate>false</LinksUpToDate>
  <CharactersWithSpaces>3401</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Administrator</cp:lastModifiedBy>
  <cp:lastPrinted>2021-09-15T08:24:00Z</cp:lastPrinted>
  <dcterms:modified xsi:type="dcterms:W3CDTF">2021-09-16T01:02:21Z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985D144F29B949C1836CB73A14E7EC1E</vt:lpwstr>
  </property>
</Properties>
</file>