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路灯电费及路灯维护费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新乡县住房和城乡建设局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新乡县住建局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449.19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284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　</w:t>
                  </w:r>
                  <w:r>
                    <w:rPr>
                      <w:rFonts w:hint="eastAsia"/>
                      <w:lang w:val="en-US" w:eastAsia="zh-CN"/>
                    </w:rPr>
                    <w:t>449.19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284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  <w:bookmarkStart w:id="0" w:name="_GoBack"/>
                  <w:bookmarkEnd w:id="0"/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保障建成区路灯照明电费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对建成区路灯照明进行设施维护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完成建成区路灯照明设施维护一年</w:t>
                  </w:r>
                </w:p>
                <w:p>
                  <w:pPr>
                    <w:pStyle w:val="2"/>
                    <w:ind w:firstLine="0" w:firstLineChars="0"/>
                    <w:rPr>
                      <w:rFonts w:hint="eastAsi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完成全年建成区路灯电费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3800盏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3800盏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维护线路长度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20000米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维护线路长度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20000米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亮化率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98%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亮化率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设备完好率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设备完好率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24小时内故障处理及时率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24小时内故障处理及时率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路灯电费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路灯电费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180万元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路灯维护费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269.19万元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路灯维护费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104万元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保障重要道路照明，安全事故率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保障重要道路照明，安全事故率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重大节日路灯正常运转率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重大节日路灯正常运转率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路灯维护群众满意度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≥9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284DAA"/>
    <w:rsid w:val="003F09DB"/>
    <w:rsid w:val="00822D53"/>
    <w:rsid w:val="00970A1E"/>
    <w:rsid w:val="00A471E9"/>
    <w:rsid w:val="00B52A78"/>
    <w:rsid w:val="00CC6C4D"/>
    <w:rsid w:val="00E85EEF"/>
    <w:rsid w:val="00F076FF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7400B8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538</Words>
  <Characters>3072</Characters>
  <Lines>25</Lines>
  <Paragraphs>7</Paragraphs>
  <TotalTime>1</TotalTime>
  <ScaleCrop>false</ScaleCrop>
  <LinksUpToDate>false</LinksUpToDate>
  <CharactersWithSpaces>3603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2021-09-28T08:13:55Z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2BB3D6730ED14DADAED5BF6B7F50A499</vt:lpwstr>
  </property>
</Properties>
</file>