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0"/>
        <w:rPr>
          <w:rFonts w:hint="eastAsia" w:ascii="Times New Roman" w:hAnsi="Times New Roman" w:eastAsia="黑体" w:cs="Times New Roman"/>
          <w:snapToGrid w:val="0"/>
          <w:color w:val="000000" w:themeColor="text1"/>
          <w:sz w:val="30"/>
          <w:szCs w:val="30"/>
          <w:highlight w:val="none"/>
          <w:lang w:eastAsia="zh-CN"/>
          <w14:textFill>
            <w14:solidFill>
              <w14:schemeClr w14:val="tx1"/>
            </w14:solidFill>
          </w14:textFill>
        </w:rPr>
        <w:sectPr>
          <w:headerReference r:id="rId5" w:type="default"/>
          <w:footerReference r:id="rId6" w:type="default"/>
          <w:pgSz w:w="11906" w:h="16838"/>
          <w:pgMar w:top="1803" w:right="1440" w:bottom="1803" w:left="1440" w:header="851" w:footer="1077" w:gutter="0"/>
          <w:pgBorders>
            <w:top w:val="none" w:sz="0" w:space="0"/>
            <w:left w:val="none" w:sz="0" w:space="0"/>
            <w:bottom w:val="none" w:sz="0" w:space="0"/>
            <w:right w:val="none" w:sz="0" w:space="0"/>
          </w:pgBorders>
          <w:pgNumType w:fmt="decimal"/>
          <w:cols w:space="0" w:num="1"/>
          <w:rtlGutter w:val="0"/>
          <w:docGrid w:linePitch="312" w:charSpace="0"/>
        </w:sectPr>
      </w:pPr>
      <w:r>
        <w:rPr>
          <w:rFonts w:hint="eastAsia" w:ascii="Times New Roman" w:hAnsi="Times New Roman" w:eastAsia="黑体" w:cs="Times New Roman"/>
          <w:snapToGrid w:val="0"/>
          <w:color w:val="000000" w:themeColor="text1"/>
          <w:sz w:val="30"/>
          <w:szCs w:val="30"/>
          <w:highlight w:val="none"/>
          <w:lang w:eastAsia="zh-CN"/>
          <w14:textFill>
            <w14:solidFill>
              <w14:schemeClr w14:val="tx1"/>
            </w14:solidFill>
          </w14:textFill>
        </w:rPr>
        <w:drawing>
          <wp:anchor distT="0" distB="0" distL="114300" distR="114300" simplePos="0" relativeHeight="251683840" behindDoc="0" locked="0" layoutInCell="1" allowOverlap="1">
            <wp:simplePos x="0" y="0"/>
            <wp:positionH relativeFrom="column">
              <wp:posOffset>-914400</wp:posOffset>
            </wp:positionH>
            <wp:positionV relativeFrom="paragraph">
              <wp:posOffset>-1144905</wp:posOffset>
            </wp:positionV>
            <wp:extent cx="7559040" cy="10695305"/>
            <wp:effectExtent l="0" t="0" r="3810" b="10795"/>
            <wp:wrapSquare wrapText="bothSides"/>
            <wp:docPr id="28" name="图片 28" descr="新建 DOCX 文档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新建 DOCX 文档_页面_1"/>
                    <pic:cNvPicPr>
                      <a:picLocks noChangeAspect="1"/>
                    </pic:cNvPicPr>
                  </pic:nvPicPr>
                  <pic:blipFill>
                    <a:blip r:embed="rId9"/>
                    <a:stretch>
                      <a:fillRect/>
                    </a:stretch>
                  </pic:blipFill>
                  <pic:spPr>
                    <a:xfrm>
                      <a:off x="0" y="0"/>
                      <a:ext cx="7559040" cy="10695305"/>
                    </a:xfrm>
                    <a:prstGeom prst="rect">
                      <a:avLst/>
                    </a:prstGeom>
                  </pic:spPr>
                </pic:pic>
              </a:graphicData>
            </a:graphic>
          </wp:anchor>
        </w:drawing>
      </w:r>
    </w:p>
    <w:p>
      <w:pPr>
        <w:pStyle w:val="16"/>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0"/>
        <w:rPr>
          <w:rFonts w:hint="eastAsia" w:ascii="Times New Roman" w:hAnsi="Times New Roman" w:eastAsia="黑体" w:cs="Times New Roman"/>
          <w:snapToGrid w:val="0"/>
          <w:color w:val="000000" w:themeColor="text1"/>
          <w:sz w:val="30"/>
          <w:szCs w:val="30"/>
          <w:highlight w:val="none"/>
          <w:lang w:eastAsia="zh-CN"/>
          <w14:textFill>
            <w14:solidFill>
              <w14:schemeClr w14:val="tx1"/>
            </w14:solidFill>
          </w14:textFill>
        </w:rPr>
        <w:sectPr>
          <w:pgSz w:w="11906" w:h="16838"/>
          <w:pgMar w:top="1803" w:right="1440" w:bottom="1803" w:left="1440" w:header="851" w:footer="1077" w:gutter="0"/>
          <w:pgBorders>
            <w:top w:val="none" w:sz="0" w:space="0"/>
            <w:left w:val="none" w:sz="0" w:space="0"/>
            <w:bottom w:val="none" w:sz="0" w:space="0"/>
            <w:right w:val="none" w:sz="0" w:space="0"/>
          </w:pgBorders>
          <w:pgNumType w:fmt="decimal"/>
          <w:cols w:space="0" w:num="1"/>
          <w:rtlGutter w:val="0"/>
          <w:docGrid w:linePitch="312" w:charSpace="0"/>
        </w:sectPr>
      </w:pPr>
      <w:r>
        <w:rPr>
          <w:rFonts w:hint="eastAsia" w:ascii="Times New Roman" w:hAnsi="Times New Roman" w:eastAsia="黑体" w:cs="Times New Roman"/>
          <w:snapToGrid w:val="0"/>
          <w:color w:val="000000" w:themeColor="text1"/>
          <w:sz w:val="30"/>
          <w:szCs w:val="30"/>
          <w:highlight w:val="none"/>
          <w:lang w:eastAsia="zh-CN"/>
          <w14:textFill>
            <w14:solidFill>
              <w14:schemeClr w14:val="tx1"/>
            </w14:solidFill>
          </w14:textFill>
        </w:rPr>
        <w:drawing>
          <wp:anchor distT="0" distB="0" distL="114300" distR="114300" simplePos="0" relativeHeight="251684864" behindDoc="0" locked="0" layoutInCell="1" allowOverlap="1">
            <wp:simplePos x="0" y="0"/>
            <wp:positionH relativeFrom="column">
              <wp:posOffset>-914400</wp:posOffset>
            </wp:positionH>
            <wp:positionV relativeFrom="paragraph">
              <wp:posOffset>-1144905</wp:posOffset>
            </wp:positionV>
            <wp:extent cx="7582535" cy="10728960"/>
            <wp:effectExtent l="0" t="0" r="18415" b="15240"/>
            <wp:wrapSquare wrapText="bothSides"/>
            <wp:docPr id="29" name="图片 29" descr="新建 DOCX 文档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新建 DOCX 文档_页面_2"/>
                    <pic:cNvPicPr>
                      <a:picLocks noChangeAspect="1"/>
                    </pic:cNvPicPr>
                  </pic:nvPicPr>
                  <pic:blipFill>
                    <a:blip r:embed="rId10"/>
                    <a:stretch>
                      <a:fillRect/>
                    </a:stretch>
                  </pic:blipFill>
                  <pic:spPr>
                    <a:xfrm>
                      <a:off x="0" y="0"/>
                      <a:ext cx="7582535" cy="10728960"/>
                    </a:xfrm>
                    <a:prstGeom prst="rect">
                      <a:avLst/>
                    </a:prstGeom>
                  </pic:spPr>
                </pic:pic>
              </a:graphicData>
            </a:graphic>
          </wp:anchor>
        </w:drawing>
      </w:r>
    </w:p>
    <w:p>
      <w:pPr>
        <w:pStyle w:val="16"/>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0"/>
        <w:rPr>
          <w:rFonts w:hint="eastAsia" w:ascii="Times New Roman" w:hAnsi="Times New Roman" w:eastAsia="黑体" w:cs="Times New Roman"/>
          <w:snapToGrid w:val="0"/>
          <w:color w:val="000000" w:themeColor="text1"/>
          <w:sz w:val="30"/>
          <w:szCs w:val="30"/>
          <w:highlight w:val="none"/>
          <w:lang w:eastAsia="zh-CN"/>
          <w14:textFill>
            <w14:solidFill>
              <w14:schemeClr w14:val="tx1"/>
            </w14:solidFill>
          </w14:textFill>
        </w:rPr>
        <w:sectPr>
          <w:pgSz w:w="11906" w:h="16838"/>
          <w:pgMar w:top="1803" w:right="1440" w:bottom="1803" w:left="1440" w:header="851" w:footer="1077" w:gutter="0"/>
          <w:pgBorders>
            <w:top w:val="none" w:sz="0" w:space="0"/>
            <w:left w:val="none" w:sz="0" w:space="0"/>
            <w:bottom w:val="none" w:sz="0" w:space="0"/>
            <w:right w:val="none" w:sz="0" w:space="0"/>
          </w:pgBorders>
          <w:pgNumType w:fmt="decimal"/>
          <w:cols w:space="0" w:num="1"/>
          <w:rtlGutter w:val="0"/>
          <w:docGrid w:linePitch="312" w:charSpace="0"/>
        </w:sectPr>
      </w:pPr>
      <w:r>
        <w:rPr>
          <w:rFonts w:hint="eastAsia" w:ascii="Times New Roman" w:hAnsi="Times New Roman" w:eastAsia="黑体" w:cs="Times New Roman"/>
          <w:snapToGrid w:val="0"/>
          <w:color w:val="000000" w:themeColor="text1"/>
          <w:sz w:val="30"/>
          <w:szCs w:val="30"/>
          <w:highlight w:val="none"/>
          <w:lang w:eastAsia="zh-CN"/>
          <w14:textFill>
            <w14:solidFill>
              <w14:schemeClr w14:val="tx1"/>
            </w14:solidFill>
          </w14:textFill>
        </w:rPr>
        <w:drawing>
          <wp:anchor distT="0" distB="0" distL="114300" distR="114300" simplePos="0" relativeHeight="251685888" behindDoc="0" locked="0" layoutInCell="1" allowOverlap="1">
            <wp:simplePos x="0" y="0"/>
            <wp:positionH relativeFrom="column">
              <wp:posOffset>-914400</wp:posOffset>
            </wp:positionH>
            <wp:positionV relativeFrom="paragraph">
              <wp:posOffset>-1144905</wp:posOffset>
            </wp:positionV>
            <wp:extent cx="7534910" cy="10661650"/>
            <wp:effectExtent l="0" t="0" r="8890" b="6350"/>
            <wp:wrapSquare wrapText="bothSides"/>
            <wp:docPr id="30" name="图片 30" descr="新建 DOCX 文档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新建 DOCX 文档_页面_3"/>
                    <pic:cNvPicPr>
                      <a:picLocks noChangeAspect="1"/>
                    </pic:cNvPicPr>
                  </pic:nvPicPr>
                  <pic:blipFill>
                    <a:blip r:embed="rId11"/>
                    <a:stretch>
                      <a:fillRect/>
                    </a:stretch>
                  </pic:blipFill>
                  <pic:spPr>
                    <a:xfrm>
                      <a:off x="0" y="0"/>
                      <a:ext cx="7534910" cy="10661650"/>
                    </a:xfrm>
                    <a:prstGeom prst="rect">
                      <a:avLst/>
                    </a:prstGeom>
                  </pic:spPr>
                </pic:pic>
              </a:graphicData>
            </a:graphic>
          </wp:anchor>
        </w:drawing>
      </w:r>
    </w:p>
    <w:p>
      <w:pPr>
        <w:pStyle w:val="16"/>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0"/>
        <w:rPr>
          <w:rFonts w:hint="eastAsia" w:ascii="Times New Roman" w:hAnsi="Times New Roman" w:eastAsia="黑体" w:cs="Times New Roman"/>
          <w:snapToGrid w:val="0"/>
          <w:color w:val="000000" w:themeColor="text1"/>
          <w:sz w:val="30"/>
          <w:szCs w:val="30"/>
          <w:highlight w:val="none"/>
          <w:lang w:eastAsia="zh-CN"/>
          <w14:textFill>
            <w14:solidFill>
              <w14:schemeClr w14:val="tx1"/>
            </w14:solidFill>
          </w14:textFill>
        </w:rPr>
        <w:sectPr>
          <w:pgSz w:w="11906" w:h="16838"/>
          <w:pgMar w:top="1803" w:right="1440" w:bottom="1803" w:left="1440" w:header="851" w:footer="1077" w:gutter="0"/>
          <w:pgBorders>
            <w:top w:val="none" w:sz="0" w:space="0"/>
            <w:left w:val="none" w:sz="0" w:space="0"/>
            <w:bottom w:val="none" w:sz="0" w:space="0"/>
            <w:right w:val="none" w:sz="0" w:space="0"/>
          </w:pgBorders>
          <w:pgNumType w:fmt="decimal"/>
          <w:cols w:space="0" w:num="1"/>
          <w:rtlGutter w:val="0"/>
          <w:docGrid w:linePitch="312" w:charSpace="0"/>
        </w:sectPr>
      </w:pPr>
      <w:r>
        <w:rPr>
          <w:rFonts w:hint="eastAsia" w:ascii="Times New Roman" w:hAnsi="Times New Roman" w:eastAsia="黑体" w:cs="Times New Roman"/>
          <w:snapToGrid w:val="0"/>
          <w:color w:val="000000" w:themeColor="text1"/>
          <w:sz w:val="30"/>
          <w:szCs w:val="30"/>
          <w:highlight w:val="none"/>
          <w:lang w:eastAsia="zh-CN"/>
          <w14:textFill>
            <w14:solidFill>
              <w14:schemeClr w14:val="tx1"/>
            </w14:solidFill>
          </w14:textFill>
        </w:rPr>
        <w:drawing>
          <wp:anchor distT="0" distB="0" distL="114300" distR="114300" simplePos="0" relativeHeight="251686912" behindDoc="0" locked="0" layoutInCell="1" allowOverlap="1">
            <wp:simplePos x="0" y="0"/>
            <wp:positionH relativeFrom="column">
              <wp:posOffset>-914400</wp:posOffset>
            </wp:positionH>
            <wp:positionV relativeFrom="paragraph">
              <wp:posOffset>-1144905</wp:posOffset>
            </wp:positionV>
            <wp:extent cx="7487285" cy="10593705"/>
            <wp:effectExtent l="0" t="0" r="18415" b="17145"/>
            <wp:wrapSquare wrapText="bothSides"/>
            <wp:docPr id="31" name="图片 31" descr="新建 DOCX 文档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新建 DOCX 文档_页面_4"/>
                    <pic:cNvPicPr>
                      <a:picLocks noChangeAspect="1"/>
                    </pic:cNvPicPr>
                  </pic:nvPicPr>
                  <pic:blipFill>
                    <a:blip r:embed="rId12"/>
                    <a:stretch>
                      <a:fillRect/>
                    </a:stretch>
                  </pic:blipFill>
                  <pic:spPr>
                    <a:xfrm>
                      <a:off x="0" y="0"/>
                      <a:ext cx="7487285" cy="10593705"/>
                    </a:xfrm>
                    <a:prstGeom prst="rect">
                      <a:avLst/>
                    </a:prstGeom>
                  </pic:spPr>
                </pic:pic>
              </a:graphicData>
            </a:graphic>
          </wp:anchor>
        </w:drawing>
      </w:r>
    </w:p>
    <w:p>
      <w:pPr>
        <w:pStyle w:val="16"/>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0"/>
        <w:rPr>
          <w:rFonts w:hint="eastAsia" w:ascii="Times New Roman" w:hAnsi="Times New Roman" w:eastAsia="黑体" w:cs="Times New Roman"/>
          <w:snapToGrid w:val="0"/>
          <w:color w:val="000000" w:themeColor="text1"/>
          <w:sz w:val="30"/>
          <w:szCs w:val="30"/>
          <w:highlight w:val="none"/>
          <w:lang w:eastAsia="zh-CN"/>
          <w14:textFill>
            <w14:solidFill>
              <w14:schemeClr w14:val="tx1"/>
            </w14:solidFill>
          </w14:textFill>
        </w:rPr>
        <w:sectPr>
          <w:pgSz w:w="11906" w:h="16838"/>
          <w:pgMar w:top="1803" w:right="1440" w:bottom="1803" w:left="1440" w:header="851" w:footer="1077" w:gutter="0"/>
          <w:pgBorders>
            <w:top w:val="none" w:sz="0" w:space="0"/>
            <w:left w:val="none" w:sz="0" w:space="0"/>
            <w:bottom w:val="none" w:sz="0" w:space="0"/>
            <w:right w:val="none" w:sz="0" w:space="0"/>
          </w:pgBorders>
          <w:pgNumType w:fmt="decimal"/>
          <w:cols w:space="0" w:num="1"/>
          <w:rtlGutter w:val="0"/>
          <w:docGrid w:linePitch="312" w:charSpace="0"/>
        </w:sectPr>
      </w:pPr>
      <w:r>
        <w:rPr>
          <w:rFonts w:hint="eastAsia" w:ascii="Times New Roman" w:hAnsi="Times New Roman" w:eastAsia="黑体" w:cs="Times New Roman"/>
          <w:snapToGrid w:val="0"/>
          <w:color w:val="000000" w:themeColor="text1"/>
          <w:sz w:val="30"/>
          <w:szCs w:val="30"/>
          <w:highlight w:val="none"/>
          <w:lang w:eastAsia="zh-CN"/>
          <w14:textFill>
            <w14:solidFill>
              <w14:schemeClr w14:val="tx1"/>
            </w14:solidFill>
          </w14:textFill>
        </w:rPr>
        <w:drawing>
          <wp:anchor distT="0" distB="0" distL="114300" distR="114300" simplePos="0" relativeHeight="251687936" behindDoc="0" locked="0" layoutInCell="1" allowOverlap="1">
            <wp:simplePos x="0" y="0"/>
            <wp:positionH relativeFrom="column">
              <wp:posOffset>-914400</wp:posOffset>
            </wp:positionH>
            <wp:positionV relativeFrom="paragraph">
              <wp:posOffset>-1144905</wp:posOffset>
            </wp:positionV>
            <wp:extent cx="7511415" cy="10627995"/>
            <wp:effectExtent l="0" t="0" r="13335" b="1905"/>
            <wp:wrapSquare wrapText="bothSides"/>
            <wp:docPr id="32" name="图片 32" descr="新建 DOCX 文档_页面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新建 DOCX 文档_页面_5"/>
                    <pic:cNvPicPr>
                      <a:picLocks noChangeAspect="1"/>
                    </pic:cNvPicPr>
                  </pic:nvPicPr>
                  <pic:blipFill>
                    <a:blip r:embed="rId13"/>
                    <a:stretch>
                      <a:fillRect/>
                    </a:stretch>
                  </pic:blipFill>
                  <pic:spPr>
                    <a:xfrm>
                      <a:off x="0" y="0"/>
                      <a:ext cx="7511415" cy="10627995"/>
                    </a:xfrm>
                    <a:prstGeom prst="rect">
                      <a:avLst/>
                    </a:prstGeom>
                  </pic:spPr>
                </pic:pic>
              </a:graphicData>
            </a:graphic>
          </wp:anchor>
        </w:drawing>
      </w:r>
    </w:p>
    <w:p>
      <w:pPr>
        <w:pStyle w:val="16"/>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0"/>
        <w:rPr>
          <w:rFonts w:hint="eastAsia" w:ascii="Times New Roman" w:hAnsi="Times New Roman" w:eastAsia="黑体" w:cs="Times New Roman"/>
          <w:snapToGrid w:val="0"/>
          <w:color w:val="000000" w:themeColor="text1"/>
          <w:sz w:val="30"/>
          <w:szCs w:val="30"/>
          <w:highlight w:val="none"/>
          <w:lang w:eastAsia="zh-CN"/>
          <w14:textFill>
            <w14:solidFill>
              <w14:schemeClr w14:val="tx1"/>
            </w14:solidFill>
          </w14:textFill>
        </w:rPr>
        <w:sectPr>
          <w:pgSz w:w="11906" w:h="16838"/>
          <w:pgMar w:top="1803" w:right="1440" w:bottom="1803" w:left="1440" w:header="851" w:footer="1077" w:gutter="0"/>
          <w:pgBorders>
            <w:top w:val="none" w:sz="0" w:space="0"/>
            <w:left w:val="none" w:sz="0" w:space="0"/>
            <w:bottom w:val="none" w:sz="0" w:space="0"/>
            <w:right w:val="none" w:sz="0" w:space="0"/>
          </w:pgBorders>
          <w:pgNumType w:fmt="decimal"/>
          <w:cols w:space="0" w:num="1"/>
          <w:rtlGutter w:val="0"/>
          <w:docGrid w:linePitch="312" w:charSpace="0"/>
        </w:sectPr>
      </w:pPr>
      <w:r>
        <w:rPr>
          <w:rFonts w:hint="eastAsia" w:ascii="Times New Roman" w:hAnsi="Times New Roman" w:eastAsia="黑体" w:cs="Times New Roman"/>
          <w:snapToGrid w:val="0"/>
          <w:color w:val="000000" w:themeColor="text1"/>
          <w:sz w:val="30"/>
          <w:szCs w:val="30"/>
          <w:highlight w:val="none"/>
          <w:lang w:eastAsia="zh-CN"/>
          <w14:textFill>
            <w14:solidFill>
              <w14:schemeClr w14:val="tx1"/>
            </w14:solidFill>
          </w14:textFill>
        </w:rPr>
        <w:drawing>
          <wp:anchor distT="0" distB="0" distL="114300" distR="114300" simplePos="0" relativeHeight="251688960" behindDoc="0" locked="0" layoutInCell="1" allowOverlap="1">
            <wp:simplePos x="0" y="0"/>
            <wp:positionH relativeFrom="column">
              <wp:posOffset>-914400</wp:posOffset>
            </wp:positionH>
            <wp:positionV relativeFrom="paragraph">
              <wp:posOffset>-1144905</wp:posOffset>
            </wp:positionV>
            <wp:extent cx="7510780" cy="10627360"/>
            <wp:effectExtent l="0" t="0" r="13970" b="2540"/>
            <wp:wrapSquare wrapText="bothSides"/>
            <wp:docPr id="33" name="图片 33" descr="新建 DOCX 文档_页面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新建 DOCX 文档_页面_6"/>
                    <pic:cNvPicPr>
                      <a:picLocks noChangeAspect="1"/>
                    </pic:cNvPicPr>
                  </pic:nvPicPr>
                  <pic:blipFill>
                    <a:blip r:embed="rId14"/>
                    <a:stretch>
                      <a:fillRect/>
                    </a:stretch>
                  </pic:blipFill>
                  <pic:spPr>
                    <a:xfrm>
                      <a:off x="0" y="0"/>
                      <a:ext cx="7510780" cy="10627360"/>
                    </a:xfrm>
                    <a:prstGeom prst="rect">
                      <a:avLst/>
                    </a:prstGeom>
                  </pic:spPr>
                </pic:pic>
              </a:graphicData>
            </a:graphic>
          </wp:anchor>
        </w:drawing>
      </w:r>
    </w:p>
    <w:p>
      <w:pPr>
        <w:pStyle w:val="16"/>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0"/>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pPr>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t>一、建设项目基本情况</w:t>
      </w:r>
    </w:p>
    <w:tbl>
      <w:tblPr>
        <w:tblStyle w:val="21"/>
        <w:tblW w:w="499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033"/>
        <w:gridCol w:w="2059"/>
        <w:gridCol w:w="2252"/>
        <w:gridCol w:w="269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125" w:type="pct"/>
            <w:noWrap w:val="0"/>
            <w:tcMar>
              <w:top w:w="16" w:type="dxa"/>
              <w:left w:w="16" w:type="dxa"/>
              <w:right w:w="16" w:type="dxa"/>
            </w:tcMar>
            <w:vAlign w:val="center"/>
          </w:tcPr>
          <w:p>
            <w:pPr>
              <w:keepNext w:val="0"/>
              <w:keepLines w:val="0"/>
              <w:pageBreakBefore w:val="0"/>
              <w:widowControl w:val="0"/>
              <w:kinsoku/>
              <w:wordWrap/>
              <w:overflowPunct/>
              <w:topLinePunct w:val="0"/>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建设项目名称</w:t>
            </w:r>
          </w:p>
        </w:tc>
        <w:tc>
          <w:tcPr>
            <w:tcW w:w="3874"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bookmarkStart w:id="0" w:name="OLE_LINK1"/>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新乡中联石化封头锻压有限公司</w:t>
            </w:r>
          </w:p>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年产</w:t>
            </w:r>
            <w:r>
              <w:rPr>
                <w:rFonts w:hint="eastAsia" w:cs="Times New Roman"/>
                <w:color w:val="000000" w:themeColor="text1"/>
                <w:sz w:val="21"/>
                <w:szCs w:val="21"/>
                <w:highlight w:val="none"/>
                <w:lang w:val="en-US" w:eastAsia="zh-CN"/>
                <w14:textFill>
                  <w14:solidFill>
                    <w14:schemeClr w14:val="tx1"/>
                  </w14:solidFill>
                </w14:textFill>
              </w:rPr>
              <w:t>26000吨</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世界级超重型封头生产线建设项目</w:t>
            </w:r>
            <w:bookmarkEnd w:id="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125" w:type="pct"/>
            <w:noWrap w:val="0"/>
            <w:tcMar>
              <w:top w:w="16" w:type="dxa"/>
              <w:left w:w="16" w:type="dxa"/>
              <w:right w:w="16" w:type="dxa"/>
            </w:tcMar>
            <w:vAlign w:val="center"/>
          </w:tcPr>
          <w:p>
            <w:pPr>
              <w:keepNext w:val="0"/>
              <w:keepLines w:val="0"/>
              <w:pageBreakBefore w:val="0"/>
              <w:widowControl w:val="0"/>
              <w:kinsoku/>
              <w:wordWrap/>
              <w:overflowPunct/>
              <w:topLinePunct w:val="0"/>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项目代码</w:t>
            </w:r>
          </w:p>
        </w:tc>
        <w:tc>
          <w:tcPr>
            <w:tcW w:w="3874"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2020-410721-34-03-077293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125" w:type="pct"/>
            <w:noWrap w:val="0"/>
            <w:tcMar>
              <w:top w:w="16" w:type="dxa"/>
              <w:left w:w="16" w:type="dxa"/>
              <w:right w:w="16" w:type="dxa"/>
            </w:tcMar>
            <w:vAlign w:val="center"/>
          </w:tcPr>
          <w:p>
            <w:pPr>
              <w:keepNext w:val="0"/>
              <w:keepLines w:val="0"/>
              <w:pageBreakBefore w:val="0"/>
              <w:widowControl w:val="0"/>
              <w:kinsoku/>
              <w:wordWrap/>
              <w:overflowPunct/>
              <w:topLinePunct w:val="0"/>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建设单位联系人</w:t>
            </w:r>
          </w:p>
        </w:tc>
        <w:tc>
          <w:tcPr>
            <w:tcW w:w="113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杜学元</w:t>
            </w:r>
          </w:p>
        </w:tc>
        <w:tc>
          <w:tcPr>
            <w:tcW w:w="124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联系方式</w:t>
            </w:r>
          </w:p>
        </w:tc>
        <w:tc>
          <w:tcPr>
            <w:tcW w:w="148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13569443615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125" w:type="pct"/>
            <w:noWrap w:val="0"/>
            <w:tcMar>
              <w:top w:w="16" w:type="dxa"/>
              <w:left w:w="16" w:type="dxa"/>
              <w:right w:w="16" w:type="dxa"/>
            </w:tcMar>
            <w:vAlign w:val="center"/>
          </w:tcPr>
          <w:p>
            <w:pPr>
              <w:keepNext w:val="0"/>
              <w:keepLines w:val="0"/>
              <w:pageBreakBefore w:val="0"/>
              <w:widowControl w:val="0"/>
              <w:kinsoku/>
              <w:wordWrap/>
              <w:overflowPunct/>
              <w:topLinePunct w:val="0"/>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建设地点</w:t>
            </w:r>
          </w:p>
        </w:tc>
        <w:tc>
          <w:tcPr>
            <w:tcW w:w="3874"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新乡市新乡县小冀镇青龙大道</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39号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125" w:type="pct"/>
            <w:noWrap w:val="0"/>
            <w:tcMar>
              <w:top w:w="16" w:type="dxa"/>
              <w:left w:w="16" w:type="dxa"/>
              <w:right w:w="16" w:type="dxa"/>
            </w:tcMar>
            <w:vAlign w:val="center"/>
          </w:tcPr>
          <w:p>
            <w:pPr>
              <w:keepNext w:val="0"/>
              <w:keepLines w:val="0"/>
              <w:pageBreakBefore w:val="0"/>
              <w:widowControl w:val="0"/>
              <w:kinsoku/>
              <w:wordWrap/>
              <w:overflowPunct/>
              <w:topLinePunct w:val="0"/>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地理坐标</w:t>
            </w:r>
          </w:p>
        </w:tc>
        <w:tc>
          <w:tcPr>
            <w:tcW w:w="3874"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u w:val="single"/>
                <w14:textFill>
                  <w14:solidFill>
                    <w14:schemeClr w14:val="tx1"/>
                  </w14:solidFill>
                </w14:textFill>
              </w:rPr>
              <w:t>113</w:t>
            </w:r>
            <w:r>
              <w:rPr>
                <w:rFonts w:hint="default" w:ascii="Times New Roman" w:hAnsi="Times New Roman" w:cs="Times New Roman"/>
                <w:color w:val="000000" w:themeColor="text1"/>
                <w:sz w:val="21"/>
                <w:szCs w:val="21"/>
                <w:highlight w:val="none"/>
                <w:lang w:eastAsia="zh-CN"/>
                <w14:textFill>
                  <w14:solidFill>
                    <w14:schemeClr w14:val="tx1"/>
                  </w14:solidFill>
                </w14:textFill>
              </w:rPr>
              <w:t>度</w:t>
            </w:r>
            <w:r>
              <w:rPr>
                <w:rFonts w:hint="default" w:ascii="Times New Roman" w:hAnsi="Times New Roman" w:cs="Times New Roman"/>
                <w:color w:val="000000" w:themeColor="text1"/>
                <w:sz w:val="21"/>
                <w:szCs w:val="21"/>
                <w:highlight w:val="none"/>
                <w:u w:val="single"/>
                <w:lang w:val="en-US" w:eastAsia="zh-CN"/>
                <w14:textFill>
                  <w14:solidFill>
                    <w14:schemeClr w14:val="tx1"/>
                  </w14:solidFill>
                </w14:textFill>
              </w:rPr>
              <w:t>45</w:t>
            </w:r>
            <w:r>
              <w:rPr>
                <w:rFonts w:hint="default" w:ascii="Times New Roman" w:hAnsi="Times New Roman" w:cs="Times New Roman"/>
                <w:color w:val="000000" w:themeColor="text1"/>
                <w:sz w:val="21"/>
                <w:szCs w:val="21"/>
                <w:highlight w:val="none"/>
                <w:lang w:eastAsia="zh-CN"/>
                <w14:textFill>
                  <w14:solidFill>
                    <w14:schemeClr w14:val="tx1"/>
                  </w14:solidFill>
                </w14:textFill>
              </w:rPr>
              <w:t>分</w:t>
            </w:r>
            <w:r>
              <w:rPr>
                <w:rFonts w:hint="default" w:ascii="Times New Roman" w:hAnsi="Times New Roman" w:cs="Times New Roman"/>
                <w:color w:val="000000" w:themeColor="text1"/>
                <w:sz w:val="21"/>
                <w:szCs w:val="21"/>
                <w:highlight w:val="none"/>
                <w:u w:val="single"/>
                <w:lang w:val="en-US" w:eastAsia="zh-CN"/>
                <w14:textFill>
                  <w14:solidFill>
                    <w14:schemeClr w14:val="tx1"/>
                  </w14:solidFill>
                </w14:textFill>
              </w:rPr>
              <w:t>39.128</w:t>
            </w:r>
            <w:r>
              <w:rPr>
                <w:rFonts w:hint="default" w:ascii="Times New Roman" w:hAnsi="Times New Roman" w:cs="Times New Roman"/>
                <w:color w:val="000000" w:themeColor="text1"/>
                <w:sz w:val="21"/>
                <w:szCs w:val="21"/>
                <w:highlight w:val="none"/>
                <w:lang w:eastAsia="zh-CN"/>
                <w14:textFill>
                  <w14:solidFill>
                    <w14:schemeClr w14:val="tx1"/>
                  </w14:solidFill>
                </w14:textFill>
              </w:rPr>
              <w:t>秒，</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default" w:ascii="Times New Roman" w:hAnsi="Times New Roman" w:cs="Times New Roman"/>
                <w:color w:val="000000" w:themeColor="text1"/>
                <w:sz w:val="21"/>
                <w:szCs w:val="21"/>
                <w:highlight w:val="none"/>
                <w:u w:val="single"/>
                <w14:textFill>
                  <w14:solidFill>
                    <w14:schemeClr w14:val="tx1"/>
                  </w14:solidFill>
                </w14:textFill>
              </w:rPr>
              <w:t>35</w:t>
            </w:r>
            <w:r>
              <w:rPr>
                <w:rFonts w:hint="default" w:ascii="Times New Roman" w:hAnsi="Times New Roman" w:cs="Times New Roman"/>
                <w:color w:val="000000" w:themeColor="text1"/>
                <w:sz w:val="21"/>
                <w:szCs w:val="21"/>
                <w:highlight w:val="none"/>
                <w:lang w:eastAsia="zh-CN"/>
                <w14:textFill>
                  <w14:solidFill>
                    <w14:schemeClr w14:val="tx1"/>
                  </w14:solidFill>
                </w14:textFill>
              </w:rPr>
              <w:t>度</w:t>
            </w:r>
            <w:r>
              <w:rPr>
                <w:rFonts w:hint="default" w:ascii="Times New Roman" w:hAnsi="Times New Roman" w:cs="Times New Roman"/>
                <w:color w:val="000000" w:themeColor="text1"/>
                <w:sz w:val="21"/>
                <w:szCs w:val="21"/>
                <w:highlight w:val="none"/>
                <w:u w:val="single"/>
                <w:lang w:val="en-US" w:eastAsia="zh-CN"/>
                <w14:textFill>
                  <w14:solidFill>
                    <w14:schemeClr w14:val="tx1"/>
                  </w14:solidFill>
                </w14:textFill>
              </w:rPr>
              <w:t>11</w:t>
            </w:r>
            <w:r>
              <w:rPr>
                <w:rFonts w:hint="default" w:ascii="Times New Roman" w:hAnsi="Times New Roman" w:cs="Times New Roman"/>
                <w:color w:val="000000" w:themeColor="text1"/>
                <w:sz w:val="21"/>
                <w:szCs w:val="21"/>
                <w:highlight w:val="none"/>
                <w:lang w:eastAsia="zh-CN"/>
                <w14:textFill>
                  <w14:solidFill>
                    <w14:schemeClr w14:val="tx1"/>
                  </w14:solidFill>
                </w14:textFill>
              </w:rPr>
              <w:t>分</w:t>
            </w:r>
            <w:r>
              <w:rPr>
                <w:rFonts w:hint="default" w:ascii="Times New Roman" w:hAnsi="Times New Roman" w:cs="Times New Roman"/>
                <w:color w:val="000000" w:themeColor="text1"/>
                <w:sz w:val="21"/>
                <w:szCs w:val="21"/>
                <w:highlight w:val="none"/>
                <w:u w:val="single"/>
                <w:lang w:val="en-US" w:eastAsia="zh-CN"/>
                <w14:textFill>
                  <w14:solidFill>
                    <w14:schemeClr w14:val="tx1"/>
                  </w14:solidFill>
                </w14:textFill>
              </w:rPr>
              <w:t>39.924</w:t>
            </w:r>
            <w:r>
              <w:rPr>
                <w:rFonts w:hint="default" w:ascii="Times New Roman" w:hAnsi="Times New Roman" w:cs="Times New Roman"/>
                <w:color w:val="000000" w:themeColor="text1"/>
                <w:sz w:val="21"/>
                <w:szCs w:val="21"/>
                <w:highlight w:val="none"/>
                <w:lang w:eastAsia="zh-CN"/>
                <w14:textFill>
                  <w14:solidFill>
                    <w14:schemeClr w14:val="tx1"/>
                  </w14:solidFill>
                </w14:textFill>
              </w:rPr>
              <w:t>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125" w:type="pct"/>
            <w:noWrap w:val="0"/>
            <w:tcMar>
              <w:top w:w="16" w:type="dxa"/>
              <w:left w:w="16" w:type="dxa"/>
              <w:right w:w="16" w:type="dxa"/>
            </w:tcMar>
            <w:vAlign w:val="center"/>
          </w:tcPr>
          <w:p>
            <w:pPr>
              <w:keepNext w:val="0"/>
              <w:keepLines w:val="0"/>
              <w:pageBreakBefore w:val="0"/>
              <w:widowControl w:val="0"/>
              <w:kinsoku/>
              <w:wordWrap/>
              <w:overflowPunct/>
              <w:topLinePunct w:val="0"/>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国民经济</w:t>
            </w:r>
          </w:p>
          <w:p>
            <w:pPr>
              <w:keepNext w:val="0"/>
              <w:keepLines w:val="0"/>
              <w:pageBreakBefore w:val="0"/>
              <w:widowControl w:val="0"/>
              <w:kinsoku/>
              <w:wordWrap/>
              <w:overflowPunct/>
              <w:topLinePunct w:val="0"/>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行业类别</w:t>
            </w:r>
          </w:p>
        </w:tc>
        <w:tc>
          <w:tcPr>
            <w:tcW w:w="113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u w:val="single"/>
                <w:lang w:val="en-US" w:eastAsia="zh-CN"/>
                <w14:textFill>
                  <w14:solidFill>
                    <w14:schemeClr w14:val="tx1"/>
                  </w14:solidFill>
                </w14:textFill>
              </w:rPr>
              <w:t>C3311金属结构制造，C3393锻件及粉末冶金制品制造</w:t>
            </w:r>
          </w:p>
        </w:tc>
        <w:tc>
          <w:tcPr>
            <w:tcW w:w="124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bookmarkStart w:id="1" w:name="_Hlk49843745"/>
            <w:r>
              <w:rPr>
                <w:rFonts w:hint="default" w:ascii="Times New Roman" w:hAnsi="Times New Roman" w:cs="Times New Roman"/>
                <w:color w:val="000000" w:themeColor="text1"/>
                <w:sz w:val="21"/>
                <w:szCs w:val="21"/>
                <w:highlight w:val="none"/>
                <w14:textFill>
                  <w14:solidFill>
                    <w14:schemeClr w14:val="tx1"/>
                  </w14:solidFill>
                </w14:textFill>
              </w:rPr>
              <w:t>建设项目</w:t>
            </w:r>
          </w:p>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行业类别</w:t>
            </w:r>
            <w:bookmarkEnd w:id="1"/>
          </w:p>
        </w:tc>
        <w:tc>
          <w:tcPr>
            <w:tcW w:w="148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u w:val="single"/>
                <w:lang w:val="en-US" w:eastAsia="zh-CN"/>
                <w14:textFill>
                  <w14:solidFill>
                    <w14:schemeClr w14:val="tx1"/>
                  </w14:solidFill>
                </w14:textFill>
              </w:rPr>
              <w:t>“三十、金属制品业33”中“结构性金属制品制造331”、“铸造及其他金属制品制造339”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125" w:type="pct"/>
            <w:noWrap w:val="0"/>
            <w:tcMar>
              <w:top w:w="16" w:type="dxa"/>
              <w:left w:w="16" w:type="dxa"/>
              <w:right w:w="16" w:type="dxa"/>
            </w:tcMar>
            <w:vAlign w:val="center"/>
          </w:tcPr>
          <w:p>
            <w:pPr>
              <w:keepNext w:val="0"/>
              <w:keepLines w:val="0"/>
              <w:pageBreakBefore w:val="0"/>
              <w:widowControl w:val="0"/>
              <w:kinsoku/>
              <w:wordWrap/>
              <w:overflowPunct/>
              <w:topLinePunct w:val="0"/>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建设性质</w:t>
            </w:r>
          </w:p>
        </w:tc>
        <w:tc>
          <w:tcPr>
            <w:tcW w:w="113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A3"/>
            </w:r>
            <w:r>
              <w:rPr>
                <w:rFonts w:hint="default" w:ascii="Times New Roman" w:hAnsi="Times New Roman" w:cs="Times New Roman"/>
                <w:color w:val="000000" w:themeColor="text1"/>
                <w:sz w:val="21"/>
                <w:szCs w:val="21"/>
                <w:highlight w:val="none"/>
                <w14:textFill>
                  <w14:solidFill>
                    <w14:schemeClr w14:val="tx1"/>
                  </w14:solidFill>
                </w14:textFill>
              </w:rPr>
              <w:t>新建（迁建）</w:t>
            </w:r>
          </w:p>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A3"/>
            </w:r>
            <w:r>
              <w:rPr>
                <w:rFonts w:hint="default" w:ascii="Times New Roman" w:hAnsi="Times New Roman" w:cs="Times New Roman"/>
                <w:color w:val="000000" w:themeColor="text1"/>
                <w:sz w:val="21"/>
                <w:szCs w:val="21"/>
                <w:highlight w:val="none"/>
                <w14:textFill>
                  <w14:solidFill>
                    <w14:schemeClr w14:val="tx1"/>
                  </w14:solidFill>
                </w14:textFill>
              </w:rPr>
              <w:t>改建</w:t>
            </w:r>
          </w:p>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lang w:val="zh-CN"/>
                <w14:textFill>
                  <w14:solidFill>
                    <w14:schemeClr w14:val="tx1"/>
                  </w14:solidFill>
                </w14:textFill>
              </w:rPr>
              <w:sym w:font="Wingdings 2" w:char="0052"/>
            </w:r>
            <w:r>
              <w:rPr>
                <w:rFonts w:hint="default" w:ascii="Times New Roman" w:hAnsi="Times New Roman" w:cs="Times New Roman"/>
                <w:color w:val="000000" w:themeColor="text1"/>
                <w:sz w:val="21"/>
                <w:szCs w:val="21"/>
                <w:highlight w:val="none"/>
                <w14:textFill>
                  <w14:solidFill>
                    <w14:schemeClr w14:val="tx1"/>
                  </w14:solidFill>
                </w14:textFill>
              </w:rPr>
              <w:t>扩建</w:t>
            </w:r>
          </w:p>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lef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A3"/>
            </w:r>
            <w:r>
              <w:rPr>
                <w:rFonts w:hint="default" w:ascii="Times New Roman" w:hAnsi="Times New Roman" w:cs="Times New Roman"/>
                <w:color w:val="000000" w:themeColor="text1"/>
                <w:sz w:val="21"/>
                <w:szCs w:val="21"/>
                <w:highlight w:val="none"/>
                <w14:textFill>
                  <w14:solidFill>
                    <w14:schemeClr w14:val="tx1"/>
                  </w14:solidFill>
                </w14:textFill>
              </w:rPr>
              <w:t>技术改造</w:t>
            </w:r>
          </w:p>
        </w:tc>
        <w:tc>
          <w:tcPr>
            <w:tcW w:w="124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建设项目</w:t>
            </w:r>
          </w:p>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申报情形</w:t>
            </w:r>
          </w:p>
        </w:tc>
        <w:tc>
          <w:tcPr>
            <w:tcW w:w="148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52"/>
            </w:r>
            <w:r>
              <w:rPr>
                <w:rFonts w:hint="default" w:ascii="Times New Roman" w:hAnsi="Times New Roman" w:cs="Times New Roman"/>
                <w:color w:val="000000" w:themeColor="text1"/>
                <w:sz w:val="21"/>
                <w:szCs w:val="21"/>
                <w:highlight w:val="none"/>
                <w14:textFill>
                  <w14:solidFill>
                    <w14:schemeClr w14:val="tx1"/>
                  </w14:solidFill>
                </w14:textFill>
              </w:rPr>
              <w:t>首次申报项目</w:t>
            </w:r>
          </w:p>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A3"/>
            </w:r>
            <w:r>
              <w:rPr>
                <w:rFonts w:hint="default" w:ascii="Times New Roman" w:hAnsi="Times New Roman" w:cs="Times New Roman"/>
                <w:color w:val="000000" w:themeColor="text1"/>
                <w:sz w:val="21"/>
                <w:szCs w:val="21"/>
                <w:highlight w:val="none"/>
                <w14:textFill>
                  <w14:solidFill>
                    <w14:schemeClr w14:val="tx1"/>
                  </w14:solidFill>
                </w14:textFill>
              </w:rPr>
              <w:t>不予批准后再次申报项目</w:t>
            </w:r>
          </w:p>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A3"/>
            </w:r>
            <w:r>
              <w:rPr>
                <w:rFonts w:hint="default" w:ascii="Times New Roman" w:hAnsi="Times New Roman" w:cs="Times New Roman"/>
                <w:color w:val="000000" w:themeColor="text1"/>
                <w:sz w:val="21"/>
                <w:szCs w:val="21"/>
                <w:highlight w:val="none"/>
                <w14:textFill>
                  <w14:solidFill>
                    <w14:schemeClr w14:val="tx1"/>
                  </w14:solidFill>
                </w14:textFill>
              </w:rPr>
              <w:t>超五年重新审核项目</w:t>
            </w:r>
          </w:p>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A3"/>
            </w:r>
            <w:r>
              <w:rPr>
                <w:rFonts w:hint="default" w:ascii="Times New Roman" w:hAnsi="Times New Roman" w:cs="Times New Roman"/>
                <w:color w:val="000000" w:themeColor="text1"/>
                <w:sz w:val="21"/>
                <w:szCs w:val="21"/>
                <w:highlight w:val="none"/>
                <w14:textFill>
                  <w14:solidFill>
                    <w14:schemeClr w14:val="tx1"/>
                  </w14:solidFill>
                </w14:textFill>
              </w:rPr>
              <w:t>重大变动重新报批项目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125" w:type="pct"/>
            <w:noWrap w:val="0"/>
            <w:tcMar>
              <w:top w:w="16" w:type="dxa"/>
              <w:left w:w="16" w:type="dxa"/>
              <w:right w:w="16" w:type="dxa"/>
            </w:tcMar>
            <w:vAlign w:val="center"/>
          </w:tcPr>
          <w:p>
            <w:pPr>
              <w:keepNext w:val="0"/>
              <w:keepLines w:val="0"/>
              <w:pageBreakBefore w:val="0"/>
              <w:widowControl w:val="0"/>
              <w:kinsoku/>
              <w:wordWrap/>
              <w:overflowPunct/>
              <w:topLinePunct w:val="0"/>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项目备案部门</w:t>
            </w:r>
          </w:p>
        </w:tc>
        <w:tc>
          <w:tcPr>
            <w:tcW w:w="113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新乡县发展和改革委员会</w:t>
            </w:r>
          </w:p>
        </w:tc>
        <w:tc>
          <w:tcPr>
            <w:tcW w:w="124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项目备案文号</w:t>
            </w:r>
          </w:p>
        </w:tc>
        <w:tc>
          <w:tcPr>
            <w:tcW w:w="148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eastAsia="宋体" w:cs="Times New Roman"/>
                <w:color w:val="000000" w:themeColor="text1"/>
                <w:sz w:val="21"/>
                <w:szCs w:val="21"/>
                <w:highlight w:val="cyan"/>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2020-410721-34-03-077293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125" w:type="pct"/>
            <w:noWrap w:val="0"/>
            <w:tcMar>
              <w:top w:w="16" w:type="dxa"/>
              <w:left w:w="16" w:type="dxa"/>
              <w:right w:w="16" w:type="dxa"/>
            </w:tcMar>
            <w:vAlign w:val="center"/>
          </w:tcPr>
          <w:p>
            <w:pPr>
              <w:keepNext w:val="0"/>
              <w:keepLines w:val="0"/>
              <w:pageBreakBefore w:val="0"/>
              <w:widowControl w:val="0"/>
              <w:kinsoku/>
              <w:wordWrap/>
              <w:overflowPunct/>
              <w:topLinePunct w:val="0"/>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总投资（万元）</w:t>
            </w:r>
          </w:p>
        </w:tc>
        <w:tc>
          <w:tcPr>
            <w:tcW w:w="113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20000</w:t>
            </w:r>
          </w:p>
        </w:tc>
        <w:tc>
          <w:tcPr>
            <w:tcW w:w="1246" w:type="pct"/>
            <w:noWrap w:val="0"/>
            <w:tcMar>
              <w:top w:w="16" w:type="dxa"/>
              <w:left w:w="16" w:type="dxa"/>
              <w:right w:w="16"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环保投资（万元）</w:t>
            </w:r>
          </w:p>
        </w:tc>
        <w:tc>
          <w:tcPr>
            <w:tcW w:w="148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125" w:type="pct"/>
            <w:noWrap w:val="0"/>
            <w:tcMar>
              <w:top w:w="16" w:type="dxa"/>
              <w:left w:w="16" w:type="dxa"/>
              <w:right w:w="16" w:type="dxa"/>
            </w:tcMar>
            <w:vAlign w:val="center"/>
          </w:tcPr>
          <w:p>
            <w:pPr>
              <w:keepNext w:val="0"/>
              <w:keepLines w:val="0"/>
              <w:pageBreakBefore w:val="0"/>
              <w:widowControl w:val="0"/>
              <w:kinsoku/>
              <w:wordWrap/>
              <w:overflowPunct/>
              <w:topLinePunct w:val="0"/>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环保投资占比（%）</w:t>
            </w:r>
          </w:p>
        </w:tc>
        <w:tc>
          <w:tcPr>
            <w:tcW w:w="113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0.5</w:t>
            </w:r>
          </w:p>
        </w:tc>
        <w:tc>
          <w:tcPr>
            <w:tcW w:w="1246" w:type="pct"/>
            <w:noWrap w:val="0"/>
            <w:tcMar>
              <w:top w:w="16" w:type="dxa"/>
              <w:left w:w="16" w:type="dxa"/>
              <w:right w:w="16"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施工工期</w:t>
            </w:r>
          </w:p>
        </w:tc>
        <w:tc>
          <w:tcPr>
            <w:tcW w:w="148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202</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年</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月~2023年</w:t>
            </w:r>
            <w:r>
              <w:rPr>
                <w:rFonts w:hint="eastAsia" w:cs="Times New Roman"/>
                <w:color w:val="000000" w:themeColor="text1"/>
                <w:sz w:val="21"/>
                <w:szCs w:val="21"/>
                <w:highlight w:val="none"/>
                <w:lang w:val="en-US" w:eastAsia="zh-CN"/>
                <w14:textFill>
                  <w14:solidFill>
                    <w14:schemeClr w14:val="tx1"/>
                  </w14:solidFill>
                </w14:textFill>
              </w:rPr>
              <w:t>7</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125" w:type="pct"/>
            <w:noWrap w:val="0"/>
            <w:tcMar>
              <w:top w:w="16" w:type="dxa"/>
              <w:left w:w="16" w:type="dxa"/>
              <w:right w:w="16" w:type="dxa"/>
            </w:tcMar>
            <w:vAlign w:val="center"/>
          </w:tcPr>
          <w:p>
            <w:pPr>
              <w:keepNext w:val="0"/>
              <w:keepLines w:val="0"/>
              <w:pageBreakBefore w:val="0"/>
              <w:widowControl w:val="0"/>
              <w:kinsoku/>
              <w:wordWrap/>
              <w:overflowPunct/>
              <w:topLinePunct w:val="0"/>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是否开工建设</w:t>
            </w:r>
          </w:p>
        </w:tc>
        <w:tc>
          <w:tcPr>
            <w:tcW w:w="113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52"/>
            </w:r>
            <w:r>
              <w:rPr>
                <w:rFonts w:hint="default" w:ascii="Times New Roman" w:hAnsi="Times New Roman" w:cs="Times New Roman"/>
                <w:color w:val="000000" w:themeColor="text1"/>
                <w:sz w:val="21"/>
                <w:szCs w:val="21"/>
                <w:highlight w:val="none"/>
                <w14:textFill>
                  <w14:solidFill>
                    <w14:schemeClr w14:val="tx1"/>
                  </w14:solidFill>
                </w14:textFill>
              </w:rPr>
              <w:t>否</w:t>
            </w:r>
          </w:p>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sym w:font="Wingdings 2" w:char="00A3"/>
            </w:r>
            <w:r>
              <w:rPr>
                <w:rFonts w:hint="default" w:ascii="Times New Roman" w:hAnsi="Times New Roman" w:cs="Times New Roman"/>
                <w:color w:val="000000" w:themeColor="text1"/>
                <w:sz w:val="21"/>
                <w:szCs w:val="21"/>
                <w:highlight w:val="none"/>
                <w14:textFill>
                  <w14:solidFill>
                    <w14:schemeClr w14:val="tx1"/>
                  </w14:solidFill>
                </w14:textFill>
              </w:rPr>
              <w:t>是：</w:t>
            </w:r>
          </w:p>
        </w:tc>
        <w:tc>
          <w:tcPr>
            <w:tcW w:w="1246" w:type="pct"/>
            <w:noWrap w:val="0"/>
            <w:tcMar>
              <w:top w:w="16" w:type="dxa"/>
              <w:left w:w="16" w:type="dxa"/>
              <w:right w:w="16"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pacing w:val="-6"/>
                <w:sz w:val="21"/>
                <w:szCs w:val="21"/>
                <w:highlight w:val="none"/>
                <w14:textFill>
                  <w14:solidFill>
                    <w14:schemeClr w14:val="tx1"/>
                  </w14:solidFill>
                </w14:textFill>
              </w:rPr>
            </w:pPr>
            <w:r>
              <w:rPr>
                <w:rFonts w:hint="default" w:ascii="Times New Roman" w:hAnsi="Times New Roman" w:cs="Times New Roman"/>
                <w:color w:val="000000" w:themeColor="text1"/>
                <w:spacing w:val="-6"/>
                <w:sz w:val="21"/>
                <w:szCs w:val="21"/>
                <w:highlight w:val="none"/>
                <w14:textFill>
                  <w14:solidFill>
                    <w14:schemeClr w14:val="tx1"/>
                  </w14:solidFill>
                </w14:textFill>
              </w:rPr>
              <w:t>用地（用海）</w:t>
            </w:r>
          </w:p>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6"/>
                <w:sz w:val="21"/>
                <w:szCs w:val="21"/>
                <w:highlight w:val="none"/>
                <w14:textFill>
                  <w14:solidFill>
                    <w14:schemeClr w14:val="tx1"/>
                  </w14:solidFill>
                </w14:textFill>
              </w:rPr>
              <w:t>面积（m</w:t>
            </w:r>
            <w:r>
              <w:rPr>
                <w:rFonts w:hint="default" w:ascii="Times New Roman" w:hAnsi="Times New Roman" w:cs="Times New Roman"/>
                <w:color w:val="000000" w:themeColor="text1"/>
                <w:spacing w:val="-6"/>
                <w:sz w:val="21"/>
                <w:szCs w:val="21"/>
                <w:highlight w:val="none"/>
                <w:vertAlign w:val="superscript"/>
                <w14:textFill>
                  <w14:solidFill>
                    <w14:schemeClr w14:val="tx1"/>
                  </w14:solidFill>
                </w14:textFill>
              </w:rPr>
              <w:t>2</w:t>
            </w:r>
            <w:r>
              <w:rPr>
                <w:rFonts w:hint="default" w:ascii="Times New Roman" w:hAnsi="Times New Roman" w:cs="Times New Roman"/>
                <w:color w:val="000000" w:themeColor="text1"/>
                <w:spacing w:val="-6"/>
                <w:sz w:val="21"/>
                <w:szCs w:val="21"/>
                <w:highlight w:val="none"/>
                <w14:textFill>
                  <w14:solidFill>
                    <w14:schemeClr w14:val="tx1"/>
                  </w14:solidFill>
                </w14:textFill>
              </w:rPr>
              <w:t>）</w:t>
            </w:r>
          </w:p>
        </w:tc>
        <w:tc>
          <w:tcPr>
            <w:tcW w:w="148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46666.62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5" w:type="pct"/>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right="0" w:rightChars="0" w:firstLine="0" w:firstLineChars="0"/>
              <w:jc w:val="center"/>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专项评价设置情况</w:t>
            </w:r>
          </w:p>
        </w:tc>
        <w:tc>
          <w:tcPr>
            <w:tcW w:w="3874" w:type="pct"/>
            <w:gridSpan w:val="3"/>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right="0" w:rightChars="0" w:firstLine="0" w:firstLineChars="0"/>
              <w:jc w:val="center"/>
              <w:textAlignment w:val="auto"/>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cs="Times New Roman"/>
                <w:color w:val="000000" w:themeColor="text1"/>
                <w:kern w:val="0"/>
                <w:sz w:val="21"/>
                <w:szCs w:val="21"/>
                <w:highlight w:val="none"/>
                <w:lang w:eastAsia="zh-CN"/>
                <w14:textFill>
                  <w14:solidFill>
                    <w14:schemeClr w14:val="tx1"/>
                  </w14:solidFill>
                </w14:textFill>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5"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right="0" w:rightChars="0" w:firstLine="0" w:firstLineChars="0"/>
              <w:jc w:val="center"/>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规划情况</w:t>
            </w:r>
          </w:p>
        </w:tc>
        <w:tc>
          <w:tcPr>
            <w:tcW w:w="3874" w:type="pct"/>
            <w:gridSpan w:val="3"/>
            <w:noWrap w:val="0"/>
            <w:vAlign w:val="center"/>
          </w:tcPr>
          <w:p>
            <w:pPr>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名称：新乡县特种智能装备专业园区</w:t>
            </w:r>
          </w:p>
          <w:p>
            <w:pPr>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审批机关：新乡县发展和改革委员会</w:t>
            </w:r>
          </w:p>
          <w:p>
            <w:pPr>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审批文件名称：新乡县发展和改革委员会关于设立新乡县特种智能装备专业园区的批复</w:t>
            </w:r>
          </w:p>
          <w:p>
            <w:pPr>
              <w:bidi w:val="0"/>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审批文号：新发改</w:t>
            </w:r>
            <w:r>
              <w:rPr>
                <w:rFonts w:hint="default" w:ascii="Times New Roman" w:hAnsi="Times New Roman" w:cs="Times New Roman"/>
                <w:color w:val="000000" w:themeColor="text1"/>
                <w:lang w:val="en-US" w:eastAsia="zh-CN"/>
                <w14:textFill>
                  <w14:solidFill>
                    <w14:schemeClr w14:val="tx1"/>
                  </w14:solidFill>
                </w14:textFill>
              </w:rPr>
              <w:t>[2020]129号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5" w:type="pct"/>
            <w:noWrap w:val="0"/>
            <w:vAlign w:val="center"/>
          </w:tcPr>
          <w:p>
            <w:pPr>
              <w:keepNext w:val="0"/>
              <w:keepLines w:val="0"/>
              <w:pageBreakBefore w:val="0"/>
              <w:widowControl w:val="0"/>
              <w:kinsoku/>
              <w:wordWrap/>
              <w:overflowPunct/>
              <w:topLinePunct w:val="0"/>
              <w:bidi w:val="0"/>
              <w:adjustRightInd/>
              <w:snapToGrid/>
              <w:spacing w:line="320" w:lineRule="exact"/>
              <w:ind w:left="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规划环境影响</w:t>
            </w:r>
          </w:p>
          <w:p>
            <w:pPr>
              <w:keepNext w:val="0"/>
              <w:keepLines w:val="0"/>
              <w:pageBreakBefore w:val="0"/>
              <w:widowControl w:val="0"/>
              <w:kinsoku/>
              <w:wordWrap/>
              <w:overflowPunct/>
              <w:topLinePunct w:val="0"/>
              <w:bidi w:val="0"/>
              <w:adjustRightInd/>
              <w:snapToGrid/>
              <w:spacing w:line="320" w:lineRule="exact"/>
              <w:ind w:left="0" w:right="0" w:rightChars="0" w:firstLine="0" w:firstLineChars="0"/>
              <w:jc w:val="center"/>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评价情况</w:t>
            </w:r>
          </w:p>
        </w:tc>
        <w:tc>
          <w:tcPr>
            <w:tcW w:w="3874" w:type="pct"/>
            <w:gridSpan w:val="3"/>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cs="Times New Roman"/>
                <w:color w:val="000000" w:themeColor="text1"/>
                <w:kern w:val="0"/>
                <w:sz w:val="21"/>
                <w:szCs w:val="21"/>
                <w:highlight w:val="none"/>
                <w:lang w:eastAsia="zh-CN"/>
                <w14:textFill>
                  <w14:solidFill>
                    <w14:schemeClr w14:val="tx1"/>
                  </w14:solidFill>
                </w14:textFill>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5"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right="0" w:rightChars="0" w:firstLine="0" w:firstLineChars="0"/>
              <w:jc w:val="center"/>
              <w:textAlignment w:val="auto"/>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规划及规划环境影响评价符合性分析</w:t>
            </w:r>
          </w:p>
        </w:tc>
        <w:tc>
          <w:tcPr>
            <w:tcW w:w="3874" w:type="pct"/>
            <w:gridSpan w:val="3"/>
            <w:noWrap w:val="0"/>
            <w:vAlign w:val="center"/>
          </w:tcPr>
          <w:p>
            <w:pPr>
              <w:bidi w:val="0"/>
              <w:rPr>
                <w:rFonts w:hint="default" w:ascii="Times New Roman" w:hAnsi="Times New Roman" w:eastAsia="宋体" w:cs="Times New Roman"/>
                <w:color w:val="000000" w:themeColor="text1"/>
                <w:kern w:val="0"/>
                <w:szCs w:val="21"/>
                <w:highlight w:val="cyan"/>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项目选址位于新乡市新乡县小冀镇青龙大道39号，</w:t>
            </w:r>
            <w:r>
              <w:rPr>
                <w:rFonts w:hint="default" w:ascii="Times New Roman" w:hAnsi="Times New Roman" w:cs="Times New Roman"/>
                <w:b/>
                <w:bCs/>
                <w:color w:val="000000" w:themeColor="text1"/>
                <w:u w:val="single"/>
                <w:lang w:eastAsia="zh-CN"/>
                <w14:textFill>
                  <w14:solidFill>
                    <w14:schemeClr w14:val="tx1"/>
                  </w14:solidFill>
                </w14:textFill>
              </w:rPr>
              <w:t>对照《</w:t>
            </w:r>
            <w:r>
              <w:rPr>
                <w:rFonts w:hint="eastAsia" w:cs="Times New Roman"/>
                <w:b/>
                <w:bCs/>
                <w:color w:val="000000" w:themeColor="text1"/>
                <w:u w:val="single"/>
                <w:lang w:eastAsia="zh-CN"/>
                <w14:textFill>
                  <w14:solidFill>
                    <w14:schemeClr w14:val="tx1"/>
                  </w14:solidFill>
                </w14:textFill>
              </w:rPr>
              <w:t>河南省新乡县城乡总体规划（2012~2030）</w:t>
            </w:r>
            <w:r>
              <w:rPr>
                <w:rFonts w:hint="default" w:ascii="Times New Roman" w:hAnsi="Times New Roman" w:cs="Times New Roman"/>
                <w:b/>
                <w:bCs/>
                <w:color w:val="000000" w:themeColor="text1"/>
                <w:u w:val="single"/>
                <w:lang w:eastAsia="zh-CN"/>
                <w14:textFill>
                  <w14:solidFill>
                    <w14:schemeClr w14:val="tx1"/>
                  </w14:solidFill>
                </w14:textFill>
              </w:rPr>
              <w:t>》（附图四），项目选址用地性质属于二类工业用地，</w:t>
            </w:r>
            <w:r>
              <w:rPr>
                <w:rFonts w:hint="eastAsia" w:cs="Times New Roman"/>
                <w:b/>
                <w:bCs/>
                <w:color w:val="000000" w:themeColor="text1"/>
                <w:u w:val="single"/>
                <w:lang w:eastAsia="zh-CN"/>
                <w14:textFill>
                  <w14:solidFill>
                    <w14:schemeClr w14:val="tx1"/>
                  </w14:solidFill>
                </w14:textFill>
              </w:rPr>
              <w:t>经对照《小冀镇土地利用总体规划图（</w:t>
            </w:r>
            <w:r>
              <w:rPr>
                <w:rFonts w:hint="eastAsia" w:cs="Times New Roman"/>
                <w:b/>
                <w:bCs/>
                <w:color w:val="000000" w:themeColor="text1"/>
                <w:u w:val="single"/>
                <w:lang w:val="en-US" w:eastAsia="zh-CN"/>
                <w14:textFill>
                  <w14:solidFill>
                    <w14:schemeClr w14:val="tx1"/>
                  </w14:solidFill>
                </w14:textFill>
              </w:rPr>
              <w:t>2010-2020</w:t>
            </w:r>
            <w:r>
              <w:rPr>
                <w:rFonts w:hint="eastAsia" w:cs="Times New Roman"/>
                <w:b/>
                <w:bCs/>
                <w:color w:val="000000" w:themeColor="text1"/>
                <w:u w:val="single"/>
                <w:lang w:eastAsia="zh-CN"/>
                <w14:textFill>
                  <w14:solidFill>
                    <w14:schemeClr w14:val="tx1"/>
                  </w14:solidFill>
                </w14:textFill>
              </w:rPr>
              <w:t>）》（附图五）</w:t>
            </w:r>
            <w:r>
              <w:rPr>
                <w:rFonts w:hint="eastAsia" w:cs="Times New Roman"/>
                <w:color w:val="000000" w:themeColor="text1"/>
                <w:lang w:eastAsia="zh-CN"/>
                <w14:textFill>
                  <w14:solidFill>
                    <w14:schemeClr w14:val="tx1"/>
                  </w14:solidFill>
                </w14:textFill>
              </w:rPr>
              <w:t>，项目用地属于现状建设用地，</w:t>
            </w:r>
            <w:r>
              <w:rPr>
                <w:rFonts w:hint="default" w:ascii="Times New Roman" w:hAnsi="Times New Roman" w:cs="Times New Roman"/>
                <w:color w:val="000000" w:themeColor="text1"/>
                <w:lang w:eastAsia="zh-CN"/>
                <w14:textFill>
                  <w14:solidFill>
                    <w14:schemeClr w14:val="tx1"/>
                  </w14:solidFill>
                </w14:textFill>
              </w:rPr>
              <w:t>项目建设符合土地利用规划要求。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25"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right="0" w:rightChars="0" w:firstLine="0" w:firstLineChars="0"/>
              <w:jc w:val="center"/>
              <w:textAlignment w:val="auto"/>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其他符合性分析</w:t>
            </w:r>
          </w:p>
        </w:tc>
        <w:tc>
          <w:tcPr>
            <w:tcW w:w="3874" w:type="pct"/>
            <w:gridSpan w:val="3"/>
            <w:noWrap w:val="0"/>
            <w:vAlign w:val="center"/>
          </w:tcPr>
          <w:p>
            <w:pPr>
              <w:pStyle w:val="2"/>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项目与备案的相符性分析</w:t>
            </w: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420" w:firstLineChars="200"/>
              <w:jc w:val="lef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本项目由</w:t>
            </w:r>
            <w:r>
              <w:rPr>
                <w:rFonts w:hint="default" w:ascii="Times New Roman" w:hAnsi="Times New Roman" w:cs="Times New Roman"/>
                <w:color w:val="000000" w:themeColor="text1"/>
                <w:highlight w:val="none"/>
                <w:lang w:eastAsia="zh-CN"/>
                <w14:textFill>
                  <w14:solidFill>
                    <w14:schemeClr w14:val="tx1"/>
                  </w14:solidFill>
                </w14:textFill>
              </w:rPr>
              <w:t>新乡县发展和改革委员会</w:t>
            </w:r>
            <w:r>
              <w:rPr>
                <w:rFonts w:hint="default" w:ascii="Times New Roman" w:hAnsi="Times New Roman" w:cs="Times New Roman"/>
                <w:color w:val="000000" w:themeColor="text1"/>
                <w:highlight w:val="none"/>
                <w14:textFill>
                  <w14:solidFill>
                    <w14:schemeClr w14:val="tx1"/>
                  </w14:solidFill>
                </w14:textFill>
              </w:rPr>
              <w:t>备案，项目代码为2020-410721-34-03-077293，项目与备案的详细对比如下：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项目备案相符性分析一览表</w:t>
            </w:r>
          </w:p>
          <w:tbl>
            <w:tblPr>
              <w:tblStyle w:val="21"/>
              <w:tblW w:w="4997" w:type="pct"/>
              <w:jc w:val="center"/>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402"/>
              <w:gridCol w:w="785"/>
              <w:gridCol w:w="2378"/>
              <w:gridCol w:w="2378"/>
              <w:gridCol w:w="840"/>
            </w:tblGrid>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4" w:type="pct"/>
                  <w:gridSpan w:val="2"/>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名称</w:t>
                  </w:r>
                </w:p>
              </w:tc>
              <w:tc>
                <w:tcPr>
                  <w:tcW w:w="1752"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备案</w:t>
                  </w:r>
                  <w:r>
                    <w:rPr>
                      <w:rFonts w:hint="default" w:ascii="Times New Roman" w:hAnsi="Times New Roman" w:cs="Times New Roman"/>
                      <w:color w:val="000000" w:themeColor="text1"/>
                      <w:lang w:eastAsia="zh-CN"/>
                      <w14:textFill>
                        <w14:solidFill>
                          <w14:schemeClr w14:val="tx1"/>
                        </w14:solidFill>
                      </w14:textFill>
                    </w:rPr>
                    <w:t>情况</w:t>
                  </w:r>
                </w:p>
              </w:tc>
              <w:tc>
                <w:tcPr>
                  <w:tcW w:w="1752"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本</w:t>
                  </w:r>
                  <w:r>
                    <w:rPr>
                      <w:rFonts w:hint="default" w:ascii="Times New Roman" w:hAnsi="Times New Roman" w:cs="Times New Roman"/>
                      <w:color w:val="000000" w:themeColor="text1"/>
                      <w14:textFill>
                        <w14:solidFill>
                          <w14:schemeClr w14:val="tx1"/>
                        </w14:solidFill>
                      </w14:textFill>
                    </w:rPr>
                    <w:t>项目情况</w:t>
                  </w:r>
                </w:p>
              </w:tc>
              <w:tc>
                <w:tcPr>
                  <w:tcW w:w="619"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相符性</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4" w:type="pct"/>
                  <w:gridSpan w:val="2"/>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建设单位</w:t>
                  </w:r>
                </w:p>
              </w:tc>
              <w:tc>
                <w:tcPr>
                  <w:tcW w:w="1752"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新乡中联石化封头锻压有限公司</w:t>
                  </w:r>
                </w:p>
              </w:tc>
              <w:tc>
                <w:tcPr>
                  <w:tcW w:w="1752"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新乡中联石化封头锻压有限公司</w:t>
                  </w:r>
                </w:p>
              </w:tc>
              <w:tc>
                <w:tcPr>
                  <w:tcW w:w="619"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相符</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4" w:type="pct"/>
                  <w:gridSpan w:val="2"/>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建设项目</w:t>
                  </w:r>
                </w:p>
              </w:tc>
              <w:tc>
                <w:tcPr>
                  <w:tcW w:w="1752"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新乡中联石化封头锻压有限公司年产</w:t>
                  </w:r>
                  <w:r>
                    <w:rPr>
                      <w:rFonts w:hint="eastAsia" w:ascii="Times New Roman" w:hAnsi="Times New Roman" w:cs="Times New Roman"/>
                      <w:color w:val="000000" w:themeColor="text1"/>
                      <w:lang w:eastAsia="zh-CN"/>
                      <w14:textFill>
                        <w14:solidFill>
                          <w14:schemeClr w14:val="tx1"/>
                        </w14:solidFill>
                      </w14:textFill>
                    </w:rPr>
                    <w:t>26000吨</w:t>
                  </w:r>
                  <w:r>
                    <w:rPr>
                      <w:rFonts w:hint="default" w:ascii="Times New Roman" w:hAnsi="Times New Roman" w:cs="Times New Roman"/>
                      <w:color w:val="000000" w:themeColor="text1"/>
                      <w14:textFill>
                        <w14:solidFill>
                          <w14:schemeClr w14:val="tx1"/>
                        </w14:solidFill>
                      </w14:textFill>
                    </w:rPr>
                    <w:t>世界级超重型封头生产线建设项目</w:t>
                  </w:r>
                </w:p>
              </w:tc>
              <w:tc>
                <w:tcPr>
                  <w:tcW w:w="1752"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新乡中联石化封头锻压有限公司年产</w:t>
                  </w:r>
                  <w:r>
                    <w:rPr>
                      <w:rFonts w:hint="eastAsia" w:ascii="Times New Roman" w:hAnsi="Times New Roman" w:cs="Times New Roman"/>
                      <w:color w:val="000000" w:themeColor="text1"/>
                      <w:lang w:eastAsia="zh-CN"/>
                      <w14:textFill>
                        <w14:solidFill>
                          <w14:schemeClr w14:val="tx1"/>
                        </w14:solidFill>
                      </w14:textFill>
                    </w:rPr>
                    <w:t>26000吨</w:t>
                  </w:r>
                  <w:r>
                    <w:rPr>
                      <w:rFonts w:hint="default" w:ascii="Times New Roman" w:hAnsi="Times New Roman" w:cs="Times New Roman"/>
                      <w:color w:val="000000" w:themeColor="text1"/>
                      <w14:textFill>
                        <w14:solidFill>
                          <w14:schemeClr w14:val="tx1"/>
                        </w14:solidFill>
                      </w14:textFill>
                    </w:rPr>
                    <w:t>世界级超重型封头生产线建设项目</w:t>
                  </w:r>
                </w:p>
              </w:tc>
              <w:tc>
                <w:tcPr>
                  <w:tcW w:w="619"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相符</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PrEx>
              <w:trPr>
                <w:trHeight w:val="454" w:hRule="atLeast"/>
                <w:jc w:val="center"/>
              </w:trPr>
              <w:tc>
                <w:tcPr>
                  <w:tcW w:w="874" w:type="pct"/>
                  <w:gridSpan w:val="2"/>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建设地点</w:t>
                  </w:r>
                </w:p>
              </w:tc>
              <w:tc>
                <w:tcPr>
                  <w:tcW w:w="1752"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新乡市新乡县小冀镇青龙大道39号</w:t>
                  </w:r>
                </w:p>
              </w:tc>
              <w:tc>
                <w:tcPr>
                  <w:tcW w:w="1752"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新乡市新乡县小冀镇青龙大道39号</w:t>
                  </w:r>
                </w:p>
              </w:tc>
              <w:tc>
                <w:tcPr>
                  <w:tcW w:w="619"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相符</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96" w:type="pct"/>
                  <w:vMerge w:val="restart"/>
                  <w:tcBorders>
                    <w:right w:val="single" w:color="auto" w:sz="4" w:space="0"/>
                  </w:tcBorders>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建设内容</w:t>
                  </w:r>
                </w:p>
              </w:tc>
              <w:tc>
                <w:tcPr>
                  <w:tcW w:w="577" w:type="pct"/>
                  <w:tcBorders>
                    <w:left w:val="single" w:color="auto" w:sz="4" w:space="0"/>
                  </w:tcBorders>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主要生产工艺</w:t>
                  </w:r>
                </w:p>
              </w:tc>
              <w:tc>
                <w:tcPr>
                  <w:tcW w:w="1752" w:type="pct"/>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下料、拼板、焊接、加热、压制、成型、</w:t>
                  </w:r>
                  <w:r>
                    <w:rPr>
                      <w:rFonts w:hint="eastAsia" w:ascii="Times New Roman" w:hAnsi="Times New Roman" w:cs="Times New Roman"/>
                      <w:color w:val="000000" w:themeColor="text1"/>
                      <w:lang w:val="en-US" w:eastAsia="zh-CN"/>
                      <w14:textFill>
                        <w14:solidFill>
                          <w14:schemeClr w14:val="tx1"/>
                        </w14:solidFill>
                      </w14:textFill>
                    </w:rPr>
                    <w:t>酸洗、</w:t>
                  </w:r>
                  <w:r>
                    <w:rPr>
                      <w:rFonts w:hint="default" w:ascii="Times New Roman" w:hAnsi="Times New Roman" w:cs="Times New Roman"/>
                      <w:color w:val="000000" w:themeColor="text1"/>
                      <w:lang w:val="en-US" w:eastAsia="zh-CN"/>
                      <w14:textFill>
                        <w14:solidFill>
                          <w14:schemeClr w14:val="tx1"/>
                        </w14:solidFill>
                      </w14:textFill>
                    </w:rPr>
                    <w:t>检验</w:t>
                  </w:r>
                </w:p>
              </w:tc>
              <w:tc>
                <w:tcPr>
                  <w:tcW w:w="1752" w:type="pct"/>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下料、拼板焊接、加热、压制、成型、</w:t>
                  </w:r>
                  <w:r>
                    <w:rPr>
                      <w:rFonts w:hint="eastAsia" w:ascii="Times New Roman" w:hAnsi="Times New Roman" w:cs="Times New Roman"/>
                      <w:color w:val="000000" w:themeColor="text1"/>
                      <w:lang w:val="en-US" w:eastAsia="zh-CN"/>
                      <w14:textFill>
                        <w14:solidFill>
                          <w14:schemeClr w14:val="tx1"/>
                        </w14:solidFill>
                      </w14:textFill>
                    </w:rPr>
                    <w:t>酸洗、</w:t>
                  </w:r>
                  <w:r>
                    <w:rPr>
                      <w:rFonts w:hint="default" w:ascii="Times New Roman" w:hAnsi="Times New Roman" w:cs="Times New Roman"/>
                      <w:color w:val="000000" w:themeColor="text1"/>
                      <w:lang w:val="en-US" w:eastAsia="zh-CN"/>
                      <w14:textFill>
                        <w14:solidFill>
                          <w14:schemeClr w14:val="tx1"/>
                        </w14:solidFill>
                      </w14:textFill>
                    </w:rPr>
                    <w:t>检验</w:t>
                  </w:r>
                </w:p>
              </w:tc>
              <w:tc>
                <w:tcPr>
                  <w:tcW w:w="619"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相符</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96" w:type="pct"/>
                  <w:vMerge w:val="continue"/>
                  <w:tcBorders>
                    <w:right w:val="single" w:color="auto" w:sz="4" w:space="0"/>
                  </w:tcBorders>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p>
              </w:tc>
              <w:tc>
                <w:tcPr>
                  <w:tcW w:w="577" w:type="pct"/>
                  <w:tcBorders>
                    <w:left w:val="single" w:color="auto" w:sz="4" w:space="0"/>
                  </w:tcBorders>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主要生产设备</w:t>
                  </w:r>
                </w:p>
              </w:tc>
              <w:tc>
                <w:tcPr>
                  <w:tcW w:w="1752" w:type="pct"/>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超重型封头油压机、天然气加热炉及其他配套辅助设施</w:t>
                  </w:r>
                </w:p>
              </w:tc>
              <w:tc>
                <w:tcPr>
                  <w:tcW w:w="1752"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val="zh-CN" w:eastAsia="en-US"/>
                      <w14:textFill>
                        <w14:solidFill>
                          <w14:schemeClr w14:val="tx1"/>
                        </w14:solidFill>
                      </w14:textFill>
                    </w:rPr>
                    <w:t>四柱式油压机、四柱式冷压机、天然气加热炉、起重机、焊机、切割机、打片机、叉车等</w:t>
                  </w:r>
                </w:p>
              </w:tc>
              <w:tc>
                <w:tcPr>
                  <w:tcW w:w="619"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基本</w:t>
                  </w:r>
                </w:p>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相符</w:t>
                  </w:r>
                </w:p>
              </w:tc>
            </w:tr>
            <w:tr>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4" w:type="pct"/>
                  <w:gridSpan w:val="2"/>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投资</w:t>
                  </w:r>
                </w:p>
              </w:tc>
              <w:tc>
                <w:tcPr>
                  <w:tcW w:w="1752" w:type="pct"/>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20000万元</w:t>
                  </w:r>
                </w:p>
              </w:tc>
              <w:tc>
                <w:tcPr>
                  <w:tcW w:w="1752"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20000万元</w:t>
                  </w:r>
                </w:p>
              </w:tc>
              <w:tc>
                <w:tcPr>
                  <w:tcW w:w="619"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相符</w:t>
                  </w:r>
                </w:p>
              </w:tc>
            </w:tr>
          </w:tbl>
          <w:p>
            <w:pPr>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综上，</w:t>
            </w:r>
            <w:r>
              <w:rPr>
                <w:rFonts w:hint="default" w:ascii="Times New Roman" w:hAnsi="Times New Roman" w:cs="Times New Roman"/>
                <w:color w:val="000000" w:themeColor="text1"/>
                <w:lang w:eastAsia="zh-CN"/>
                <w14:textFill>
                  <w14:solidFill>
                    <w14:schemeClr w14:val="tx1"/>
                  </w14:solidFill>
                </w14:textFill>
              </w:rPr>
              <w:t>本项目实际建设内容与备案内容相比，主要生产设备方面未</w:t>
            </w:r>
            <w:r>
              <w:rPr>
                <w:rFonts w:hint="eastAsia" w:cs="Times New Roman"/>
                <w:color w:val="000000" w:themeColor="text1"/>
                <w:lang w:eastAsia="zh-CN"/>
                <w14:textFill>
                  <w14:solidFill>
                    <w14:schemeClr w14:val="tx1"/>
                  </w14:solidFill>
                </w14:textFill>
              </w:rPr>
              <w:t>全部</w:t>
            </w:r>
            <w:r>
              <w:rPr>
                <w:rFonts w:hint="default" w:ascii="Times New Roman" w:hAnsi="Times New Roman" w:cs="Times New Roman"/>
                <w:color w:val="000000" w:themeColor="text1"/>
                <w:lang w:eastAsia="zh-CN"/>
                <w14:textFill>
                  <w14:solidFill>
                    <w14:schemeClr w14:val="tx1"/>
                  </w14:solidFill>
                </w14:textFill>
              </w:rPr>
              <w:t>在备案中进行详细说明，根据《河南省政府投资管理办法》，上述不一致情况均不属于重大变动。项目其余</w:t>
            </w:r>
            <w:r>
              <w:rPr>
                <w:rFonts w:hint="default" w:ascii="Times New Roman" w:hAnsi="Times New Roman" w:cs="Times New Roman"/>
                <w:color w:val="000000" w:themeColor="text1"/>
                <w14:textFill>
                  <w14:solidFill>
                    <w14:schemeClr w14:val="tx1"/>
                  </w14:solidFill>
                </w14:textFill>
              </w:rPr>
              <w:t>建设地点、建设规模</w:t>
            </w:r>
            <w:r>
              <w:rPr>
                <w:rFonts w:hint="default" w:ascii="Times New Roman" w:hAnsi="Times New Roman" w:cs="Times New Roman"/>
                <w:color w:val="000000" w:themeColor="text1"/>
                <w:lang w:eastAsia="zh-CN"/>
                <w14:textFill>
                  <w14:solidFill>
                    <w14:schemeClr w14:val="tx1"/>
                  </w14:solidFill>
                </w14:textFill>
              </w:rPr>
              <w:t>及投资规模等内容</w:t>
            </w:r>
            <w:r>
              <w:rPr>
                <w:rFonts w:hint="default" w:ascii="Times New Roman" w:hAnsi="Times New Roman" w:cs="Times New Roman"/>
                <w:color w:val="000000" w:themeColor="text1"/>
                <w14:textFill>
                  <w14:solidFill>
                    <w14:schemeClr w14:val="tx1"/>
                  </w14:solidFill>
                </w14:textFill>
              </w:rPr>
              <w:t>均与发改委备案基本一致。</w:t>
            </w:r>
          </w:p>
          <w:p>
            <w:pPr>
              <w:pStyle w:val="2"/>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与《产业结构调整指导目录（201</w:t>
            </w:r>
            <w:r>
              <w:rPr>
                <w:rFonts w:hint="default" w:ascii="Times New Roman" w:hAnsi="Times New Roman" w:cs="Times New Roman"/>
                <w:color w:val="000000" w:themeColor="text1"/>
                <w:lang w:val="en-US" w:eastAsia="zh-CN"/>
                <w14:textFill>
                  <w14:solidFill>
                    <w14:schemeClr w14:val="tx1"/>
                  </w14:solidFill>
                </w14:textFill>
              </w:rPr>
              <w:t>9</w:t>
            </w:r>
            <w:r>
              <w:rPr>
                <w:rFonts w:hint="default" w:ascii="Times New Roman" w:hAnsi="Times New Roman" w:cs="Times New Roman"/>
                <w:color w:val="000000" w:themeColor="text1"/>
                <w14:textFill>
                  <w14:solidFill>
                    <w14:schemeClr w14:val="tx1"/>
                  </w14:solidFill>
                </w14:textFill>
              </w:rPr>
              <w:t>年本）》相符性分析</w:t>
            </w:r>
          </w:p>
          <w:p>
            <w:pPr>
              <w:pStyle w:val="11"/>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right="0" w:rightChars="0" w:firstLine="420" w:firstLineChars="200"/>
              <w:textAlignment w:val="auto"/>
              <w:outlineLvl w:val="9"/>
              <w:rPr>
                <w:rFonts w:hint="default" w:ascii="Times New Roman" w:hAnsi="Times New Roman" w:cs="Times New Roman"/>
                <w:b w:val="0"/>
                <w:bCs w:val="0"/>
                <w:color w:val="000000" w:themeColor="text1"/>
                <w:sz w:val="21"/>
                <w:szCs w:val="21"/>
                <w:highlight w:val="none"/>
                <w:u w:val="none"/>
                <w:lang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u w:val="none"/>
                <w:lang w:eastAsia="zh-CN"/>
                <w14:textFill>
                  <w14:solidFill>
                    <w14:schemeClr w14:val="tx1"/>
                  </w14:solidFill>
                </w14:textFill>
              </w:rPr>
              <w:t>对照《产业结构调整指导目录（2019年本）》，本项目不属于鼓励类、限制类和淘汰类，为允</w:t>
            </w:r>
            <w:r>
              <w:rPr>
                <w:rFonts w:hint="default" w:ascii="Times New Roman" w:hAnsi="Times New Roman" w:cs="Times New Roman"/>
                <w:b w:val="0"/>
                <w:bCs w:val="0"/>
                <w:i w:val="0"/>
                <w:iCs w:val="0"/>
                <w:color w:val="000000" w:themeColor="text1"/>
                <w:sz w:val="21"/>
                <w:szCs w:val="21"/>
                <w:highlight w:val="none"/>
                <w:u w:val="none"/>
                <w:lang w:eastAsia="zh-CN"/>
                <w14:textFill>
                  <w14:solidFill>
                    <w14:schemeClr w14:val="tx1"/>
                  </w14:solidFill>
                </w14:textFill>
              </w:rPr>
              <w:t>许</w:t>
            </w:r>
            <w:r>
              <w:rPr>
                <w:rFonts w:hint="default" w:ascii="Times New Roman" w:hAnsi="Times New Roman" w:cs="Times New Roman"/>
                <w:b w:val="0"/>
                <w:bCs w:val="0"/>
                <w:color w:val="000000" w:themeColor="text1"/>
                <w:sz w:val="21"/>
                <w:szCs w:val="21"/>
                <w:highlight w:val="none"/>
                <w:u w:val="none"/>
                <w:lang w:eastAsia="zh-CN"/>
                <w14:textFill>
                  <w14:solidFill>
                    <w14:schemeClr w14:val="tx1"/>
                  </w14:solidFill>
                </w14:textFill>
              </w:rPr>
              <w:t>类项目，目前已由新乡县发展和改革委员会备案，备案项目代码为2020-410721-34-03-077293，项目符合国家有关产业政策。</w:t>
            </w:r>
          </w:p>
          <w:p>
            <w:pPr>
              <w:pStyle w:val="2"/>
              <w:numPr>
                <w:ilvl w:val="0"/>
                <w:numId w:val="2"/>
              </w:numPr>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与《河南省2022年大气、水、土壤污染防治攻坚战及农业农村污染治理攻坚战实施方案的通知》（豫环委办〔2022〕9号）的相符性分析</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与《豫环委办〔2022〕9号》相符性分析</w:t>
            </w:r>
          </w:p>
          <w:tbl>
            <w:tblPr>
              <w:tblStyle w:val="21"/>
              <w:tblW w:w="4991"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0"/>
              <w:gridCol w:w="3443"/>
              <w:gridCol w:w="1920"/>
              <w:gridCol w:w="70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23"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类别</w:t>
                  </w:r>
                </w:p>
              </w:tc>
              <w:tc>
                <w:tcPr>
                  <w:tcW w:w="2540"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实施方案</w:t>
                  </w:r>
                </w:p>
              </w:tc>
              <w:tc>
                <w:tcPr>
                  <w:tcW w:w="1416"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本项目情况</w:t>
                  </w:r>
                </w:p>
              </w:tc>
              <w:tc>
                <w:tcPr>
                  <w:tcW w:w="518" w:type="pct"/>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相符性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23" w:type="pct"/>
                  <w:vMerge w:val="restar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河南省202</w:t>
                  </w: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年大气污染防治攻坚战实施方案</w:t>
                  </w:r>
                </w:p>
              </w:tc>
              <w:tc>
                <w:tcPr>
                  <w:tcW w:w="2540"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推进绿色低碳产业发展。落实国家产业规划、产业政策、“三线一单”、规划环评，以及产能置换、煤炭消费减量替代、区域污染物削减等相关要求，积极支持节能环保、新能源等战略性新兴产业发展，坚决遏制高耗能、高排放项目盲目建设。落实“两高”项目会商联审机制，强化项目环评及“三同时”管理，重点行业企业新建、扩建项目达到A级绩效水平，改建项目达到B级以上绩效水平。严禁新增钢铁、电解铝、水泥熟料、平板玻璃、煤化工（甲醇、合成氨）、氧化铝、焦化、铸造、铝用碳素、烧结砖瓦、铁合金等行业产能。禁止耐火材料、铅锌冶炼（含再生铅）行业单纯新增产能。水泥行业产能置换项目应实现矿石皮带廊密闭运输，大宗物料产品清洁运输。</w:t>
                  </w:r>
                </w:p>
              </w:tc>
              <w:tc>
                <w:tcPr>
                  <w:tcW w:w="1416" w:type="pct"/>
                  <w:noWrap w:val="0"/>
                  <w:vAlign w:val="center"/>
                </w:tcPr>
                <w:p>
                  <w:pPr>
                    <w:pStyle w:val="57"/>
                    <w:bidi w:val="0"/>
                    <w:jc w:val="both"/>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项目属于扩建C3311金属结构制造和C3393锻件及粉末冶金制品制造项目，经对照</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eastAsia" w:ascii="Times New Roman" w:hAnsi="Times New Roman" w:cs="Times New Roman"/>
                      <w:color w:val="000000" w:themeColor="text1"/>
                      <w:highlight w:val="none"/>
                      <w:lang w:eastAsia="zh-CN"/>
                      <w14:textFill>
                        <w14:solidFill>
                          <w14:schemeClr w14:val="tx1"/>
                        </w14:solidFill>
                      </w14:textFill>
                    </w:rPr>
                    <w:t>关于印发河南省“两高”项目管理名录（</w:t>
                  </w:r>
                  <w:r>
                    <w:rPr>
                      <w:rFonts w:hint="eastAsia" w:ascii="Times New Roman" w:hAnsi="Times New Roman" w:cs="Times New Roman"/>
                      <w:color w:val="000000" w:themeColor="text1"/>
                      <w:highlight w:val="none"/>
                      <w:lang w:val="en-US" w:eastAsia="zh-CN"/>
                      <w14:textFill>
                        <w14:solidFill>
                          <w14:schemeClr w14:val="tx1"/>
                        </w14:solidFill>
                      </w14:textFill>
                    </w:rPr>
                    <w:t>2023年修订</w:t>
                  </w:r>
                  <w:r>
                    <w:rPr>
                      <w:rFonts w:hint="eastAsia" w:ascii="Times New Roman" w:hAnsi="Times New Roman" w:cs="Times New Roman"/>
                      <w:color w:val="000000" w:themeColor="text1"/>
                      <w:highlight w:val="none"/>
                      <w:lang w:eastAsia="zh-CN"/>
                      <w14:textFill>
                        <w14:solidFill>
                          <w14:schemeClr w14:val="tx1"/>
                        </w14:solidFill>
                      </w14:textFill>
                    </w:rPr>
                    <w:t>）的通知</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eastAsia" w:ascii="Times New Roman" w:hAnsi="Times New Roman" w:cs="Times New Roman"/>
                      <w:color w:val="000000" w:themeColor="text1"/>
                      <w:highlight w:val="none"/>
                      <w:lang w:eastAsia="zh-CN"/>
                      <w14:textFill>
                        <w14:solidFill>
                          <w14:schemeClr w14:val="tx1"/>
                        </w14:solidFill>
                      </w14:textFill>
                    </w:rPr>
                    <w:t>（豫发改环资（</w:t>
                  </w:r>
                  <w:r>
                    <w:rPr>
                      <w:rFonts w:hint="eastAsia" w:ascii="Times New Roman" w:hAnsi="Times New Roman" w:cs="Times New Roman"/>
                      <w:color w:val="000000" w:themeColor="text1"/>
                      <w:highlight w:val="none"/>
                      <w:lang w:val="en-US" w:eastAsia="zh-CN"/>
                      <w14:textFill>
                        <w14:solidFill>
                          <w14:schemeClr w14:val="tx1"/>
                        </w14:solidFill>
                      </w14:textFill>
                    </w:rPr>
                    <w:t>2023</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38号</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eastAsia="zh-CN"/>
                      <w14:textFill>
                        <w14:solidFill>
                          <w14:schemeClr w14:val="tx1"/>
                        </w14:solidFill>
                      </w14:textFill>
                    </w:rPr>
                    <w:t>，本项目不属于“两高”类项目。项目不属于严禁新增</w:t>
                  </w:r>
                  <w:r>
                    <w:rPr>
                      <w:rFonts w:hint="default" w:ascii="Times New Roman" w:hAnsi="Times New Roman" w:cs="Times New Roman"/>
                      <w:color w:val="000000" w:themeColor="text1"/>
                      <w:lang w:eastAsia="zh-CN"/>
                      <w14:textFill>
                        <w14:solidFill>
                          <w14:schemeClr w14:val="tx1"/>
                        </w14:solidFill>
                      </w14:textFill>
                    </w:rPr>
                    <w:t>产能所列项目。项目建成后达到《河南省重污染天气通用行业应急减排措施制定技术指南（2021年修订版）》中通用行业基本要求以及涉炉窑企业A级要求</w:t>
                  </w:r>
                </w:p>
              </w:tc>
              <w:tc>
                <w:tcPr>
                  <w:tcW w:w="518"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23" w:type="pct"/>
                  <w:vMerge w:val="continue"/>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p>
              </w:tc>
              <w:tc>
                <w:tcPr>
                  <w:tcW w:w="2540" w:type="pct"/>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6.实施清洁能源替代。</w:t>
                  </w:r>
                  <w:r>
                    <w:rPr>
                      <w:rFonts w:hint="default" w:ascii="Times New Roman" w:hAnsi="Times New Roman" w:cs="Times New Roman"/>
                      <w:color w:val="000000" w:themeColor="text1"/>
                      <w:lang w:eastAsia="zh-CN"/>
                      <w14:textFill>
                        <w14:solidFill>
                          <w14:schemeClr w14:val="tx1"/>
                        </w14:solidFill>
                      </w14:textFill>
                    </w:rPr>
                    <w:t>大力推进清洁能源应用，鼓励支持现有使用高污染燃料的工业炉窑改用工业余热、电能、天然气等，对</w:t>
                  </w:r>
                  <w:r>
                    <w:rPr>
                      <w:rFonts w:hint="default" w:ascii="Times New Roman" w:hAnsi="Times New Roman" w:cs="Times New Roman"/>
                      <w:color w:val="000000" w:themeColor="text1"/>
                      <w:lang w:val="en-US" w:eastAsia="zh-CN"/>
                      <w14:textFill>
                        <w14:solidFill>
                          <w14:schemeClr w14:val="tx1"/>
                        </w14:solidFill>
                      </w14:textFill>
                    </w:rPr>
                    <w:t xml:space="preserve">2024年10月底前完成拆改任务的工业炉窑，优先给与大气污染防治专项资金支持。新、改、扩建加热炉、热处理炉、干燥炉、熔化炉等工业炉窑，应采用清洁能源。全省禁止新建企业自备燃煤锅炉，全面淘汰35蒸吨/小时及以下燃煤锅炉。 </w:t>
                  </w:r>
                </w:p>
              </w:tc>
              <w:tc>
                <w:tcPr>
                  <w:tcW w:w="1416" w:type="pct"/>
                  <w:noWrap w:val="0"/>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本项目扩建</w:t>
                  </w:r>
                  <w:r>
                    <w:rPr>
                      <w:rFonts w:hint="default" w:ascii="Times New Roman" w:hAnsi="Times New Roman" w:cs="Times New Roman"/>
                      <w:color w:val="000000" w:themeColor="text1"/>
                      <w:lang w:val="en-US" w:eastAsia="zh-CN"/>
                      <w14:textFill>
                        <w14:solidFill>
                          <w14:schemeClr w14:val="tx1"/>
                        </w14:solidFill>
                      </w14:textFill>
                    </w:rPr>
                    <w:t>2台燃气加热炉，采用天然气作为能源</w:t>
                  </w:r>
                </w:p>
              </w:tc>
              <w:tc>
                <w:tcPr>
                  <w:tcW w:w="518"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23" w:type="pct"/>
                  <w:vMerge w:val="restar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河南省2022年水污染防治攻坚战实施方案</w:t>
                  </w:r>
                </w:p>
              </w:tc>
              <w:tc>
                <w:tcPr>
                  <w:tcW w:w="2540"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14.调整优化产业结构。落实“三线一单”生态环境分区管控体系，加强重点区域、重点流域、重点行业和产业布局规划环评。持续推进钢铁、有色、石化、化工、电镀、皮革、造纸、印染、农副食品加工等行业改造转型升级，推动化工、印染、电镀等产业集群提升改造。推动重点行业、重点区域产业布局调整，实施传统产业兼并重组、城市建成区高污染企业退城入园和敏感区域、水污染严重地区高污染企业布局优化，制定实施落后产能淘汰方案。严禁在黄河干流及主要支流临岸一定范围内新建“两高一资”项目及相关产业园区。</w:t>
                  </w:r>
                </w:p>
              </w:tc>
              <w:tc>
                <w:tcPr>
                  <w:tcW w:w="1416" w:type="pct"/>
                  <w:noWrap w:val="0"/>
                  <w:vAlign w:val="center"/>
                </w:tcPr>
                <w:p>
                  <w:pPr>
                    <w:pStyle w:val="57"/>
                    <w:bidi w:val="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项目选址位于新乡市新乡县小冀镇青龙大道39号</w:t>
                  </w:r>
                  <w:r>
                    <w:rPr>
                      <w:rFonts w:hint="default" w:ascii="Times New Roman" w:hAnsi="Times New Roman" w:cs="Times New Roman"/>
                      <w:color w:val="000000" w:themeColor="text1"/>
                      <w:lang w:eastAsia="zh-CN"/>
                      <w14:textFill>
                        <w14:solidFill>
                          <w14:schemeClr w14:val="tx1"/>
                        </w14:solidFill>
                      </w14:textFill>
                    </w:rPr>
                    <w:t>，对照《新乡市“三线一单”生态环境准入清单》（试行）和《河南省生态环境分区管控总体要求（试行）》，本项目符合</w:t>
                  </w:r>
                  <w:r>
                    <w:rPr>
                      <w:rFonts w:hint="default" w:ascii="Times New Roman" w:hAnsi="Times New Roman" w:cs="Times New Roman"/>
                      <w:color w:val="000000" w:themeColor="text1"/>
                      <w14:textFill>
                        <w14:solidFill>
                          <w14:schemeClr w14:val="tx1"/>
                        </w14:solidFill>
                      </w14:textFill>
                    </w:rPr>
                    <w:t>“三线一单”控制要求</w:t>
                  </w:r>
                  <w:r>
                    <w:rPr>
                      <w:rFonts w:hint="default" w:ascii="Times New Roman" w:hAnsi="Times New Roman" w:cs="Times New Roman"/>
                      <w:color w:val="000000" w:themeColor="text1"/>
                      <w:lang w:eastAsia="zh-CN"/>
                      <w14:textFill>
                        <w14:solidFill>
                          <w14:schemeClr w14:val="tx1"/>
                        </w14:solidFill>
                      </w14:textFill>
                    </w:rPr>
                    <w:t>。项目</w:t>
                  </w:r>
                  <w:r>
                    <w:rPr>
                      <w:rFonts w:hint="default" w:ascii="Times New Roman" w:hAnsi="Times New Roman" w:cs="Times New Roman"/>
                      <w:color w:val="000000" w:themeColor="text1"/>
                      <w14:textFill>
                        <w14:solidFill>
                          <w14:schemeClr w14:val="tx1"/>
                        </w14:solidFill>
                      </w14:textFill>
                    </w:rPr>
                    <w:t>不在黄河干流及主要支流范围内</w:t>
                  </w:r>
                  <w:r>
                    <w:rPr>
                      <w:rFonts w:hint="default" w:ascii="Times New Roman" w:hAnsi="Times New Roman" w:cs="Times New Roman"/>
                      <w:color w:val="000000" w:themeColor="text1"/>
                      <w:lang w:eastAsia="zh-CN"/>
                      <w14:textFill>
                        <w14:solidFill>
                          <w14:schemeClr w14:val="tx1"/>
                        </w14:solidFill>
                      </w14:textFill>
                    </w:rPr>
                    <w:t>，且不属于</w:t>
                  </w:r>
                  <w:r>
                    <w:rPr>
                      <w:rFonts w:hint="default" w:ascii="Times New Roman" w:hAnsi="Times New Roman" w:cs="Times New Roman"/>
                      <w:color w:val="000000" w:themeColor="text1"/>
                      <w:lang w:val="en-US" w:eastAsia="zh-CN"/>
                      <w14:textFill>
                        <w14:solidFill>
                          <w14:schemeClr w14:val="tx1"/>
                        </w14:solidFill>
                      </w14:textFill>
                    </w:rPr>
                    <w:t>“两高一资”项目</w:t>
                  </w:r>
                  <w:r>
                    <w:rPr>
                      <w:rFonts w:hint="default" w:ascii="Times New Roman" w:hAnsi="Times New Roman" w:cs="Times New Roman"/>
                      <w:color w:val="000000" w:themeColor="text1"/>
                      <w14:textFill>
                        <w14:solidFill>
                          <w14:schemeClr w14:val="tx1"/>
                        </w14:solidFill>
                      </w14:textFill>
                    </w:rPr>
                    <w:t>。</w:t>
                  </w:r>
                </w:p>
              </w:tc>
              <w:tc>
                <w:tcPr>
                  <w:tcW w:w="518"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23" w:type="pct"/>
                  <w:vMerge w:val="continue"/>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p>
              </w:tc>
              <w:tc>
                <w:tcPr>
                  <w:tcW w:w="2540"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15.推动企业绿色发展</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在造纸、焦化、氨肥、农副食品加工、皮革、印染、有色、原料药制造、电镀等重点水污染物排放行业，推动清洁生产改造，减少单位产品耗水量和单位产品排污量。结合水环境容量、地表水环境目标、排污许可证要求，对直排企业污水处理设施适时进行提标改造。推进工业水循环利用和水循环梯级利用，在高耗水行业开展水效“领跑者”行动。电力企业严格落实环评审批的使用再生水要求。到2022年年底，万元工业增加值用水量较2020年下降约2%</w:t>
                  </w:r>
                </w:p>
              </w:tc>
              <w:tc>
                <w:tcPr>
                  <w:tcW w:w="1416" w:type="pct"/>
                  <w:noWrap w:val="0"/>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项目属于C3311金属结构制造和C3393锻件及粉末冶金制品制造项目，不属于</w:t>
                  </w:r>
                  <w:r>
                    <w:rPr>
                      <w:rFonts w:hint="default" w:ascii="Times New Roman" w:hAnsi="Times New Roman" w:cs="Times New Roman"/>
                      <w:color w:val="000000" w:themeColor="text1"/>
                      <w14:textFill>
                        <w14:solidFill>
                          <w14:schemeClr w14:val="tx1"/>
                        </w14:solidFill>
                      </w14:textFill>
                    </w:rPr>
                    <w:t>造纸、焦化、氨肥、农副食品加工、皮革、印染、有色、原料药制造、电镀等重点水污染物排放行业</w:t>
                  </w:r>
                </w:p>
              </w:tc>
              <w:tc>
                <w:tcPr>
                  <w:tcW w:w="518"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23"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河南省2022年土壤污染防治攻坚战实施方案</w:t>
                  </w:r>
                </w:p>
              </w:tc>
              <w:tc>
                <w:tcPr>
                  <w:tcW w:w="2540"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7.推动实施绿色化改造</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推进工业企业绿色升级，加快实施钢铁、石化、化工、皮革、有色金属矿采选及冶炼、电镀等行业绿色化改造。土壤污染隐患排查中发现问题的土壤污染重点监管单位，可根据情况实施管道化、密闭化改造，重点区域防腐防渗改造，物料、污水、废气管线架空建设和改造，从源头上防范土壤污染。聚焦重有色金属采选和冶炼、涉重金属无机化工等重点行业，严格实施清洁生产审核，进一步减少污染物排放。</w:t>
                  </w:r>
                </w:p>
              </w:tc>
              <w:tc>
                <w:tcPr>
                  <w:tcW w:w="1416" w:type="pct"/>
                  <w:noWrap w:val="0"/>
                  <w:vAlign w:val="center"/>
                </w:tcPr>
                <w:p>
                  <w:pPr>
                    <w:pStyle w:val="57"/>
                    <w:bidi w:val="0"/>
                    <w:jc w:val="both"/>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项目属于C3311金属结构制造和C3393锻件及粉末冶金制品制造项目，不属于钢铁、石化、化工、皮革、有色金属矿采选及冶炼、电镀等涉及重金属排放企业。</w:t>
                  </w:r>
                </w:p>
              </w:tc>
              <w:tc>
                <w:tcPr>
                  <w:tcW w:w="518"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相符</w:t>
                  </w:r>
                </w:p>
              </w:tc>
            </w:tr>
          </w:tbl>
          <w:p>
            <w:pPr>
              <w:pStyle w:val="2"/>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4、与《新乡市 2022 年大气、水、土壤污染防治攻坚战及农业农村污染治理攻坚战实施方案的通知》（新环攻坚办（2022）60 号）相符性分析</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与《新环攻坚办（2021）90 号》对比分析一览表</w:t>
            </w:r>
          </w:p>
          <w:tbl>
            <w:tblPr>
              <w:tblStyle w:val="21"/>
              <w:tblW w:w="4996"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8"/>
              <w:gridCol w:w="3322"/>
              <w:gridCol w:w="1933"/>
              <w:gridCol w:w="81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971" w:type="pct"/>
                  <w:gridSpan w:val="2"/>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与本项目有关的内容</w:t>
                  </w:r>
                </w:p>
              </w:tc>
              <w:tc>
                <w:tcPr>
                  <w:tcW w:w="1425"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本项目情况</w:t>
                  </w:r>
                </w:p>
              </w:tc>
              <w:tc>
                <w:tcPr>
                  <w:tcW w:w="603"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对照情况说明</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1" w:type="pct"/>
                  <w:vMerge w:val="restar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新乡市2022年大气污染防治攻坚战实施方案</w:t>
                  </w:r>
                </w:p>
              </w:tc>
              <w:tc>
                <w:tcPr>
                  <w:tcW w:w="2449" w:type="pct"/>
                  <w:noWrap w:val="0"/>
                  <w:vAlign w:val="center"/>
                </w:tcPr>
                <w:p>
                  <w:pPr>
                    <w:pStyle w:val="57"/>
                    <w:bidi w:val="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3.严格项目准入，推进绿色低碳产业发展。项目准入严格 落实国家产业规划、产业政策、“三线一单”、规划环评，以及产 能置换、煤炭消费减量替代、区域污染物削减等相关要求，积极 支持节能环保、新能源等战略性新兴产业发展，坚决遏制高耗能、 高排放项目盲目建设，“两高”项目由省级相关部门实施联合会 商联审机制。严禁新增钢铁、电解铝、水泥熟料、平板玻璃、传 统煤化工（甲醇、合成氨）、氧化铝、焦化、铸造、铝用碳素、 烧结砖瓦、铁合金等行业产能。禁止耐火材料、铅锌冶炼（含再 生铅）行业单纯新增产能。水泥行业产能置换项目应实现矿石皮 带廊密闭运输、大宗物料产品清洁运输。强化项目环评及“三同 时”管理，国家、省绩效分级重点行业企业新建、扩建项目达到 A 级绩效水平，改建项目达到 B 级以上绩效水平。</w:t>
                  </w:r>
                </w:p>
              </w:tc>
              <w:tc>
                <w:tcPr>
                  <w:tcW w:w="1425" w:type="pct"/>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本项目属于扩建</w:t>
                  </w:r>
                  <w:r>
                    <w:rPr>
                      <w:rFonts w:hint="default" w:ascii="Times New Roman" w:hAnsi="Times New Roman" w:cs="Times New Roman"/>
                      <w:color w:val="000000" w:themeColor="text1"/>
                      <w:lang w:eastAsia="zh-CN"/>
                      <w14:textFill>
                        <w14:solidFill>
                          <w14:schemeClr w14:val="tx1"/>
                        </w14:solidFill>
                      </w14:textFill>
                    </w:rPr>
                    <w:t>C3311金属结构制造和C3393锻件及粉末冶金制品制造项目</w:t>
                  </w:r>
                  <w:r>
                    <w:rPr>
                      <w:rFonts w:hint="default" w:ascii="Times New Roman" w:hAnsi="Times New Roman" w:cs="Times New Roman"/>
                      <w:color w:val="000000" w:themeColor="text1"/>
                      <w:lang w:val="en-US" w:eastAsia="zh-CN"/>
                      <w14:textFill>
                        <w14:solidFill>
                          <w14:schemeClr w14:val="tx1"/>
                        </w14:solidFill>
                      </w14:textFill>
                    </w:rPr>
                    <w:t>，不属于禁止新增类的行业。本项目建设符合环境准入清单，建成后新增2台燃气加热炉，</w:t>
                  </w:r>
                  <w:r>
                    <w:rPr>
                      <w:rFonts w:hint="default" w:ascii="Times New Roman" w:hAnsi="Times New Roman" w:cs="Times New Roman"/>
                      <w:color w:val="000000" w:themeColor="text1"/>
                      <w:lang w:eastAsia="zh-CN"/>
                      <w14:textFill>
                        <w14:solidFill>
                          <w14:schemeClr w14:val="tx1"/>
                        </w14:solidFill>
                      </w14:textFill>
                    </w:rPr>
                    <w:t>项目建成后达到《河南省重污染天气通用行业应急减排措施制定技术指南（2021年修订版）》中通用行业基本要求以及涉炉窑企业A级要求</w:t>
                  </w:r>
                </w:p>
              </w:tc>
              <w:tc>
                <w:tcPr>
                  <w:tcW w:w="603" w:type="pct"/>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符合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1" w:type="pct"/>
                  <w:vMerge w:val="continue"/>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p>
              </w:tc>
              <w:tc>
                <w:tcPr>
                  <w:tcW w:w="2449" w:type="pct"/>
                  <w:noWrap w:val="0"/>
                  <w:vAlign w:val="center"/>
                </w:tcPr>
                <w:p>
                  <w:pPr>
                    <w:pStyle w:val="57"/>
                    <w:bidi w:val="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6.实施清洁能源替代。大力推进清洁能源应用，鼓励支持现 有使用高污染燃料的工业炉窑改用工业余热、电能、天然气等， 对 2024 年 10 月底前完成拆改任务的工业炉窑，优先给予大气污 染防治专项资金支持。新、改、扩建加热炉、热处理炉、干燥炉、 熔化炉等工业窑炉，应采用清洁能源。全市禁止新建企业自备燃煤锅炉。</w:t>
                  </w:r>
                </w:p>
              </w:tc>
              <w:tc>
                <w:tcPr>
                  <w:tcW w:w="1425" w:type="pct"/>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本项目属于扩建</w:t>
                  </w:r>
                  <w:r>
                    <w:rPr>
                      <w:rFonts w:hint="default" w:ascii="Times New Roman" w:hAnsi="Times New Roman" w:cs="Times New Roman"/>
                      <w:color w:val="000000" w:themeColor="text1"/>
                      <w:lang w:eastAsia="zh-CN"/>
                      <w14:textFill>
                        <w14:solidFill>
                          <w14:schemeClr w14:val="tx1"/>
                        </w14:solidFill>
                      </w14:textFill>
                    </w:rPr>
                    <w:t>C3311金属结构制造和C3393锻件及粉末冶金制品制造项目</w:t>
                  </w:r>
                  <w:r>
                    <w:rPr>
                      <w:rFonts w:hint="default" w:ascii="Times New Roman" w:hAnsi="Times New Roman" w:cs="Times New Roman"/>
                      <w:color w:val="000000" w:themeColor="text1"/>
                      <w:lang w:val="en-US" w:eastAsia="zh-CN"/>
                      <w14:textFill>
                        <w14:solidFill>
                          <w14:schemeClr w14:val="tx1"/>
                        </w14:solidFill>
                      </w14:textFill>
                    </w:rPr>
                    <w:t>，项目新增2台燃气加热炉，所用能源为天然气，属于清洁能源</w:t>
                  </w:r>
                </w:p>
              </w:tc>
              <w:tc>
                <w:tcPr>
                  <w:tcW w:w="603" w:type="pct"/>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符合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1" w:type="pct"/>
                  <w:vMerge w:val="continue"/>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p>
              </w:tc>
              <w:tc>
                <w:tcPr>
                  <w:tcW w:w="2449" w:type="pct"/>
                  <w:noWrap w:val="0"/>
                  <w:vAlign w:val="center"/>
                </w:tcPr>
                <w:p>
                  <w:pPr>
                    <w:pStyle w:val="57"/>
                    <w:bidi w:val="0"/>
                    <w:jc w:val="both"/>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36.强化大气环境监控能力建设</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提升工业污染源自动监控水平和能力，将VOCs和氮氧化物排放量大、位置敏感的企业，以及排放有毒有害大气污染物的企业纳入重点排污单位名录，覆盖率不低于工业污染源排放量的65%；列入本年度重点排污单位名录的大气环境重点排污单位，以及实行排污许可重点管理且在排污许可证中明确应实施自动监测的排污单位，要依法安装大气污染物排放自动监控设备,并在规定的期限内与生态环境部门联网；按照省厅制定的废气中氨排放在线监测监控技术规范要求，将氨自动监测要求载入排污许可证，推进氨排放在线监控系统建设。按要求完成污染源自动监控平台升级，探索实施工况参数、用电、视频等自动监控。新建自动监控设施原则上采用数采仪进行数据传输，鼓励通过设备老化更新，逐步取消工控机传输模式。</w:t>
                  </w:r>
                </w:p>
              </w:tc>
              <w:tc>
                <w:tcPr>
                  <w:tcW w:w="1425" w:type="pct"/>
                  <w:noWrap w:val="0"/>
                  <w:vAlign w:val="center"/>
                </w:tcPr>
                <w:p>
                  <w:pPr>
                    <w:pStyle w:val="57"/>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项目不属于VOCs和氮氧化物排放量大、位置敏感的工业企业也不属于排放有毒有害</w:t>
                  </w:r>
                  <w:r>
                    <w:rPr>
                      <w:rFonts w:hint="default" w:ascii="Times New Roman" w:hAnsi="Times New Roman" w:cs="Times New Roman"/>
                      <w:color w:val="000000" w:themeColor="text1"/>
                      <w:highlight w:val="none"/>
                      <w14:textFill>
                        <w14:solidFill>
                          <w14:schemeClr w14:val="tx1"/>
                        </w14:solidFill>
                      </w14:textFill>
                    </w:rPr>
                    <w:t>大气污染物的企业</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b/>
                      <w:bCs/>
                      <w:color w:val="000000" w:themeColor="text1"/>
                      <w:highlight w:val="none"/>
                      <w:u w:val="single"/>
                      <w:lang w:val="en-US" w:eastAsia="zh-CN"/>
                      <w14:textFill>
                        <w14:solidFill>
                          <w14:schemeClr w14:val="tx1"/>
                        </w14:solidFill>
                      </w14:textFill>
                    </w:rPr>
                    <w:t>目前现有工程厂区内已按照要求安装用电监管设备、视频监控、燃气炉在线监控等并完成联网工作，自动监控装置采用</w:t>
                  </w:r>
                  <w:r>
                    <w:rPr>
                      <w:rFonts w:hint="default" w:ascii="Times New Roman" w:hAnsi="Times New Roman" w:cs="Times New Roman"/>
                      <w:b/>
                      <w:bCs/>
                      <w:color w:val="000000" w:themeColor="text1"/>
                      <w:highlight w:val="none"/>
                      <w:u w:val="single"/>
                      <w14:textFill>
                        <w14:solidFill>
                          <w14:schemeClr w14:val="tx1"/>
                        </w14:solidFill>
                      </w14:textFill>
                    </w:rPr>
                    <w:t>数采仪进行数据传输</w:t>
                  </w:r>
                </w:p>
              </w:tc>
              <w:tc>
                <w:tcPr>
                  <w:tcW w:w="603"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符合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1" w:type="pct"/>
                  <w:vMerge w:val="restar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新乡市2022年水污染防治攻坚战实施方案</w:t>
                  </w:r>
                </w:p>
              </w:tc>
              <w:tc>
                <w:tcPr>
                  <w:tcW w:w="2449" w:type="pct"/>
                  <w:noWrap w:val="0"/>
                  <w:vAlign w:val="center"/>
                </w:tcPr>
                <w:p>
                  <w:pPr>
                    <w:pStyle w:val="57"/>
                    <w:bidi w:val="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14.调整优化产业结构</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严格执行“三线一单”生态环境分区管控要求，对重点区域、重点流域、重点行业和产业布局开展规划环评。持续推进化工、电镀、皮革、造纸、印染、农副食品加工等行业绿色化改造转型升级，推进化工、印染、电镀等产业集群提升改造。推动重点行业、重点区域产业布局调整，实施传统产业兼并重组、城市建成区高污染企业退城入园和敏感区域、水污染严重地区高污染企业布局优化，制定实施落后产能淘汰方案。严禁在黄河干流及主要支流临岸一定范围内新建“两高一资”项目及相关产业园区。</w:t>
                  </w:r>
                </w:p>
              </w:tc>
              <w:tc>
                <w:tcPr>
                  <w:tcW w:w="1425" w:type="pct"/>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项目属于</w:t>
                  </w:r>
                  <w:r>
                    <w:rPr>
                      <w:rFonts w:hint="default" w:ascii="Times New Roman" w:hAnsi="Times New Roman" w:cs="Times New Roman"/>
                      <w:color w:val="000000" w:themeColor="text1"/>
                      <w:lang w:eastAsia="zh-CN"/>
                      <w14:textFill>
                        <w14:solidFill>
                          <w14:schemeClr w14:val="tx1"/>
                        </w14:solidFill>
                      </w14:textFill>
                    </w:rPr>
                    <w:t>C3311金属结构制造和C3393锻件及粉末冶金制品制造项目</w:t>
                  </w:r>
                  <w:r>
                    <w:rPr>
                      <w:rFonts w:hint="default" w:ascii="Times New Roman" w:hAnsi="Times New Roman" w:cs="Times New Roman"/>
                      <w:color w:val="000000" w:themeColor="text1"/>
                      <w:lang w:val="en-US" w:eastAsia="zh-CN"/>
                      <w14:textFill>
                        <w14:solidFill>
                          <w14:schemeClr w14:val="tx1"/>
                        </w14:solidFill>
                      </w14:textFill>
                    </w:rPr>
                    <w:t>，不属于</w:t>
                  </w:r>
                  <w:r>
                    <w:rPr>
                      <w:rFonts w:hint="default" w:ascii="Times New Roman" w:hAnsi="Times New Roman" w:cs="Times New Roman"/>
                      <w:color w:val="000000" w:themeColor="text1"/>
                      <w14:textFill>
                        <w14:solidFill>
                          <w14:schemeClr w14:val="tx1"/>
                        </w14:solidFill>
                      </w14:textFill>
                    </w:rPr>
                    <w:t>化工、电镀、皮革、造纸、印染、农副食品加工等行业</w:t>
                  </w:r>
                  <w:r>
                    <w:rPr>
                      <w:rFonts w:hint="default" w:ascii="Times New Roman" w:hAnsi="Times New Roman" w:cs="Times New Roman"/>
                      <w:color w:val="000000" w:themeColor="text1"/>
                      <w:lang w:eastAsia="zh-CN"/>
                      <w14:textFill>
                        <w14:solidFill>
                          <w14:schemeClr w14:val="tx1"/>
                        </w14:solidFill>
                      </w14:textFill>
                    </w:rPr>
                    <w:t>。经对照</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eastAsia" w:ascii="Times New Roman" w:hAnsi="Times New Roman" w:cs="Times New Roman"/>
                      <w:color w:val="000000" w:themeColor="text1"/>
                      <w:highlight w:val="none"/>
                      <w:lang w:eastAsia="zh-CN"/>
                      <w14:textFill>
                        <w14:solidFill>
                          <w14:schemeClr w14:val="tx1"/>
                        </w14:solidFill>
                      </w14:textFill>
                    </w:rPr>
                    <w:t>关于印发河南省“两高”项目管理名录（</w:t>
                  </w:r>
                  <w:r>
                    <w:rPr>
                      <w:rFonts w:hint="eastAsia" w:ascii="Times New Roman" w:hAnsi="Times New Roman" w:cs="Times New Roman"/>
                      <w:color w:val="000000" w:themeColor="text1"/>
                      <w:highlight w:val="none"/>
                      <w:lang w:val="en-US" w:eastAsia="zh-CN"/>
                      <w14:textFill>
                        <w14:solidFill>
                          <w14:schemeClr w14:val="tx1"/>
                        </w14:solidFill>
                      </w14:textFill>
                    </w:rPr>
                    <w:t>2023年修订</w:t>
                  </w:r>
                  <w:r>
                    <w:rPr>
                      <w:rFonts w:hint="eastAsia" w:ascii="Times New Roman" w:hAnsi="Times New Roman" w:cs="Times New Roman"/>
                      <w:color w:val="000000" w:themeColor="text1"/>
                      <w:highlight w:val="none"/>
                      <w:lang w:eastAsia="zh-CN"/>
                      <w14:textFill>
                        <w14:solidFill>
                          <w14:schemeClr w14:val="tx1"/>
                        </w14:solidFill>
                      </w14:textFill>
                    </w:rPr>
                    <w:t>）的通知</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eastAsia" w:ascii="Times New Roman" w:hAnsi="Times New Roman" w:cs="Times New Roman"/>
                      <w:color w:val="000000" w:themeColor="text1"/>
                      <w:highlight w:val="none"/>
                      <w:lang w:eastAsia="zh-CN"/>
                      <w14:textFill>
                        <w14:solidFill>
                          <w14:schemeClr w14:val="tx1"/>
                        </w14:solidFill>
                      </w14:textFill>
                    </w:rPr>
                    <w:t>（豫发改环资（</w:t>
                  </w:r>
                  <w:r>
                    <w:rPr>
                      <w:rFonts w:hint="eastAsia" w:ascii="Times New Roman" w:hAnsi="Times New Roman" w:cs="Times New Roman"/>
                      <w:color w:val="000000" w:themeColor="text1"/>
                      <w:highlight w:val="none"/>
                      <w:lang w:val="en-US" w:eastAsia="zh-CN"/>
                      <w14:textFill>
                        <w14:solidFill>
                          <w14:schemeClr w14:val="tx1"/>
                        </w14:solidFill>
                      </w14:textFill>
                    </w:rPr>
                    <w:t>2023</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38号</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，本项目不属于“两高”类项目。</w:t>
                  </w:r>
                </w:p>
              </w:tc>
              <w:tc>
                <w:tcPr>
                  <w:tcW w:w="603"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符合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1" w:type="pct"/>
                  <w:vMerge w:val="continue"/>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p>
              </w:tc>
              <w:tc>
                <w:tcPr>
                  <w:tcW w:w="2449" w:type="pct"/>
                  <w:noWrap w:val="0"/>
                  <w:vAlign w:val="center"/>
                </w:tcPr>
                <w:p>
                  <w:pPr>
                    <w:pStyle w:val="57"/>
                    <w:bidi w:val="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15.助力企业绿色发展。筛选重点水污染物排放企业开展强制性清洁生产审核，推动企业清洁生产改造，减少单位产品耗水量和单位产品排污量，推动绿色低碳高质量发展。结合水环境容量、地表水环境目标、排污许可证要求，对直排入河排污单位污水处理设施适时进行提标改造。推进工业水循环利用和水循环梯级利用，在高耗水行业开展水效“领跑者”行动。电力企业严格落实环评审批的使用再生水要求。到2022年底，万元工业增加值用水量较2020年下降约2%。</w:t>
                  </w:r>
                </w:p>
              </w:tc>
              <w:tc>
                <w:tcPr>
                  <w:tcW w:w="1425" w:type="pct"/>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酸洗工序冲洗废水经自建污水处理设施（采用“隔油沉淀+调节+气浮+pH调节（调酸）+芬顿氧化+中和（调碱）+混凝沉淀+中和+水解酸化+MBR（微滤）+RO+高效蒸发器”工艺）处理，清水回用于清洗工序，浓水经高效蒸发后，残渣作为危险固废处理；生活污水经化粪池处理后，</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通过区域污水管网排入新乡县综合污水处理厂进一步处理</w:t>
                  </w:r>
                  <w:r>
                    <w:rPr>
                      <w:rFonts w:hint="default" w:ascii="Times New Roman" w:hAnsi="Times New Roman" w:cs="Times New Roman"/>
                      <w:color w:val="000000" w:themeColor="text1"/>
                      <w:highlight w:val="none"/>
                      <w:lang w:val="en-US" w:eastAsia="zh-CN"/>
                      <w14:textFill>
                        <w14:solidFill>
                          <w14:schemeClr w14:val="tx1"/>
                        </w14:solidFill>
                      </w14:textFill>
                    </w:rPr>
                    <w:t>，外排废水主要为生活污水，不属于高耗水项目。</w:t>
                  </w:r>
                </w:p>
              </w:tc>
              <w:tc>
                <w:tcPr>
                  <w:tcW w:w="603"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符合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1"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新乡市2022年土壤污染防治攻坚战实施方案</w:t>
                  </w:r>
                </w:p>
              </w:tc>
              <w:tc>
                <w:tcPr>
                  <w:tcW w:w="2449" w:type="pct"/>
                  <w:noWrap w:val="0"/>
                  <w:vAlign w:val="center"/>
                </w:tcPr>
                <w:p>
                  <w:pPr>
                    <w:pStyle w:val="57"/>
                    <w:bidi w:val="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7.严格控制涉重金属企业污染物排放</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持续开展涉镉等重金属行业企业排查整治活动，坚持边排查边整治，新乡县、封丘县相关企业完成“回头看”整改任务。按照全口径涉重金属重点行业企业清单动态调整机制，及时完善更新全口径清单企业信息及生产状态。进一步严格排放控制要求，对新、改、扩建重点行业建设项目重金属污染物排放实施“减量替代”，有效削减排放总量。持续推进涉镉等重金属企业纳入重点排污单位名录，对纳入大气重点排污单位名录或实行排污许可重点管理的涉镉等重金属排放企业，相关自动监测要求应当依法载入排污许可证，督促其按照规定安装颗粒物排放自动监测设备，并与市生态环境局监控平台联网。</w:t>
                  </w:r>
                </w:p>
              </w:tc>
              <w:tc>
                <w:tcPr>
                  <w:tcW w:w="1425" w:type="pct"/>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项目属于</w:t>
                  </w:r>
                  <w:r>
                    <w:rPr>
                      <w:rFonts w:hint="default" w:ascii="Times New Roman" w:hAnsi="Times New Roman" w:cs="Times New Roman"/>
                      <w:color w:val="000000" w:themeColor="text1"/>
                      <w:lang w:eastAsia="zh-CN"/>
                      <w14:textFill>
                        <w14:solidFill>
                          <w14:schemeClr w14:val="tx1"/>
                        </w14:solidFill>
                      </w14:textFill>
                    </w:rPr>
                    <w:t>C3311金属结构制造和C3393锻件及粉末冶金制品制造项目</w:t>
                  </w:r>
                  <w:r>
                    <w:rPr>
                      <w:rFonts w:hint="default" w:ascii="Times New Roman" w:hAnsi="Times New Roman" w:cs="Times New Roman"/>
                      <w:color w:val="000000" w:themeColor="text1"/>
                      <w:lang w:val="en-US" w:eastAsia="zh-CN"/>
                      <w14:textFill>
                        <w14:solidFill>
                          <w14:schemeClr w14:val="tx1"/>
                        </w14:solidFill>
                      </w14:textFill>
                    </w:rPr>
                    <w:t>，生产过程不涉及重金属污染物排放。</w:t>
                  </w:r>
                </w:p>
              </w:tc>
              <w:tc>
                <w:tcPr>
                  <w:tcW w:w="603"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不涉及</w:t>
                  </w:r>
                </w:p>
              </w:tc>
            </w:tr>
          </w:tbl>
          <w:p>
            <w:p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由上表可知，本项目符合《新乡市 2022 年大气、水、土壤污染防治攻坚战及农业农村污染治理攻坚战实施方案的通知》（新环攻坚办（2022）60 号）相关要求。</w:t>
            </w:r>
          </w:p>
          <w:p>
            <w:pPr>
              <w:pStyle w:val="2"/>
              <w:numPr>
                <w:ilvl w:val="0"/>
                <w:numId w:val="2"/>
              </w:numPr>
              <w:bidi w:val="0"/>
              <w:ind w:left="0" w:leftChars="0" w:firstLine="422"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与《河南省2019年工业炉窑污染治理方案》（豫环文[2019]84号）的对比分析</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与《河南省2019年工业炉窑污染治理方案》对比分析一览表</w:t>
            </w:r>
          </w:p>
          <w:tbl>
            <w:tblPr>
              <w:tblStyle w:val="21"/>
              <w:tblW w:w="499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39"/>
              <w:gridCol w:w="1884"/>
              <w:gridCol w:w="86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977"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与本项目相关条文</w:t>
                  </w:r>
                </w:p>
              </w:tc>
              <w:tc>
                <w:tcPr>
                  <w:tcW w:w="1388" w:type="pct"/>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本项目情况</w:t>
                  </w:r>
                </w:p>
              </w:tc>
              <w:tc>
                <w:tcPr>
                  <w:tcW w:w="633"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相符性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977" w:type="pct"/>
                  <w:noWrap w:val="0"/>
                  <w:vAlign w:val="top"/>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（二）加大工业炉窑淘汰力度</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2019年10月底前，淘汰全省范围内所有炉膛直径3米以下燃料类煤气发生炉；基本取缔燃煤热风炉、钢铁行业燃煤供热锅炉；有色行业基本淘汰燃煤干燥窑、燃煤反射炉、以煤为燃料的熔铅锅和电铅锅；基本淘汰热电联产供热管网覆盖范围内的燃煤加热、烘干炉（窑）；加快淘汰一批化肥行业固定床间歇式煤气化炉；高炉煤气、焦炉煤气实施精脱硫改造，煤气中硫化氢浓度小于20毫克/立方米。</w:t>
                  </w:r>
                </w:p>
              </w:tc>
              <w:tc>
                <w:tcPr>
                  <w:tcW w:w="1388" w:type="pct"/>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工程</w:t>
                  </w:r>
                  <w:r>
                    <w:rPr>
                      <w:rFonts w:hint="default" w:ascii="Times New Roman" w:hAnsi="Times New Roman" w:cs="Times New Roman"/>
                      <w:color w:val="000000" w:themeColor="text1"/>
                      <w14:textFill>
                        <w14:solidFill>
                          <w14:schemeClr w14:val="tx1"/>
                        </w14:solidFill>
                      </w14:textFill>
                    </w:rPr>
                    <w:t>加热炉采用天然气作为燃料，不涉及燃煤</w:t>
                  </w:r>
                </w:p>
              </w:tc>
              <w:tc>
                <w:tcPr>
                  <w:tcW w:w="633"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不涉及燃煤</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977" w:type="pct"/>
                  <w:noWrap w:val="0"/>
                  <w:vAlign w:val="top"/>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（五）建设工业炉窑在线监测设施</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2019年9月底前，以煤（煤矸石、粉煤灰）、石油焦、渣油、重油等为燃料或原料的工业窑炉企业，要安装污染物排放在线监测设施，并与环保部门联网。</w:t>
                  </w:r>
                </w:p>
              </w:tc>
              <w:tc>
                <w:tcPr>
                  <w:tcW w:w="1388" w:type="pct"/>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工程加</w:t>
                  </w:r>
                  <w:r>
                    <w:rPr>
                      <w:rFonts w:hint="default" w:ascii="Times New Roman" w:hAnsi="Times New Roman" w:cs="Times New Roman"/>
                      <w:color w:val="000000" w:themeColor="text1"/>
                      <w14:textFill>
                        <w14:solidFill>
                          <w14:schemeClr w14:val="tx1"/>
                        </w14:solidFill>
                      </w14:textFill>
                    </w:rPr>
                    <w:t>热炉采用天然气作为燃料，不涉及燃煤等污染较大的燃料</w:t>
                  </w:r>
                </w:p>
              </w:tc>
              <w:tc>
                <w:tcPr>
                  <w:tcW w:w="633"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不涉及燃煤等污染较大的燃料</w:t>
                  </w:r>
                </w:p>
              </w:tc>
            </w:tr>
          </w:tbl>
          <w:p>
            <w:pPr>
              <w:pStyle w:val="2"/>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6、与关于印发《工业炉窑大气污染综合治理方案》（环大气[2019]56号）的对比分析</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与《工业炉窑大气污染综合治理方案》对比分析一览表</w:t>
            </w:r>
          </w:p>
          <w:tbl>
            <w:tblPr>
              <w:tblStyle w:val="21"/>
              <w:tblW w:w="499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6"/>
              <w:gridCol w:w="3483"/>
              <w:gridCol w:w="1799"/>
              <w:gridCol w:w="85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43" w:type="pct"/>
                  <w:gridSpan w:val="2"/>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与本项目相关条文</w:t>
                  </w:r>
                </w:p>
              </w:tc>
              <w:tc>
                <w:tcPr>
                  <w:tcW w:w="1326" w:type="pct"/>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本项目情况</w:t>
                  </w:r>
                </w:p>
              </w:tc>
              <w:tc>
                <w:tcPr>
                  <w:tcW w:w="630"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相符性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6" w:type="pct"/>
                  <w:vMerge w:val="restar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三、重点任务</w:t>
                  </w:r>
                </w:p>
              </w:tc>
              <w:tc>
                <w:tcPr>
                  <w:tcW w:w="2567" w:type="pct"/>
                  <w:noWrap w:val="0"/>
                  <w:vAlign w:val="center"/>
                </w:tcPr>
                <w:p>
                  <w:pPr>
                    <w:pStyle w:val="57"/>
                    <w:bidi w:val="0"/>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加大产业结构调整力度。严格建设项目环境准入。新建涉工业炉窑的建设项目，原则上要入园区，配套建设高效环保治理设施。重点区域严格控制涉工业炉窑建设项目，严禁新增钢铁、焦化、电解铝、铸造、水泥和平板玻璃等产能；严格执行钢铁、水泥、平板玻璃等行业产能置换实施办法；原则上禁止新建燃料类煤气发生炉（园区现有企业统一建设的清洁煤制气中心除外）</w:t>
                  </w:r>
                </w:p>
              </w:tc>
              <w:tc>
                <w:tcPr>
                  <w:tcW w:w="1326" w:type="pct"/>
                  <w:noWrap w:val="0"/>
                  <w:vAlign w:val="center"/>
                </w:tcPr>
                <w:p>
                  <w:pPr>
                    <w:pStyle w:val="57"/>
                    <w:bidi w:val="0"/>
                    <w:jc w:val="left"/>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属于扩建项目，新增2台燃气加热炉，项目选址位于新乡市新乡县小冀镇青龙大道39号，根据新乡县发展和改革委员会关于设立新乡县特种智能装备专业园区的批复，本项目位于新乡县特种智能装备专业园区规划范围内。项目不属于新增钢铁、焦化、电解铝、铸造、水泥和平板玻璃等产能类项目</w:t>
                  </w:r>
                </w:p>
              </w:tc>
              <w:tc>
                <w:tcPr>
                  <w:tcW w:w="630"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6" w:type="pct"/>
                  <w:vMerge w:val="continue"/>
                  <w:noWrap w:val="0"/>
                  <w:vAlign w:val="top"/>
                </w:tcPr>
                <w:p>
                  <w:pPr>
                    <w:pStyle w:val="57"/>
                    <w:bidi w:val="0"/>
                    <w:rPr>
                      <w:rFonts w:hint="default" w:ascii="Times New Roman" w:hAnsi="Times New Roman" w:cs="Times New Roman"/>
                      <w:color w:val="000000" w:themeColor="text1"/>
                      <w:lang w:eastAsia="zh-CN"/>
                      <w14:textFill>
                        <w14:solidFill>
                          <w14:schemeClr w14:val="tx1"/>
                        </w14:solidFill>
                      </w14:textFill>
                    </w:rPr>
                  </w:pPr>
                </w:p>
              </w:tc>
              <w:tc>
                <w:tcPr>
                  <w:tcW w:w="2567" w:type="pct"/>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实施污染深度治理。推进工业炉窑全面达标排放。已有行业排放标准的工业炉窑（见附件3），严格执行行业排放标准相关规定，配套建设高效脱硫脱硝除尘设施（见附件4），确保稳定达标排放。已制定更严格地方排放标准的，按地方标准执行。重点区域钢铁、水泥、焦化、石化、化工、有色等行业，二氧化硫、氮氧化物、颗粒物、挥发性有机物（VOCs）排放全面执行大气污染物特别排放限值。已核发排污许可证的，应严格执行许可要求。</w:t>
                  </w:r>
                </w:p>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暂未制订行业排放标准的工业炉窑，包括铸造，日用玻璃，玻璃纤维、耐火材料、石灰、矿物棉等建材行业，钨、工业硅、金属冶炼废渣（灰）二次提取等有色金属行业，氮肥、电石、无机磷、活性炭等化工行业，应参照相关行业已出台的标准，全面加大污染治理力度（见附件4），铸造行业烧结、高炉工序污染排放控制按照钢铁行业相关标准要求执行；重点区域原则上按照颗粒物、二氧化硫、氮氧化物排放限值分别不高于30、200、300毫克/立方米实施改造，其中，日用玻璃、玻璃棉氮氧化物排放限值不高于400毫克/立方米；已制定更严格地方排放标准的地区，执行地方排放标准。</w:t>
                  </w:r>
                </w:p>
              </w:tc>
              <w:tc>
                <w:tcPr>
                  <w:tcW w:w="1326" w:type="pct"/>
                  <w:noWrap w:val="0"/>
                  <w:vAlign w:val="center"/>
                </w:tcPr>
                <w:p>
                  <w:pPr>
                    <w:pStyle w:val="57"/>
                    <w:bidi w:val="0"/>
                    <w:jc w:val="left"/>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u w:val="single"/>
                      <w:lang w:eastAsia="zh-CN"/>
                      <w14:textFill>
                        <w14:solidFill>
                          <w14:schemeClr w14:val="tx1"/>
                        </w14:solidFill>
                      </w14:textFill>
                    </w:rPr>
                    <w:t>项目工业炉窑执行河南省地方标准《工业炉窑大气污染物排放标准》（</w:t>
                  </w:r>
                  <w:r>
                    <w:rPr>
                      <w:rFonts w:hint="default" w:ascii="Times New Roman" w:hAnsi="Times New Roman" w:cs="Times New Roman"/>
                      <w:b/>
                      <w:bCs/>
                      <w:color w:val="000000" w:themeColor="text1"/>
                      <w:u w:val="single"/>
                      <w:lang w:val="en-US" w:eastAsia="zh-CN"/>
                      <w14:textFill>
                        <w14:solidFill>
                          <w14:schemeClr w14:val="tx1"/>
                        </w14:solidFill>
                      </w14:textFill>
                    </w:rPr>
                    <w:t>DB41/1066-2020</w:t>
                  </w:r>
                  <w:r>
                    <w:rPr>
                      <w:rFonts w:hint="default" w:ascii="Times New Roman" w:hAnsi="Times New Roman" w:cs="Times New Roman"/>
                      <w:b/>
                      <w:bCs/>
                      <w:color w:val="000000" w:themeColor="text1"/>
                      <w:u w:val="single"/>
                      <w:lang w:eastAsia="zh-CN"/>
                      <w14:textFill>
                        <w14:solidFill>
                          <w14:schemeClr w14:val="tx1"/>
                        </w14:solidFill>
                      </w14:textFill>
                    </w:rPr>
                    <w:t>）（其他炉窑）要求（颗粒物</w:t>
                  </w:r>
                  <w:r>
                    <w:rPr>
                      <w:rFonts w:hint="default" w:ascii="Times New Roman" w:hAnsi="Times New Roman" w:cs="Times New Roman"/>
                      <w:b/>
                      <w:bCs/>
                      <w:color w:val="000000" w:themeColor="text1"/>
                      <w:u w:val="single"/>
                      <w:lang w:val="en-US" w:eastAsia="zh-CN"/>
                      <w14:textFill>
                        <w14:solidFill>
                          <w14:schemeClr w14:val="tx1"/>
                        </w14:solidFill>
                      </w14:textFill>
                    </w:rPr>
                    <w:t>&lt;30mg/m</w:t>
                  </w:r>
                  <w:r>
                    <w:rPr>
                      <w:rFonts w:hint="default" w:ascii="Times New Roman" w:hAnsi="Times New Roman" w:cs="Times New Roman"/>
                      <w:b/>
                      <w:bCs/>
                      <w:color w:val="000000" w:themeColor="text1"/>
                      <w:u w:val="singl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u w:val="single"/>
                      <w:lang w:eastAsia="zh-CN"/>
                      <w14:textFill>
                        <w14:solidFill>
                          <w14:schemeClr w14:val="tx1"/>
                        </w14:solidFill>
                      </w14:textFill>
                    </w:rPr>
                    <w:t>、</w:t>
                  </w:r>
                  <w:r>
                    <w:rPr>
                      <w:rFonts w:hint="default" w:ascii="Times New Roman" w:hAnsi="Times New Roman" w:cs="Times New Roman"/>
                      <w:b/>
                      <w:bCs/>
                      <w:color w:val="000000" w:themeColor="text1"/>
                      <w:u w:val="single"/>
                      <w:lang w:val="en-US" w:eastAsia="zh-CN"/>
                      <w14:textFill>
                        <w14:solidFill>
                          <w14:schemeClr w14:val="tx1"/>
                        </w14:solidFill>
                      </w14:textFill>
                    </w:rPr>
                    <w:t>SO</w:t>
                  </w:r>
                  <w:r>
                    <w:rPr>
                      <w:rFonts w:hint="default" w:ascii="Times New Roman" w:hAnsi="Times New Roman" w:cs="Times New Roman"/>
                      <w:b/>
                      <w:bCs/>
                      <w:color w:val="000000" w:themeColor="text1"/>
                      <w:u w:val="single"/>
                      <w:vertAlign w:val="subscript"/>
                      <w:lang w:val="en-US" w:eastAsia="zh-CN"/>
                      <w14:textFill>
                        <w14:solidFill>
                          <w14:schemeClr w14:val="tx1"/>
                        </w14:solidFill>
                      </w14:textFill>
                    </w:rPr>
                    <w:t>2</w:t>
                  </w:r>
                  <w:r>
                    <w:rPr>
                      <w:rFonts w:hint="default" w:ascii="Times New Roman" w:hAnsi="Times New Roman" w:cs="Times New Roman"/>
                      <w:b/>
                      <w:bCs/>
                      <w:color w:val="000000" w:themeColor="text1"/>
                      <w:u w:val="single"/>
                      <w:lang w:val="en-US" w:eastAsia="zh-CN"/>
                      <w14:textFill>
                        <w14:solidFill>
                          <w14:schemeClr w14:val="tx1"/>
                        </w14:solidFill>
                      </w14:textFill>
                    </w:rPr>
                    <w:t>&lt;200mg/m</w:t>
                  </w:r>
                  <w:r>
                    <w:rPr>
                      <w:rFonts w:hint="default" w:ascii="Times New Roman" w:hAnsi="Times New Roman" w:cs="Times New Roman"/>
                      <w:b/>
                      <w:bCs/>
                      <w:color w:val="000000" w:themeColor="text1"/>
                      <w:u w:val="singl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u w:val="single"/>
                      <w:lang w:val="en-US" w:eastAsia="zh-CN"/>
                      <w14:textFill>
                        <w14:solidFill>
                          <w14:schemeClr w14:val="tx1"/>
                        </w14:solidFill>
                      </w14:textFill>
                    </w:rPr>
                    <w:t>、NOx&lt;300mg/m</w:t>
                  </w:r>
                  <w:r>
                    <w:rPr>
                      <w:rFonts w:hint="default" w:ascii="Times New Roman" w:hAnsi="Times New Roman" w:cs="Times New Roman"/>
                      <w:b/>
                      <w:bCs/>
                      <w:color w:val="000000" w:themeColor="text1"/>
                      <w:u w:val="singl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u w:val="single"/>
                      <w:lang w:eastAsia="zh-CN"/>
                      <w14:textFill>
                        <w14:solidFill>
                          <w14:schemeClr w14:val="tx1"/>
                        </w14:solidFill>
                      </w14:textFill>
                    </w:rPr>
                    <w:t>）</w:t>
                  </w:r>
                  <w:r>
                    <w:rPr>
                      <w:rFonts w:hint="eastAsia" w:ascii="Times New Roman" w:hAnsi="Times New Roman" w:cs="Times New Roman"/>
                      <w:b/>
                      <w:bCs/>
                      <w:color w:val="000000" w:themeColor="text1"/>
                      <w:u w:val="single"/>
                      <w:lang w:eastAsia="zh-CN"/>
                      <w14:textFill>
                        <w14:solidFill>
                          <w14:schemeClr w14:val="tx1"/>
                        </w14:solidFill>
                      </w14:textFill>
                    </w:rPr>
                    <w:t>（</w:t>
                  </w:r>
                  <w:r>
                    <w:rPr>
                      <w:rFonts w:hint="default" w:ascii="Times New Roman" w:hAnsi="Times New Roman" w:cs="Times New Roman"/>
                      <w:b/>
                      <w:bCs/>
                      <w:color w:val="000000" w:themeColor="text1"/>
                      <w:u w:val="single"/>
                      <w:lang w:val="en-US" w:eastAsia="zh-CN"/>
                      <w14:textFill>
                        <w14:solidFill>
                          <w14:schemeClr w14:val="tx1"/>
                        </w14:solidFill>
                      </w14:textFill>
                    </w:rPr>
                    <w:t>基准含氧量：</w:t>
                  </w:r>
                  <w:r>
                    <w:rPr>
                      <w:rFonts w:hint="eastAsia" w:ascii="Times New Roman" w:hAnsi="Times New Roman" w:cs="Times New Roman"/>
                      <w:b/>
                      <w:bCs/>
                      <w:color w:val="000000" w:themeColor="text1"/>
                      <w:u w:val="single"/>
                      <w:lang w:val="en-US" w:eastAsia="zh-CN"/>
                      <w14:textFill>
                        <w14:solidFill>
                          <w14:schemeClr w14:val="tx1"/>
                        </w14:solidFill>
                      </w14:textFill>
                    </w:rPr>
                    <w:t>9</w:t>
                  </w:r>
                  <w:r>
                    <w:rPr>
                      <w:rFonts w:hint="default" w:ascii="Times New Roman" w:hAnsi="Times New Roman" w:cs="Times New Roman"/>
                      <w:b/>
                      <w:bCs/>
                      <w:color w:val="000000" w:themeColor="text1"/>
                      <w:u w:val="single"/>
                      <w:lang w:val="en-US" w:eastAsia="zh-CN"/>
                      <w14:textFill>
                        <w14:solidFill>
                          <w14:schemeClr w14:val="tx1"/>
                        </w14:solidFill>
                      </w14:textFill>
                    </w:rPr>
                    <w:t>%</w:t>
                  </w:r>
                  <w:r>
                    <w:rPr>
                      <w:rFonts w:hint="eastAsia" w:ascii="Times New Roman" w:hAnsi="Times New Roman" w:cs="Times New Roman"/>
                      <w:b/>
                      <w:bCs/>
                      <w:color w:val="000000" w:themeColor="text1"/>
                      <w:u w:val="single"/>
                      <w:lang w:eastAsia="zh-CN"/>
                      <w14:textFill>
                        <w14:solidFill>
                          <w14:schemeClr w14:val="tx1"/>
                        </w14:solidFill>
                      </w14:textFill>
                    </w:rPr>
                    <w:t>）</w:t>
                  </w:r>
                  <w:r>
                    <w:rPr>
                      <w:rFonts w:hint="default" w:ascii="Times New Roman" w:hAnsi="Times New Roman" w:cs="Times New Roman"/>
                      <w:b/>
                      <w:bCs/>
                      <w:color w:val="000000" w:themeColor="text1"/>
                      <w:u w:val="single"/>
                      <w:lang w:eastAsia="zh-CN"/>
                      <w14:textFill>
                        <w14:solidFill>
                          <w14:schemeClr w14:val="tx1"/>
                        </w14:solidFill>
                      </w14:textFill>
                    </w:rPr>
                    <w:t>，同时</w:t>
                  </w:r>
                  <w:r>
                    <w:rPr>
                      <w:rFonts w:hint="eastAsia" w:ascii="Times New Roman" w:hAnsi="Times New Roman" w:cs="Times New Roman"/>
                      <w:b/>
                      <w:bCs/>
                      <w:color w:val="000000" w:themeColor="text1"/>
                      <w:u w:val="single"/>
                      <w:lang w:eastAsia="zh-CN"/>
                      <w14:textFill>
                        <w14:solidFill>
                          <w14:schemeClr w14:val="tx1"/>
                        </w14:solidFill>
                      </w14:textFill>
                    </w:rPr>
                    <w:t>满足</w:t>
                  </w:r>
                  <w:r>
                    <w:rPr>
                      <w:rFonts w:hint="default" w:ascii="Times New Roman" w:hAnsi="Times New Roman" w:cs="Times New Roman"/>
                      <w:b/>
                      <w:bCs/>
                      <w:color w:val="000000" w:themeColor="text1"/>
                      <w:u w:val="single"/>
                      <w:lang w:eastAsia="zh-CN"/>
                      <w14:textFill>
                        <w14:solidFill>
                          <w14:schemeClr w14:val="tx1"/>
                        </w14:solidFill>
                      </w14:textFill>
                    </w:rPr>
                    <w:t>《河南省重污染天气通用行业应急减排措施制定技术指南（2021年修订版）》要求，达到涉炉窑企业</w:t>
                  </w:r>
                  <w:r>
                    <w:rPr>
                      <w:rFonts w:hint="default" w:ascii="Times New Roman" w:hAnsi="Times New Roman" w:cs="Times New Roman"/>
                      <w:b/>
                      <w:bCs/>
                      <w:color w:val="000000" w:themeColor="text1"/>
                      <w:u w:val="single"/>
                      <w:lang w:val="en-US" w:eastAsia="zh-CN"/>
                      <w14:textFill>
                        <w14:solidFill>
                          <w14:schemeClr w14:val="tx1"/>
                        </w14:solidFill>
                      </w14:textFill>
                    </w:rPr>
                    <w:t>A</w:t>
                  </w:r>
                  <w:r>
                    <w:rPr>
                      <w:rFonts w:hint="default" w:ascii="Times New Roman" w:hAnsi="Times New Roman" w:cs="Times New Roman"/>
                      <w:b/>
                      <w:bCs/>
                      <w:color w:val="000000" w:themeColor="text1"/>
                      <w:u w:val="single"/>
                      <w:lang w:eastAsia="zh-CN"/>
                      <w14:textFill>
                        <w14:solidFill>
                          <w14:schemeClr w14:val="tx1"/>
                        </w14:solidFill>
                      </w14:textFill>
                    </w:rPr>
                    <w:t>级要求（</w:t>
                  </w:r>
                  <w:r>
                    <w:rPr>
                      <w:rFonts w:hint="eastAsia" w:ascii="Times New Roman" w:hAnsi="Times New Roman" w:cs="Times New Roman"/>
                      <w:b/>
                      <w:bCs/>
                      <w:color w:val="000000" w:themeColor="text1"/>
                      <w:u w:val="single"/>
                      <w:lang w:eastAsia="zh-CN"/>
                      <w14:textFill>
                        <w14:solidFill>
                          <w14:schemeClr w14:val="tx1"/>
                        </w14:solidFill>
                      </w14:textFill>
                    </w:rPr>
                    <w:t>其他炉窑</w:t>
                  </w:r>
                  <w:r>
                    <w:rPr>
                      <w:rFonts w:hint="default" w:ascii="Times New Roman" w:hAnsi="Times New Roman" w:cs="Times New Roman"/>
                      <w:b/>
                      <w:bCs/>
                      <w:color w:val="000000" w:themeColor="text1"/>
                      <w:u w:val="single"/>
                      <w:lang w:val="en-US" w:eastAsia="zh-CN"/>
                      <w14:textFill>
                        <w14:solidFill>
                          <w14:schemeClr w14:val="tx1"/>
                        </w14:solidFill>
                      </w14:textFill>
                    </w:rPr>
                    <w:t>PM、SO</w:t>
                  </w:r>
                  <w:r>
                    <w:rPr>
                      <w:rFonts w:hint="default" w:ascii="Times New Roman" w:hAnsi="Times New Roman" w:cs="Times New Roman"/>
                      <w:b/>
                      <w:bCs/>
                      <w:color w:val="000000" w:themeColor="text1"/>
                      <w:u w:val="single"/>
                      <w:vertAlign w:val="subscript"/>
                      <w:lang w:val="en-US" w:eastAsia="zh-CN"/>
                      <w14:textFill>
                        <w14:solidFill>
                          <w14:schemeClr w14:val="tx1"/>
                        </w14:solidFill>
                      </w14:textFill>
                    </w:rPr>
                    <w:t>2</w:t>
                  </w:r>
                  <w:r>
                    <w:rPr>
                      <w:rFonts w:hint="default" w:ascii="Times New Roman" w:hAnsi="Times New Roman" w:cs="Times New Roman"/>
                      <w:b/>
                      <w:bCs/>
                      <w:color w:val="000000" w:themeColor="text1"/>
                      <w:u w:val="single"/>
                      <w:lang w:val="en-US" w:eastAsia="zh-CN"/>
                      <w14:textFill>
                        <w14:solidFill>
                          <w14:schemeClr w14:val="tx1"/>
                        </w14:solidFill>
                      </w14:textFill>
                    </w:rPr>
                    <w:t>、NOx 排放浓度分别不高于 10、</w:t>
                  </w:r>
                  <w:r>
                    <w:rPr>
                      <w:rFonts w:hint="eastAsia" w:ascii="Times New Roman" w:hAnsi="Times New Roman" w:cs="Times New Roman"/>
                      <w:b/>
                      <w:bCs/>
                      <w:color w:val="000000" w:themeColor="text1"/>
                      <w:u w:val="single"/>
                      <w:lang w:val="en-US" w:eastAsia="zh-CN"/>
                      <w14:textFill>
                        <w14:solidFill>
                          <w14:schemeClr w14:val="tx1"/>
                        </w14:solidFill>
                      </w14:textFill>
                    </w:rPr>
                    <w:t>50</w:t>
                  </w:r>
                  <w:r>
                    <w:rPr>
                      <w:rFonts w:hint="default" w:ascii="Times New Roman" w:hAnsi="Times New Roman" w:cs="Times New Roman"/>
                      <w:b/>
                      <w:bCs/>
                      <w:color w:val="000000" w:themeColor="text1"/>
                      <w:u w:val="single"/>
                      <w:lang w:val="en-US" w:eastAsia="zh-CN"/>
                      <w14:textFill>
                        <w14:solidFill>
                          <w14:schemeClr w14:val="tx1"/>
                        </w14:solidFill>
                      </w14:textFill>
                    </w:rPr>
                    <w:t>、</w:t>
                  </w:r>
                  <w:r>
                    <w:rPr>
                      <w:rFonts w:hint="eastAsia" w:ascii="Times New Roman" w:hAnsi="Times New Roman" w:cs="Times New Roman"/>
                      <w:b/>
                      <w:bCs/>
                      <w:color w:val="000000" w:themeColor="text1"/>
                      <w:u w:val="single"/>
                      <w:lang w:val="en-US" w:eastAsia="zh-CN"/>
                      <w14:textFill>
                        <w14:solidFill>
                          <w14:schemeClr w14:val="tx1"/>
                        </w14:solidFill>
                      </w14:textFill>
                    </w:rPr>
                    <w:t>100</w:t>
                  </w:r>
                  <w:r>
                    <w:rPr>
                      <w:rFonts w:hint="default" w:ascii="Times New Roman" w:hAnsi="Times New Roman" w:cs="Times New Roman"/>
                      <w:b/>
                      <w:bCs/>
                      <w:color w:val="000000" w:themeColor="text1"/>
                      <w:u w:val="single"/>
                      <w:lang w:val="en-US" w:eastAsia="zh-CN"/>
                      <w14:textFill>
                        <w14:solidFill>
                          <w14:schemeClr w14:val="tx1"/>
                        </w14:solidFill>
                      </w14:textFill>
                    </w:rPr>
                    <w:t>mg/m</w:t>
                  </w:r>
                  <w:r>
                    <w:rPr>
                      <w:rFonts w:hint="default" w:ascii="Times New Roman" w:hAnsi="Times New Roman" w:cs="Times New Roman"/>
                      <w:b/>
                      <w:bCs/>
                      <w:color w:val="000000" w:themeColor="text1"/>
                      <w:u w:val="singl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u w:val="single"/>
                      <w:lang w:val="en-US" w:eastAsia="zh-CN"/>
                      <w14:textFill>
                        <w14:solidFill>
                          <w14:schemeClr w14:val="tx1"/>
                        </w14:solidFill>
                      </w14:textFill>
                    </w:rPr>
                    <w:t>（基准含氧量：</w:t>
                  </w:r>
                  <w:r>
                    <w:rPr>
                      <w:rFonts w:hint="eastAsia" w:ascii="Times New Roman" w:hAnsi="Times New Roman" w:cs="Times New Roman"/>
                      <w:b/>
                      <w:bCs/>
                      <w:color w:val="000000" w:themeColor="text1"/>
                      <w:u w:val="single"/>
                      <w:lang w:val="en-US" w:eastAsia="zh-CN"/>
                      <w14:textFill>
                        <w14:solidFill>
                          <w14:schemeClr w14:val="tx1"/>
                        </w14:solidFill>
                      </w14:textFill>
                    </w:rPr>
                    <w:t>9</w:t>
                  </w:r>
                  <w:r>
                    <w:rPr>
                      <w:rFonts w:hint="default" w:ascii="Times New Roman" w:hAnsi="Times New Roman" w:cs="Times New Roman"/>
                      <w:b/>
                      <w:bCs/>
                      <w:color w:val="000000" w:themeColor="text1"/>
                      <w:u w:val="single"/>
                      <w:lang w:val="en-US" w:eastAsia="zh-CN"/>
                      <w14:textFill>
                        <w14:solidFill>
                          <w14:schemeClr w14:val="tx1"/>
                        </w14:solidFill>
                      </w14:textFill>
                    </w:rPr>
                    <w:t>%</w:t>
                  </w:r>
                  <w:r>
                    <w:rPr>
                      <w:rFonts w:hint="default" w:ascii="Times New Roman" w:hAnsi="Times New Roman" w:cs="Times New Roman"/>
                      <w:b/>
                      <w:bCs/>
                      <w:color w:val="000000" w:themeColor="text1"/>
                      <w:u w:val="single"/>
                      <w:lang w:eastAsia="zh-CN"/>
                      <w14:textFill>
                        <w14:solidFill>
                          <w14:schemeClr w14:val="tx1"/>
                        </w14:solidFill>
                      </w14:textFill>
                    </w:rPr>
                    <w:t>））</w:t>
                  </w:r>
                </w:p>
              </w:tc>
              <w:tc>
                <w:tcPr>
                  <w:tcW w:w="630"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相符</w:t>
                  </w:r>
                </w:p>
              </w:tc>
            </w:tr>
          </w:tbl>
          <w:p>
            <w:pPr>
              <w:pStyle w:val="2"/>
              <w:bidi w:val="0"/>
              <w:rPr>
                <w:rFonts w:hint="default" w:ascii="Times New Roman" w:hAnsi="Times New Roman" w:cs="Times New Roman"/>
                <w:b/>
                <w:bCs/>
                <w:color w:val="000000" w:themeColor="text1"/>
                <w:szCs w:val="24"/>
                <w:highlight w:val="none"/>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7、与《河南省重污染天气通用行业应急减排措施制定技术指南》</w:t>
            </w:r>
          </w:p>
          <w:p>
            <w:pPr>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项目属于金属压力容器制造项目，建成后新增2台燃气工业炉窑，项目建成后达到《河南省重污染天气通用行业应急减排措施制定技术指南（2021年修订版）》中涉炉窑企业A级要求及其他基本要求。</w:t>
            </w:r>
          </w:p>
          <w:p>
            <w:pPr>
              <w:pStyle w:val="2"/>
              <w:rPr>
                <w:rFonts w:hint="default"/>
                <w:color w:val="000000" w:themeColor="text1"/>
                <w:lang w:val="en-US" w:eastAsia="zh-CN"/>
                <w14:textFill>
                  <w14:solidFill>
                    <w14:schemeClr w14:val="tx1"/>
                  </w14:solidFill>
                </w14:textFill>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与通用行业其他基本要求指标对标情况</w:t>
            </w:r>
          </w:p>
          <w:tbl>
            <w:tblPr>
              <w:tblStyle w:val="22"/>
              <w:tblW w:w="4999"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88"/>
              <w:gridCol w:w="3570"/>
              <w:gridCol w:w="1960"/>
              <w:gridCol w:w="66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63" w:type="pct"/>
                  <w:gridSpan w:val="2"/>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基本要求</w:t>
                  </w:r>
                </w:p>
              </w:tc>
              <w:tc>
                <w:tcPr>
                  <w:tcW w:w="1444"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本项目情况</w:t>
                  </w:r>
                </w:p>
              </w:tc>
              <w:tc>
                <w:tcPr>
                  <w:tcW w:w="492"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对比结论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3" w:type="pct"/>
                  <w:tcBorders>
                    <w:bottom w:val="single" w:color="000000" w:sz="4" w:space="0"/>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物料装卸</w:t>
                  </w:r>
                </w:p>
              </w:tc>
              <w:tc>
                <w:tcPr>
                  <w:tcW w:w="2630" w:type="pct"/>
                  <w:tcBorders>
                    <w:tl2br w:val="nil"/>
                    <w:tr2bl w:val="nil"/>
                  </w:tcBorders>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车辆运输的物料应采取封闭措施。粉状、粒状、块状散装物料在封闭料场内装卸，装卸过程中产尘点应设置集气除尘装置，料堆应采取有效抑尘措施。</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不易产尘的袋装物料宜在料棚中装卸，如需露天装卸应采取防止破袋及粉尘外逸措施。</w:t>
                  </w:r>
                </w:p>
              </w:tc>
              <w:tc>
                <w:tcPr>
                  <w:tcW w:w="1444"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项目原料主要为钢板、焊材等，无粉状、粒状、块砖散装物料，入厂后均在车间内原料区存放，无露天存放物料。</w:t>
                  </w:r>
                </w:p>
              </w:tc>
              <w:tc>
                <w:tcPr>
                  <w:tcW w:w="492"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3" w:type="pct"/>
                  <w:tcBorders>
                    <w:top w:val="single" w:color="000000" w:sz="4" w:space="0"/>
                    <w:bottom w:val="single" w:color="000000" w:sz="4" w:space="0"/>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物料储存</w:t>
                  </w:r>
                </w:p>
              </w:tc>
              <w:tc>
                <w:tcPr>
                  <w:tcW w:w="2630" w:type="pct"/>
                  <w:tcBorders>
                    <w:bottom w:val="single" w:color="000000" w:sz="4" w:space="0"/>
                    <w:tl2br w:val="nil"/>
                    <w:tr2bl w:val="nil"/>
                  </w:tcBorders>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一般物料。粉状物料应储存于密闭/封闭料仓中；粒状、块状物料应储存于封闭料场中，并采取喷淋、清扫或其他有效抑尘措施；袋装物料应储存于封闭/半封闭料场中。封闭料场顶棚和四周围墙完整，料场内路面全部硬化，料场货物进出大门为硬质材料门或自动感应门，在确保安全的情况下，所有门窗保持常闭状态。不产尘物料（如钢材、管件）及产品如露天储存应在规定的存储区域码放整齐。</w:t>
                  </w:r>
                  <w:r>
                    <w:rPr>
                      <w:rFonts w:hint="default" w:ascii="Times New Roman" w:hAnsi="Times New Roman" w:cs="Times New Roman"/>
                      <w:color w:val="000000" w:themeColor="text1"/>
                      <w:lang w:val="en-US" w:eastAsia="zh-CN"/>
                      <w14:textFill>
                        <w14:solidFill>
                          <w14:schemeClr w14:val="tx1"/>
                        </w14:solidFill>
                      </w14:textFill>
                    </w:rPr>
                    <w:br w:type="textWrapping"/>
                  </w:r>
                  <w:r>
                    <w:rPr>
                      <w:rFonts w:hint="default" w:ascii="Times New Roman" w:hAnsi="Times New Roman" w:cs="Times New Roman"/>
                      <w:color w:val="000000" w:themeColor="text1"/>
                      <w:lang w:val="en-US" w:eastAsia="zh-CN"/>
                      <w14:textFill>
                        <w14:solidFill>
                          <w14:schemeClr w14:val="tx1"/>
                        </w14:solidFill>
                      </w14:textFill>
                    </w:rPr>
                    <w:t>危险废物。应有符合规范要求的危险废物储存间，危险废物储存间门口应张贴标准规范的危险废物标识和危废信息板，建立台账并挂于危废间内，危险废物的记录和货单保存3年以上。危废间内禁止存放除危险废物和应急工具外的其他物品。</w:t>
                  </w:r>
                </w:p>
              </w:tc>
              <w:tc>
                <w:tcPr>
                  <w:tcW w:w="1444"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原料主要为钢板、焊材等，无粉状、粒状、块砖散装物料，入厂后均在车间内原料区存放，无露天存放物料；项目危险固废将按照要求设置的危险固废暂存间内存放，定期委托有资质的危废处置单位回收处理。</w:t>
                  </w:r>
                </w:p>
              </w:tc>
              <w:tc>
                <w:tcPr>
                  <w:tcW w:w="492"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3" w:type="pct"/>
                  <w:tcBorders>
                    <w:top w:val="single" w:color="000000" w:sz="4" w:space="0"/>
                    <w:bottom w:val="single" w:color="000000" w:sz="4" w:space="0"/>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物料转移和输送</w:t>
                  </w:r>
                </w:p>
              </w:tc>
              <w:tc>
                <w:tcPr>
                  <w:tcW w:w="2630" w:type="pct"/>
                  <w:tcBorders>
                    <w:top w:val="single" w:color="000000" w:sz="4" w:space="0"/>
                    <w:tl2br w:val="nil"/>
                    <w:tr2bl w:val="nil"/>
                  </w:tcBorders>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粉状、粒状等易产尘物料厂内转移、输送过程应采用气力输送、密闭输送，块状和粘湿粉状物料采用封闭输送；无法封闭的产尘点（物料转载、下料口等）应采取集气除尘措施，或有效抑尘措施。</w:t>
                  </w:r>
                </w:p>
              </w:tc>
              <w:tc>
                <w:tcPr>
                  <w:tcW w:w="1444"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项目生产过程中不涉及使用粉状、粒状物料，各原辅材料均采用汽运入场后，于车间内原料区存放。</w:t>
                  </w:r>
                </w:p>
              </w:tc>
              <w:tc>
                <w:tcPr>
                  <w:tcW w:w="492"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3" w:type="pct"/>
                  <w:tcBorders>
                    <w:top w:val="single" w:color="000000" w:sz="4" w:space="0"/>
                    <w:bottom w:val="single" w:color="000000" w:sz="4" w:space="0"/>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工艺过程</w:t>
                  </w:r>
                </w:p>
              </w:tc>
              <w:tc>
                <w:tcPr>
                  <w:tcW w:w="2630" w:type="pct"/>
                  <w:tcBorders>
                    <w:tl2br w:val="nil"/>
                    <w:tr2bl w:val="nil"/>
                  </w:tcBorders>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各种物料破碎、筛分、配料、混料等过程应在封闭厂房内进行，并采取局部收尘/抑尘措施。破碎筛分设备在进、出料口和配料混料过程等产尘点应设置集气除尘设施。</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各生产工序的车间地面干净，无积料、积灰现象。</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生产车间不得有可见烟粉尘外逸。</w:t>
                  </w:r>
                </w:p>
              </w:tc>
              <w:tc>
                <w:tcPr>
                  <w:tcW w:w="1444"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项目不涉及物料破碎、筛分等工序。项目车间地面均进行硬化处理，日常生产过程地面及时清理。</w:t>
                  </w:r>
                </w:p>
              </w:tc>
              <w:tc>
                <w:tcPr>
                  <w:tcW w:w="492"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3" w:type="pct"/>
                  <w:vMerge w:val="restart"/>
                  <w:tcBorders>
                    <w:top w:val="single" w:color="000000" w:sz="4" w:space="0"/>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运输方式及运输监管</w:t>
                  </w:r>
                </w:p>
              </w:tc>
              <w:tc>
                <w:tcPr>
                  <w:tcW w:w="2630" w:type="pct"/>
                  <w:tcBorders>
                    <w:tl2br w:val="nil"/>
                    <w:tr2bl w:val="nil"/>
                  </w:tcBorders>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（1）运输方式</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①公路运输。物料公路运输使用达到国五及以上排放标准重型载货车辆（含燃气）或新能源车辆比例（A级100%，B级不低于80%），其他车辆达到国四排放标准；</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②厂内运输车辆。达到国五及以上排放标准（含燃气）或使用新能源车辆的比例（A级100%，B级不低于80%），其他车辆达到国四排放标准；</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③危险品及危废运输。国五及以上或新能源车辆（A级/B级100%）；</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④厂内非道路移动机械。国三及以上排放标准或使用新能源机械（A级/B级100%）。</w:t>
                  </w:r>
                </w:p>
              </w:tc>
              <w:tc>
                <w:tcPr>
                  <w:tcW w:w="1444"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项目原料均委托汽运公司采用国五以上车辆运至车间内原料区存放，厂区内设置国三以上非道路移动机械。</w:t>
                  </w:r>
                </w:p>
              </w:tc>
              <w:tc>
                <w:tcPr>
                  <w:tcW w:w="492"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3" w:type="pct"/>
                  <w:vMerge w:val="continue"/>
                  <w:tcBorders>
                    <w:bottom w:val="single" w:color="000000" w:sz="4" w:space="0"/>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p>
              </w:tc>
              <w:tc>
                <w:tcPr>
                  <w:tcW w:w="2630" w:type="pct"/>
                  <w:tcBorders>
                    <w:tl2br w:val="nil"/>
                    <w:tr2bl w:val="nil"/>
                  </w:tcBorders>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（2）运输监管</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厂区货运车辆进出大门口：日均进出货物150吨（或载货车辆日进出10辆次）及以上（货物包括原料、辅料、燃料、产品和其他与生产相关物料）的企业，或纳入我省重点行业年产值1000万及以上的企业，拟申报A、B级企业时，应参照《重污染天气重点行业移动源应急管理技术指南》建立门禁视频监控系统和电子台账；其他企业建立门禁视频监控系统和台账。安装高清视频监控系统并能保留数据6个月以上。</w:t>
                  </w:r>
                </w:p>
              </w:tc>
              <w:tc>
                <w:tcPr>
                  <w:tcW w:w="1444"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项目建成后按照要求建立门禁视频监控系统和台账</w:t>
                  </w:r>
                </w:p>
              </w:tc>
              <w:tc>
                <w:tcPr>
                  <w:tcW w:w="492"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3" w:type="pct"/>
                  <w:vMerge w:val="restart"/>
                  <w:tcBorders>
                    <w:top w:val="single" w:color="000000" w:sz="4" w:space="0"/>
                    <w:bottom w:val="single" w:color="000000" w:sz="4" w:space="0"/>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环境管理要求</w:t>
                  </w:r>
                </w:p>
              </w:tc>
              <w:tc>
                <w:tcPr>
                  <w:tcW w:w="2630" w:type="pct"/>
                  <w:tcBorders>
                    <w:tl2br w:val="nil"/>
                    <w:tr2bl w:val="nil"/>
                  </w:tcBorders>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（1）环保档案资料齐全</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①环评批复文件和竣工验收文件/现状评估文件；</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②废气治理设施运行管理规程；</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③一年内废气监测报告；</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④国家版排污许可证，并按要求开展自行监测和信息披露，有规范的排气筒监测平台和排污口标识。</w:t>
                  </w:r>
                </w:p>
              </w:tc>
              <w:tc>
                <w:tcPr>
                  <w:tcW w:w="1444"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项目建成后将按照要求整理相关环保档案资料</w:t>
                  </w:r>
                </w:p>
              </w:tc>
              <w:tc>
                <w:tcPr>
                  <w:tcW w:w="492"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3" w:type="pct"/>
                  <w:vMerge w:val="continue"/>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p>
              </w:tc>
              <w:tc>
                <w:tcPr>
                  <w:tcW w:w="2630" w:type="pct"/>
                  <w:tcBorders>
                    <w:tl2br w:val="nil"/>
                    <w:tr2bl w:val="nil"/>
                  </w:tcBorders>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（2）台账记录信息完整</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①生产设施运行管理信息（生产时间、运行负荷、产品产量等）；</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②废气污染治理设施运行管理信息（除尘滤料、活性炭等更换量和时间）；</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③监测记录信息（主要污染排放口废气排放记录（手工监测和在线监测）等）；</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④主要原辅材料、燃料消耗记录（A、B级企业必需）；</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⑤电消耗记录（已安装用电监管设备的A、B级企业必需）。</w:t>
                  </w:r>
                </w:p>
              </w:tc>
              <w:tc>
                <w:tcPr>
                  <w:tcW w:w="1444"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项目建成后将设置专员进行日常生产过程中台账记录</w:t>
                  </w:r>
                </w:p>
              </w:tc>
              <w:tc>
                <w:tcPr>
                  <w:tcW w:w="492"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3" w:type="pct"/>
                  <w:vMerge w:val="continue"/>
                  <w:tcBorders>
                    <w:top w:val="single" w:color="000000" w:sz="4" w:space="0"/>
                    <w:bottom w:val="single" w:color="000000" w:sz="4" w:space="0"/>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p>
              </w:tc>
              <w:tc>
                <w:tcPr>
                  <w:tcW w:w="2630" w:type="pct"/>
                  <w:tcBorders>
                    <w:tl2br w:val="nil"/>
                    <w:tr2bl w:val="nil"/>
                  </w:tcBorders>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（3）人员配置合理</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配备专/兼职环保人员，并具备相应的环境管理能力（学历、培训、从业经验等）。</w:t>
                  </w:r>
                </w:p>
              </w:tc>
              <w:tc>
                <w:tcPr>
                  <w:tcW w:w="1444"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项目建成后按照要求设置专职环保人员</w:t>
                  </w:r>
                </w:p>
              </w:tc>
              <w:tc>
                <w:tcPr>
                  <w:tcW w:w="492"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3" w:type="pct"/>
                  <w:vMerge w:val="restart"/>
                  <w:tcBorders>
                    <w:top w:val="single" w:color="000000" w:sz="4" w:space="0"/>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其他管控要求</w:t>
                  </w:r>
                </w:p>
              </w:tc>
              <w:tc>
                <w:tcPr>
                  <w:tcW w:w="2630" w:type="pct"/>
                  <w:tcBorders>
                    <w:tl2br w:val="nil"/>
                    <w:tr2bl w:val="nil"/>
                  </w:tcBorders>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（1）生产工艺和装备</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不属于《产业结构调整指导目录（2019年版）》淘汰类，不属于省级和市级政府部门明确列入已经限期淘汰类项目。</w:t>
                  </w:r>
                </w:p>
              </w:tc>
              <w:tc>
                <w:tcPr>
                  <w:tcW w:w="1444"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项目生产工艺及装备等不属于《产业结构调整指导目录（2019年版）》淘汰类，也不属于省级和市级政府部门明确列入已经限期淘汰类项目</w:t>
                  </w:r>
                </w:p>
              </w:tc>
              <w:tc>
                <w:tcPr>
                  <w:tcW w:w="492"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3" w:type="pct"/>
                  <w:vMerge w:val="continue"/>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p>
              </w:tc>
              <w:tc>
                <w:tcPr>
                  <w:tcW w:w="2630" w:type="pct"/>
                  <w:tcBorders>
                    <w:tl2br w:val="nil"/>
                    <w:tr2bl w:val="nil"/>
                  </w:tcBorders>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污染治理副产物</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除尘器应设置密闭灰仓并及时卸灰，除尘灰应通过气力输送、罐车、袋子等封闭方式卸灰，不得直接卸落到地面。除尘灰如果转运应采用气力输送、封闭传送带方式，如果直接外运应采用罐车或袋装后运输，并在装车过程中采取抑尘措施，除尘灰在厂区内应密闭/封闭储存；脱硫石膏和脱硫废渣等固体废物在转运过程中应采取抑尘措施并应封闭储存。</w:t>
                  </w:r>
                </w:p>
              </w:tc>
              <w:tc>
                <w:tcPr>
                  <w:tcW w:w="1444"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项目除尘器设置均配套设置自动卸灰装置；项目加热炉以清洁能源天然气作为燃料，燃料含硫量极少，无脱硫设施。</w:t>
                  </w:r>
                </w:p>
              </w:tc>
              <w:tc>
                <w:tcPr>
                  <w:tcW w:w="492"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3" w:type="pct"/>
                  <w:vMerge w:val="continue"/>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p>
              </w:tc>
              <w:tc>
                <w:tcPr>
                  <w:tcW w:w="2630" w:type="pct"/>
                  <w:tcBorders>
                    <w:tl2br w:val="nil"/>
                    <w:tr2bl w:val="nil"/>
                  </w:tcBorders>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（3）用电量/视频监管</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按照《河南省涉气排污单位污染治理设施用电监管技术指南（试行）》要求安装用电监管设备（有自动在线监控系统的企业除外），用电监管数据直接上传至省、市生态环境部门的污染治理设施用电监管平台服务器；未安装自动在线监控和用电量监管拟申报A、B级企业，应在主要生产设备（投料口、卸料口等位置）安装视频监控设施，相关数据保存三个月以上。</w:t>
                  </w:r>
                </w:p>
              </w:tc>
              <w:tc>
                <w:tcPr>
                  <w:tcW w:w="1444"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项目建成后将按照要求安装用电监管设施并与环保部门联网</w:t>
                  </w:r>
                </w:p>
              </w:tc>
              <w:tc>
                <w:tcPr>
                  <w:tcW w:w="492"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3" w:type="pct"/>
                  <w:vMerge w:val="continue"/>
                  <w:tcBorders>
                    <w:bottom w:val="single" w:color="000000" w:sz="4" w:space="0"/>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p>
              </w:tc>
              <w:tc>
                <w:tcPr>
                  <w:tcW w:w="2630" w:type="pct"/>
                  <w:tcBorders>
                    <w:tl2br w:val="nil"/>
                    <w:tr2bl w:val="nil"/>
                  </w:tcBorders>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（4）厂容厂貌</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厂区内道路、原辅材料和燃料堆场等路面应硬化。厂区内道路采取定期清扫、洒水等措施，保持清洁，路面无明显可见积尘。其他未利用地优先绿化，或进行硬化，无成片裸露土地。</w:t>
                  </w:r>
                </w:p>
              </w:tc>
              <w:tc>
                <w:tcPr>
                  <w:tcW w:w="1444"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项目厂区、车间内地面均已进行硬化处理</w:t>
                  </w:r>
                </w:p>
              </w:tc>
              <w:tc>
                <w:tcPr>
                  <w:tcW w:w="492"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相符</w:t>
                  </w:r>
                </w:p>
              </w:tc>
            </w:tr>
          </w:tbl>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与涉炉窑企业绩效分级指标相符性分析</w:t>
            </w:r>
          </w:p>
          <w:tbl>
            <w:tblPr>
              <w:tblStyle w:val="22"/>
              <w:tblW w:w="499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1"/>
              <w:gridCol w:w="742"/>
              <w:gridCol w:w="2718"/>
              <w:gridCol w:w="1971"/>
              <w:gridCol w:w="66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56" w:type="pct"/>
                  <w:gridSpan w:val="2"/>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差异化指标</w:t>
                  </w:r>
                </w:p>
              </w:tc>
              <w:tc>
                <w:tcPr>
                  <w:tcW w:w="2003"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A级企业</w:t>
                  </w:r>
                </w:p>
              </w:tc>
              <w:tc>
                <w:tcPr>
                  <w:tcW w:w="1452"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本项目情况</w:t>
                  </w:r>
                </w:p>
              </w:tc>
              <w:tc>
                <w:tcPr>
                  <w:tcW w:w="487"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对比结论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56" w:type="pct"/>
                  <w:gridSpan w:val="2"/>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能源类型</w:t>
                  </w:r>
                </w:p>
              </w:tc>
              <w:tc>
                <w:tcPr>
                  <w:tcW w:w="2003"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以电、天然气为能源</w:t>
                  </w:r>
                </w:p>
              </w:tc>
              <w:tc>
                <w:tcPr>
                  <w:tcW w:w="1452"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项目以天然气为能源</w:t>
                  </w:r>
                </w:p>
              </w:tc>
              <w:tc>
                <w:tcPr>
                  <w:tcW w:w="487"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56" w:type="pct"/>
                  <w:gridSpan w:val="2"/>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生产工艺</w:t>
                  </w:r>
                </w:p>
              </w:tc>
              <w:tc>
                <w:tcPr>
                  <w:tcW w:w="2003" w:type="pct"/>
                  <w:tcBorders>
                    <w:tl2br w:val="nil"/>
                    <w:tr2bl w:val="nil"/>
                  </w:tcBorders>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1.属于《产业结构调整指导目录（2019年版）》鼓励类和允许类；2.符合相关行业产业政策；3.符合河南省相关政策要求；4.符合市级规划。</w:t>
                  </w:r>
                </w:p>
              </w:tc>
              <w:tc>
                <w:tcPr>
                  <w:tcW w:w="1452" w:type="pct"/>
                  <w:tcBorders>
                    <w:tl2br w:val="nil"/>
                    <w:tr2bl w:val="nil"/>
                  </w:tcBorders>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项目属于不属于《产业结构调整指导目录（2019年版）》淘汰类项目，对照《</w:t>
                  </w:r>
                  <w:r>
                    <w:rPr>
                      <w:rFonts w:hint="eastAsia" w:ascii="Times New Roman" w:hAnsi="Times New Roman" w:cs="Times New Roman"/>
                      <w:color w:val="000000" w:themeColor="text1"/>
                      <w:lang w:val="en-US" w:eastAsia="zh-CN"/>
                      <w14:textFill>
                        <w14:solidFill>
                          <w14:schemeClr w14:val="tx1"/>
                        </w14:solidFill>
                      </w14:textFill>
                    </w:rPr>
                    <w:t>河南省新乡县城乡总体规划（2012~2030）</w:t>
                  </w:r>
                  <w:r>
                    <w:rPr>
                      <w:rFonts w:hint="default" w:ascii="Times New Roman" w:hAnsi="Times New Roman" w:cs="Times New Roman"/>
                      <w:color w:val="000000" w:themeColor="text1"/>
                      <w:lang w:val="en-US" w:eastAsia="zh-CN"/>
                      <w14:textFill>
                        <w14:solidFill>
                          <w14:schemeClr w14:val="tx1"/>
                        </w14:solidFill>
                      </w14:textFill>
                    </w:rPr>
                    <w:t>》，项目选址用地性质属于二类工业用地，项目建设符合新乡县土地利用规划要求。</w:t>
                  </w:r>
                </w:p>
              </w:tc>
              <w:tc>
                <w:tcPr>
                  <w:tcW w:w="487"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56" w:type="pct"/>
                  <w:gridSpan w:val="2"/>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污染治理技术</w:t>
                  </w:r>
                </w:p>
              </w:tc>
              <w:tc>
                <w:tcPr>
                  <w:tcW w:w="2003" w:type="pct"/>
                  <w:tcBorders>
                    <w:tl2br w:val="nil"/>
                    <w:tr2bl w:val="nil"/>
                  </w:tcBorders>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1.电窑：</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PM采用袋式除尘、电袋复合除尘、湿电除尘、静电除尘等高效除尘技术。</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2.燃气锅炉/炉窑：</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（1）PM【1】采用袋式除尘、静电除尘、湿电除尘等高效除尘技术；</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（2）NOx【2】采用低氮燃烧或SNCR/SCR等技术。</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3.其他工序（非锅炉/炉窑）：</w:t>
                  </w:r>
                </w:p>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PM采用覆膜袋式除尘或其他先进除尘工艺。</w:t>
                  </w:r>
                </w:p>
              </w:tc>
              <w:tc>
                <w:tcPr>
                  <w:tcW w:w="1452" w:type="pct"/>
                  <w:tcBorders>
                    <w:tl2br w:val="nil"/>
                    <w:tr2bl w:val="nil"/>
                  </w:tcBorders>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1、项目新增2台燃气加热炉，加热炉以天然气作为燃料，废气采用1套选择性催化还原（SCR）脱硝装置处理后，经15m高排气筒排放；</w:t>
                  </w:r>
                  <w:r>
                    <w:rPr>
                      <w:rFonts w:hint="default" w:ascii="Times New Roman" w:hAnsi="Times New Roman" w:cs="Times New Roman"/>
                      <w:color w:val="000000" w:themeColor="text1"/>
                      <w:lang w:val="en-US" w:eastAsia="zh-CN"/>
                      <w14:textFill>
                        <w14:solidFill>
                          <w14:schemeClr w14:val="tx1"/>
                        </w14:solidFill>
                      </w14:textFill>
                    </w:rPr>
                    <w:br w:type="textWrapping"/>
                  </w:r>
                  <w:r>
                    <w:rPr>
                      <w:rFonts w:hint="default" w:ascii="Times New Roman" w:hAnsi="Times New Roman" w:cs="Times New Roman"/>
                      <w:color w:val="000000" w:themeColor="text1"/>
                      <w:lang w:val="en-US" w:eastAsia="zh-CN"/>
                      <w14:textFill>
                        <w14:solidFill>
                          <w14:schemeClr w14:val="tx1"/>
                        </w14:solidFill>
                      </w14:textFill>
                    </w:rPr>
                    <w:t>2、项目燃气炉窑以清洁能源天然气为燃料，废气采用SCR脱硝装置进行处理后，经15m高排气筒排放。</w:t>
                  </w:r>
                  <w:r>
                    <w:rPr>
                      <w:rFonts w:hint="default" w:ascii="Times New Roman" w:hAnsi="Times New Roman" w:cs="Times New Roman"/>
                      <w:color w:val="000000" w:themeColor="text1"/>
                      <w:lang w:val="en-US" w:eastAsia="zh-CN"/>
                      <w14:textFill>
                        <w14:solidFill>
                          <w14:schemeClr w14:val="tx1"/>
                        </w14:solidFill>
                      </w14:textFill>
                    </w:rPr>
                    <w:br w:type="textWrapping"/>
                  </w:r>
                  <w:r>
                    <w:rPr>
                      <w:rFonts w:hint="default" w:ascii="Times New Roman" w:hAnsi="Times New Roman" w:cs="Times New Roman"/>
                      <w:color w:val="000000" w:themeColor="text1"/>
                      <w:lang w:val="en-US" w:eastAsia="zh-CN"/>
                      <w14:textFill>
                        <w14:solidFill>
                          <w14:schemeClr w14:val="tx1"/>
                        </w14:solidFill>
                      </w14:textFill>
                    </w:rPr>
                    <w:t>3、项目生产过程中打磨、焊接、切割等工序均采用覆膜袋式除尘器进行处理。</w:t>
                  </w:r>
                </w:p>
              </w:tc>
              <w:tc>
                <w:tcPr>
                  <w:tcW w:w="487"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509" w:type="pct"/>
                  <w:vMerge w:val="restart"/>
                  <w:tcBorders>
                    <w:right w:val="single" w:color="000000" w:sz="4" w:space="0"/>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排放限值</w:t>
                  </w:r>
                </w:p>
              </w:tc>
              <w:tc>
                <w:tcPr>
                  <w:tcW w:w="546" w:type="pct"/>
                  <w:tcBorders>
                    <w:left w:val="single" w:color="000000" w:sz="4" w:space="0"/>
                    <w:tl2br w:val="nil"/>
                    <w:tr2bl w:val="nil"/>
                  </w:tcBorders>
                  <w:vAlign w:val="center"/>
                </w:tcPr>
                <w:p>
                  <w:pPr>
                    <w:pStyle w:val="57"/>
                    <w:bidi w:val="0"/>
                    <w:rPr>
                      <w:rFonts w:hint="default" w:ascii="Times New Roman" w:hAnsi="Times New Roman" w:cs="Times New Roman"/>
                      <w:b/>
                      <w:bCs/>
                      <w:color w:val="000000" w:themeColor="text1"/>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highlight w:val="none"/>
                      <w:u w:val="single"/>
                      <w:lang w:val="en-US" w:eastAsia="zh-CN"/>
                      <w14:textFill>
                        <w14:solidFill>
                          <w14:schemeClr w14:val="tx1"/>
                        </w14:solidFill>
                      </w14:textFill>
                    </w:rPr>
                    <w:t>其他炉窑</w:t>
                  </w:r>
                </w:p>
              </w:tc>
              <w:tc>
                <w:tcPr>
                  <w:tcW w:w="200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auto"/>
                    <w:rPr>
                      <w:rFonts w:hint="default" w:ascii="Times New Roman" w:hAnsi="Times New Roman" w:eastAsia="宋体" w:cs="Times New Roman"/>
                      <w:b/>
                      <w:bCs/>
                      <w:color w:val="000000" w:themeColor="text1"/>
                      <w:kern w:val="0"/>
                      <w:sz w:val="18"/>
                      <w:szCs w:val="18"/>
                      <w:highlight w:val="none"/>
                      <w:u w:val="single"/>
                      <w:vertAlign w:val="superscript"/>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18"/>
                      <w:szCs w:val="18"/>
                      <w:highlight w:val="none"/>
                      <w:u w:val="single"/>
                      <w:lang w:val="en-US" w:eastAsia="zh-CN" w:bidi="ar"/>
                      <w14:textFill>
                        <w14:solidFill>
                          <w14:schemeClr w14:val="tx1"/>
                        </w14:solidFill>
                      </w14:textFill>
                    </w:rPr>
                    <w:t>PM、SO</w:t>
                  </w:r>
                  <w:r>
                    <w:rPr>
                      <w:rFonts w:hint="default" w:ascii="Times New Roman" w:hAnsi="Times New Roman" w:eastAsia="宋体" w:cs="Times New Roman"/>
                      <w:b/>
                      <w:bCs/>
                      <w:color w:val="000000" w:themeColor="text1"/>
                      <w:kern w:val="0"/>
                      <w:sz w:val="18"/>
                      <w:szCs w:val="18"/>
                      <w:highlight w:val="none"/>
                      <w:u w:val="single"/>
                      <w:vertAlign w:val="subscript"/>
                      <w:lang w:val="en-US" w:eastAsia="zh-CN" w:bidi="ar"/>
                      <w14:textFill>
                        <w14:solidFill>
                          <w14:schemeClr w14:val="tx1"/>
                        </w14:solidFill>
                      </w14:textFill>
                    </w:rPr>
                    <w:t>2</w:t>
                  </w:r>
                  <w:r>
                    <w:rPr>
                      <w:rFonts w:hint="default" w:ascii="Times New Roman" w:hAnsi="Times New Roman" w:eastAsia="宋体" w:cs="Times New Roman"/>
                      <w:b/>
                      <w:bCs/>
                      <w:color w:val="000000" w:themeColor="text1"/>
                      <w:kern w:val="0"/>
                      <w:sz w:val="18"/>
                      <w:szCs w:val="18"/>
                      <w:highlight w:val="none"/>
                      <w:u w:val="single"/>
                      <w:lang w:val="en-US" w:eastAsia="zh-CN" w:bidi="ar"/>
                      <w14:textFill>
                        <w14:solidFill>
                          <w14:schemeClr w14:val="tx1"/>
                        </w14:solidFill>
                      </w14:textFill>
                    </w:rPr>
                    <w:t>、NOx 排放浓度分别不高于 10、50、 100mg/m</w:t>
                  </w:r>
                  <w:r>
                    <w:rPr>
                      <w:rFonts w:hint="default" w:ascii="Times New Roman" w:hAnsi="Times New Roman" w:eastAsia="宋体" w:cs="Times New Roman"/>
                      <w:b/>
                      <w:bCs/>
                      <w:color w:val="000000" w:themeColor="text1"/>
                      <w:kern w:val="0"/>
                      <w:sz w:val="18"/>
                      <w:szCs w:val="18"/>
                      <w:highlight w:val="none"/>
                      <w:u w:val="single"/>
                      <w:vertAlign w:val="superscript"/>
                      <w:lang w:val="en-US" w:eastAsia="zh-CN" w:bidi="ar"/>
                      <w14:textFill>
                        <w14:solidFill>
                          <w14:schemeClr w14:val="tx1"/>
                        </w14:solidFill>
                      </w14:textFill>
                    </w:rPr>
                    <w:t>3</w:t>
                  </w:r>
                </w:p>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auto"/>
                    <w:rPr>
                      <w:rFonts w:hint="default" w:ascii="Times New Roman" w:hAnsi="Times New Roman" w:cs="Times New Roman"/>
                      <w:b/>
                      <w:bCs/>
                      <w:color w:val="000000" w:themeColor="text1"/>
                      <w:sz w:val="18"/>
                      <w:szCs w:val="18"/>
                      <w:highlight w:val="none"/>
                      <w:u w:val="single"/>
                      <w14:textFill>
                        <w14:solidFill>
                          <w14:schemeClr w14:val="tx1"/>
                        </w14:solidFill>
                      </w14:textFill>
                    </w:rPr>
                  </w:pPr>
                  <w:r>
                    <w:rPr>
                      <w:rFonts w:hint="default" w:ascii="Times New Roman" w:hAnsi="Times New Roman" w:eastAsia="宋体" w:cs="Times New Roman"/>
                      <w:b/>
                      <w:bCs/>
                      <w:color w:val="000000" w:themeColor="text1"/>
                      <w:kern w:val="0"/>
                      <w:sz w:val="18"/>
                      <w:szCs w:val="18"/>
                      <w:highlight w:val="none"/>
                      <w:u w:val="single"/>
                      <w:lang w:val="en-US" w:eastAsia="zh-CN" w:bidi="ar"/>
                      <w14:textFill>
                        <w14:solidFill>
                          <w14:schemeClr w14:val="tx1"/>
                        </w14:solidFill>
                      </w14:textFill>
                    </w:rPr>
                    <w:t xml:space="preserve">（基准含氧量：9%） </w:t>
                  </w:r>
                </w:p>
                <w:p>
                  <w:pPr>
                    <w:pStyle w:val="57"/>
                    <w:bidi w:val="0"/>
                    <w:jc w:val="both"/>
                    <w:rPr>
                      <w:rFonts w:hint="default" w:ascii="Times New Roman" w:hAnsi="Times New Roman" w:cs="Times New Roman"/>
                      <w:b/>
                      <w:bCs/>
                      <w:color w:val="000000" w:themeColor="text1"/>
                      <w:highlight w:val="none"/>
                      <w:u w:val="single"/>
                      <w:lang w:val="en-US" w:eastAsia="zh-CN"/>
                      <w14:textFill>
                        <w14:solidFill>
                          <w14:schemeClr w14:val="tx1"/>
                        </w14:solidFill>
                      </w14:textFill>
                    </w:rPr>
                  </w:pPr>
                </w:p>
              </w:tc>
              <w:tc>
                <w:tcPr>
                  <w:tcW w:w="1452" w:type="pct"/>
                  <w:tcBorders>
                    <w:tl2br w:val="nil"/>
                    <w:tr2bl w:val="nil"/>
                  </w:tcBorders>
                  <w:vAlign w:val="center"/>
                </w:tcPr>
                <w:p>
                  <w:pPr>
                    <w:pStyle w:val="57"/>
                    <w:bidi w:val="0"/>
                    <w:jc w:val="both"/>
                    <w:rPr>
                      <w:rFonts w:hint="default" w:ascii="Times New Roman" w:hAnsi="Times New Roman" w:cs="Times New Roman"/>
                      <w:b/>
                      <w:bCs/>
                      <w:color w:val="000000" w:themeColor="text1"/>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highlight w:val="none"/>
                      <w:u w:val="single"/>
                      <w:lang w:val="en-US" w:eastAsia="zh-CN"/>
                      <w14:textFill>
                        <w14:solidFill>
                          <w14:schemeClr w14:val="tx1"/>
                        </w14:solidFill>
                      </w14:textFill>
                    </w:rPr>
                    <w:t>项目燃气加热炉废气采用选择性催化还原（SCR）脱硝装置处理后，外排废气PM、SO</w:t>
                  </w:r>
                  <w:r>
                    <w:rPr>
                      <w:rFonts w:hint="default" w:ascii="Times New Roman" w:hAnsi="Times New Roman" w:cs="Times New Roman"/>
                      <w:b/>
                      <w:bCs/>
                      <w:color w:val="000000" w:themeColor="text1"/>
                      <w:highlight w:val="none"/>
                      <w:u w:val="single"/>
                      <w:vertAlign w:val="subscript"/>
                      <w:lang w:val="en-US" w:eastAsia="zh-CN"/>
                      <w14:textFill>
                        <w14:solidFill>
                          <w14:schemeClr w14:val="tx1"/>
                        </w14:solidFill>
                      </w14:textFill>
                    </w:rPr>
                    <w:t>2</w:t>
                  </w:r>
                  <w:r>
                    <w:rPr>
                      <w:rFonts w:hint="default" w:ascii="Times New Roman" w:hAnsi="Times New Roman" w:cs="Times New Roman"/>
                      <w:b/>
                      <w:bCs/>
                      <w:color w:val="000000" w:themeColor="text1"/>
                      <w:highlight w:val="none"/>
                      <w:u w:val="single"/>
                      <w:lang w:val="en-US" w:eastAsia="zh-CN"/>
                      <w14:textFill>
                        <w14:solidFill>
                          <w14:schemeClr w14:val="tx1"/>
                        </w14:solidFill>
                      </w14:textFill>
                    </w:rPr>
                    <w:t>、NOx排放浓度能够满足：10、50、100mg/m</w:t>
                  </w:r>
                  <w:r>
                    <w:rPr>
                      <w:rFonts w:hint="default" w:ascii="Times New Roman" w:hAnsi="Times New Roman" w:cs="Times New Roman"/>
                      <w:b/>
                      <w:bCs/>
                      <w:color w:val="000000" w:themeColor="text1"/>
                      <w:highlight w:val="none"/>
                      <w:u w:val="singl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highlight w:val="none"/>
                      <w:u w:val="single"/>
                      <w:lang w:val="en-US" w:eastAsia="zh-CN"/>
                      <w14:textFill>
                        <w14:solidFill>
                          <w14:schemeClr w14:val="tx1"/>
                        </w14:solidFill>
                      </w14:textFill>
                    </w:rPr>
                    <w:t>（基准含氧量9%）</w:t>
                  </w:r>
                  <w:r>
                    <w:rPr>
                      <w:rFonts w:hint="eastAsia" w:ascii="Times New Roman" w:hAnsi="Times New Roman" w:cs="Times New Roman"/>
                      <w:b/>
                      <w:bCs/>
                      <w:color w:val="000000" w:themeColor="text1"/>
                      <w:highlight w:val="none"/>
                      <w:u w:val="single"/>
                      <w:lang w:val="en-US" w:eastAsia="zh-CN"/>
                      <w14:textFill>
                        <w14:solidFill>
                          <w14:schemeClr w14:val="tx1"/>
                        </w14:solidFill>
                      </w14:textFill>
                    </w:rPr>
                    <w:t>要求</w:t>
                  </w:r>
                </w:p>
              </w:tc>
              <w:tc>
                <w:tcPr>
                  <w:tcW w:w="487"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9" w:type="pct"/>
                  <w:vMerge w:val="continue"/>
                  <w:tcBorders>
                    <w:right w:val="single" w:color="000000" w:sz="4" w:space="0"/>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p>
              </w:tc>
              <w:tc>
                <w:tcPr>
                  <w:tcW w:w="546" w:type="pct"/>
                  <w:tcBorders>
                    <w:left w:val="single" w:color="000000" w:sz="4" w:space="0"/>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其他工序</w:t>
                  </w:r>
                </w:p>
              </w:tc>
              <w:tc>
                <w:tcPr>
                  <w:tcW w:w="2003" w:type="pct"/>
                  <w:tcBorders>
                    <w:tl2br w:val="nil"/>
                    <w:tr2bl w:val="nil"/>
                  </w:tcBorders>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PM排放浓度不高于10mg/m</w:t>
                  </w:r>
                  <w:r>
                    <w:rPr>
                      <w:rFonts w:hint="default" w:ascii="Times New Roman" w:hAnsi="Times New Roman" w:cs="Times New Roman"/>
                      <w:color w:val="000000" w:themeColor="text1"/>
                      <w:vertAlign w:val="superscript"/>
                      <w:lang w:val="en-US" w:eastAsia="zh-CN"/>
                      <w14:textFill>
                        <w14:solidFill>
                          <w14:schemeClr w14:val="tx1"/>
                        </w14:solidFill>
                      </w14:textFill>
                    </w:rPr>
                    <w:t>3</w:t>
                  </w:r>
                </w:p>
              </w:tc>
              <w:tc>
                <w:tcPr>
                  <w:tcW w:w="1452" w:type="pct"/>
                  <w:tcBorders>
                    <w:tl2br w:val="nil"/>
                    <w:tr2bl w:val="nil"/>
                  </w:tcBorders>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项目切割、打磨、焊接工序废气采用脉冲袋式除尘处理后，能够满足外排颗粒物低于10mg/m</w:t>
                  </w:r>
                  <w:r>
                    <w:rPr>
                      <w:rFonts w:hint="default" w:ascii="Times New Roman" w:hAnsi="Times New Roman" w:cs="Times New Roman"/>
                      <w:color w:val="000000" w:themeColor="text1"/>
                      <w:vertAlign w:val="superscript"/>
                      <w:lang w:val="en-US"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要求</w:t>
                  </w:r>
                </w:p>
              </w:tc>
              <w:tc>
                <w:tcPr>
                  <w:tcW w:w="487"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56" w:type="pct"/>
                  <w:gridSpan w:val="2"/>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监测监控水平</w:t>
                  </w:r>
                </w:p>
              </w:tc>
              <w:tc>
                <w:tcPr>
                  <w:tcW w:w="2003" w:type="pct"/>
                  <w:tcBorders>
                    <w:tl2br w:val="nil"/>
                    <w:tr2bl w:val="nil"/>
                  </w:tcBorders>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重点排污企业主要排放口安装CEMS，记录生产设施运行情况，数据保存一年以上。</w:t>
                  </w:r>
                </w:p>
              </w:tc>
              <w:tc>
                <w:tcPr>
                  <w:tcW w:w="1452" w:type="pct"/>
                  <w:tcBorders>
                    <w:tl2br w:val="nil"/>
                    <w:tr2bl w:val="nil"/>
                  </w:tcBorders>
                  <w:vAlign w:val="center"/>
                </w:tcPr>
                <w:p>
                  <w:pPr>
                    <w:pStyle w:val="57"/>
                    <w:bidi w:val="0"/>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项目按照要求记录生产设施运行情况</w:t>
                  </w:r>
                </w:p>
              </w:tc>
              <w:tc>
                <w:tcPr>
                  <w:tcW w:w="487" w:type="pct"/>
                  <w:tcBorders>
                    <w:tl2br w:val="nil"/>
                    <w:tr2bl w:val="nil"/>
                  </w:tcBorders>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相符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5"/>
                  <w:tcBorders>
                    <w:tl2br w:val="nil"/>
                    <w:tr2bl w:val="nil"/>
                  </w:tcBorders>
                  <w:vAlign w:val="center"/>
                </w:tcPr>
                <w:p>
                  <w:pPr>
                    <w:pStyle w:val="57"/>
                    <w:bidi w:val="0"/>
                    <w:jc w:val="left"/>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备注【1】：燃气锅炉在PM稳定达到排放限值情况下可不采用除尘工艺；</w:t>
                  </w:r>
                </w:p>
                <w:p>
                  <w:pPr>
                    <w:pStyle w:val="57"/>
                    <w:bidi w:val="0"/>
                    <w:jc w:val="left"/>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备注【2】：温度低于800℃的燃气/燃油的干燥窑、热处理窑和燃气/生物质锅炉，在稳定达到排放限值情况下可不采用SCR/SNCR等工艺；</w:t>
                  </w:r>
                </w:p>
              </w:tc>
            </w:tr>
          </w:tbl>
          <w:p>
            <w:pPr>
              <w:pStyle w:val="2"/>
              <w:numPr>
                <w:ilvl w:val="0"/>
                <w:numId w:val="3"/>
              </w:num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与《新乡市生态环境局关于部署按照工业企业用电量监控系统的通知》（新环[2019]154号）（以下简称用电量监控通知）的对照分析</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项目与《用电量监控通知》相符性分析</w:t>
            </w:r>
          </w:p>
          <w:tbl>
            <w:tblPr>
              <w:tblStyle w:val="21"/>
              <w:tblW w:w="4999" w:type="pct"/>
              <w:tblInd w:w="0" w:type="dxa"/>
              <w:tblBorders>
                <w:top w:val="single" w:color="auto" w:sz="6" w:space="0"/>
                <w:left w:val="none" w:color="auto" w:sz="0" w:space="0"/>
                <w:bottom w:val="single" w:color="auto" w:sz="6"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3"/>
              <w:gridCol w:w="3484"/>
              <w:gridCol w:w="1981"/>
              <w:gridCol w:w="648"/>
            </w:tblGrid>
            <w:tr>
              <w:tblPrEx>
                <w:tblBorders>
                  <w:top w:val="single" w:color="auto" w:sz="6" w:space="0"/>
                  <w:left w:val="none" w:color="auto" w:sz="0" w:space="0"/>
                  <w:bottom w:val="single" w:color="auto" w:sz="6"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496"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类别</w:t>
                  </w:r>
                </w:p>
              </w:tc>
              <w:tc>
                <w:tcPr>
                  <w:tcW w:w="2567"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《新乡市生态环境局关于部署按照工业企业用电量监控系统的通知》有关要求</w:t>
                  </w:r>
                </w:p>
              </w:tc>
              <w:tc>
                <w:tcPr>
                  <w:tcW w:w="1459"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本项目情况</w:t>
                  </w:r>
                </w:p>
              </w:tc>
              <w:tc>
                <w:tcPr>
                  <w:tcW w:w="477"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对比</w:t>
                  </w:r>
                </w:p>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结论</w:t>
                  </w:r>
                </w:p>
              </w:tc>
            </w:tr>
            <w:tr>
              <w:tblPrEx>
                <w:tblBorders>
                  <w:top w:val="single" w:color="auto" w:sz="6" w:space="0"/>
                  <w:left w:val="none" w:color="auto" w:sz="0" w:space="0"/>
                  <w:bottom w:val="single" w:color="auto" w:sz="6"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496"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安装范围</w:t>
                  </w:r>
                </w:p>
              </w:tc>
              <w:tc>
                <w:tcPr>
                  <w:tcW w:w="2567"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第一批安装部署用电量监控系统的企业为：新乡市辖区内国控、省控、市控重点监控企业、涉VOCs污染排放的企业、铸造行业、建材行业，然后逐步扩展至新乡市辖区内所有排污企业。所有排污企业的总用电控制位置、主要生产设施和污染治理设施必须安装用电量监控系统终端。</w:t>
                  </w:r>
                </w:p>
              </w:tc>
              <w:tc>
                <w:tcPr>
                  <w:tcW w:w="1459"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本项目属于用电量监控系统的安装范围，企业应按照要求在总用电控制位置、主要生产设施和污染治理设施安装用电量监控系统终端。</w:t>
                  </w:r>
                </w:p>
              </w:tc>
              <w:tc>
                <w:tcPr>
                  <w:tcW w:w="477"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符合</w:t>
                  </w:r>
                </w:p>
              </w:tc>
            </w:tr>
          </w:tbl>
          <w:p>
            <w:p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本项目应按照要求在总用电控制位置、主要生产设施和污染治理设施安装用电量监控系统终端。</w:t>
            </w:r>
          </w:p>
          <w:p>
            <w:pPr>
              <w:pStyle w:val="2"/>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9、饮用水源保护区规划</w:t>
            </w:r>
          </w:p>
          <w:p>
            <w:pPr>
              <w:pStyle w:val="2"/>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新乡市饮用水源</w:t>
            </w:r>
          </w:p>
          <w:p>
            <w:p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《新乡市城市饮用水水源地保护区划分报告》（2007.5）已由河南省人民政府以豫政办[2007]125号文批复，具体划分结果见下表。</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新乡市城市集中饮用水源地</w:t>
            </w:r>
          </w:p>
          <w:tbl>
            <w:tblPr>
              <w:tblStyle w:val="21"/>
              <w:tblW w:w="499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35"/>
              <w:gridCol w:w="1239"/>
              <w:gridCol w:w="2450"/>
              <w:gridCol w:w="245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8"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序号</w:t>
                  </w:r>
                </w:p>
              </w:tc>
              <w:tc>
                <w:tcPr>
                  <w:tcW w:w="913"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水源地名称</w:t>
                  </w:r>
                </w:p>
              </w:tc>
              <w:tc>
                <w:tcPr>
                  <w:tcW w:w="1805"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一级保护区</w:t>
                  </w:r>
                </w:p>
              </w:tc>
              <w:tc>
                <w:tcPr>
                  <w:tcW w:w="1812"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二级保护区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8"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p>
              </w:tc>
              <w:tc>
                <w:tcPr>
                  <w:tcW w:w="913"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凤泉水厂地下水饮用水源保护区</w:t>
                  </w:r>
                </w:p>
              </w:tc>
              <w:tc>
                <w:tcPr>
                  <w:tcW w:w="1805"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以水厂东、西两院的院墙为界向外10米以及输水管线两侧10米的区域。</w:t>
                  </w:r>
                </w:p>
              </w:tc>
              <w:tc>
                <w:tcPr>
                  <w:tcW w:w="1812"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东以团结路为界，其他三面以水厂院墙为界，向外100米的区域。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8"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p>
              </w:tc>
              <w:tc>
                <w:tcPr>
                  <w:tcW w:w="913"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卫辉市塔岗水库地表水饮用水源保护区</w:t>
                  </w:r>
                </w:p>
              </w:tc>
              <w:tc>
                <w:tcPr>
                  <w:tcW w:w="1805"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取水口外围300米的水域、正常水位线取水口一侧200米的陆域及输水管道两侧10米的陆域。</w:t>
                  </w:r>
                </w:p>
              </w:tc>
              <w:tc>
                <w:tcPr>
                  <w:tcW w:w="1812"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一级保护区外的水域及山脊线内、入库河流上游3000米的陆域。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8" w:type="pct"/>
                  <w:noWrap w:val="0"/>
                  <w:vAlign w:val="center"/>
                </w:tcPr>
                <w:p>
                  <w:pPr>
                    <w:pStyle w:val="57"/>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p>
              </w:tc>
              <w:tc>
                <w:tcPr>
                  <w:tcW w:w="913"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辉县市段屯地下水饮用水源保护区</w:t>
                  </w:r>
                </w:p>
              </w:tc>
              <w:tc>
                <w:tcPr>
                  <w:tcW w:w="1805"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井群外围线以外30米的区域及输水管道两侧10米的陆域。</w:t>
                  </w:r>
                </w:p>
              </w:tc>
              <w:tc>
                <w:tcPr>
                  <w:tcW w:w="1812" w:type="pct"/>
                  <w:noWrap w:val="0"/>
                  <w:vAlign w:val="center"/>
                </w:tcPr>
                <w:p>
                  <w:pPr>
                    <w:pStyle w:val="57"/>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卫柿路以北，东外环路以东，井群外围线外300米以西和以南的区域。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8" w:type="pct"/>
                  <w:noWrap w:val="0"/>
                  <w:vAlign w:val="center"/>
                </w:tcPr>
                <w:p>
                  <w:pPr>
                    <w:pStyle w:val="57"/>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4</w:t>
                  </w:r>
                </w:p>
              </w:tc>
              <w:tc>
                <w:tcPr>
                  <w:tcW w:w="123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sz w:val="18"/>
                      <w:szCs w:val="18"/>
                      <w:highlight w:val="none"/>
                      <w:lang w:eastAsia="zh-CN"/>
                      <w14:textFill>
                        <w14:solidFill>
                          <w14:schemeClr w14:val="tx1"/>
                        </w14:solidFill>
                      </w14:textFill>
                    </w:rPr>
                    <w:t>七里营引黄水源地饮用水水源保护区</w:t>
                  </w:r>
                </w:p>
              </w:tc>
              <w:tc>
                <w:tcPr>
                  <w:tcW w:w="490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360"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sz w:val="18"/>
                      <w:szCs w:val="18"/>
                      <w:highlight w:val="none"/>
                      <w:lang w:eastAsia="zh-CN"/>
                      <w14:textFill>
                        <w14:solidFill>
                          <w14:schemeClr w14:val="tx1"/>
                        </w14:solidFill>
                      </w14:textFill>
                    </w:rPr>
                    <w:t>水域：人民胜利渠新乡市界至本源水厂东厂界的</w:t>
                  </w:r>
                  <w:r>
                    <w:rPr>
                      <w:rFonts w:hint="eastAsia" w:cs="Times New Roman"/>
                      <w:color w:val="000000" w:themeColor="text1"/>
                      <w:sz w:val="18"/>
                      <w:szCs w:val="18"/>
                      <w:highlight w:val="none"/>
                      <w:lang w:val="en-US" w:eastAsia="zh-CN"/>
                      <w14:textFill>
                        <w14:solidFill>
                          <w14:schemeClr w14:val="tx1"/>
                        </w14:solidFill>
                      </w14:textFill>
                    </w:rPr>
                    <w:t>30m明渠水域；本源水厂厂区范围内七里营蓄水池及沉砂池的水域。陆域：人民胜利渠新乡市界至本源水厂东厂界渠道外两侧20m的工程管理陆域；本源水厂厂区范围内的陆域。</w:t>
                  </w:r>
                </w:p>
              </w:tc>
            </w:tr>
          </w:tbl>
          <w:p>
            <w:p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本</w:t>
            </w:r>
            <w:r>
              <w:rPr>
                <w:rFonts w:hint="default" w:ascii="Times New Roman" w:hAnsi="Times New Roman" w:cs="Times New Roman"/>
                <w:color w:val="000000" w:themeColor="text1"/>
                <w14:textFill>
                  <w14:solidFill>
                    <w14:schemeClr w14:val="tx1"/>
                  </w14:solidFill>
                </w14:textFill>
              </w:rPr>
              <w:t>项目选址距离</w:t>
            </w:r>
            <w:r>
              <w:rPr>
                <w:rFonts w:hint="default" w:ascii="Times New Roman" w:hAnsi="Times New Roman" w:cs="Times New Roman"/>
                <w:color w:val="000000" w:themeColor="text1"/>
                <w:lang w:eastAsia="zh-CN"/>
                <w14:textFill>
                  <w14:solidFill>
                    <w14:schemeClr w14:val="tx1"/>
                  </w14:solidFill>
                </w14:textFill>
              </w:rPr>
              <w:t>上述新乡市饮用</w:t>
            </w:r>
            <w:r>
              <w:rPr>
                <w:rFonts w:hint="default" w:ascii="Times New Roman" w:hAnsi="Times New Roman" w:cs="Times New Roman"/>
                <w:color w:val="000000" w:themeColor="text1"/>
                <w14:textFill>
                  <w14:solidFill>
                    <w14:schemeClr w14:val="tx1"/>
                  </w14:solidFill>
                </w14:textFill>
              </w:rPr>
              <w:t>水源保护区</w:t>
            </w:r>
            <w:r>
              <w:rPr>
                <w:rFonts w:hint="default" w:ascii="Times New Roman" w:hAnsi="Times New Roman" w:cs="Times New Roman"/>
                <w:color w:val="000000" w:themeColor="text1"/>
                <w:lang w:eastAsia="zh-CN"/>
                <w14:textFill>
                  <w14:solidFill>
                    <w14:schemeClr w14:val="tx1"/>
                  </w14:solidFill>
                </w14:textFill>
              </w:rPr>
              <w:t>最近为七里营引黄水源地饮用水水源保护区，本项目厂区其距离约</w:t>
            </w:r>
            <w:r>
              <w:rPr>
                <w:rFonts w:hint="eastAsia" w:cs="Times New Roman"/>
                <w:color w:val="000000" w:themeColor="text1"/>
                <w:lang w:val="en-US" w:eastAsia="zh-CN"/>
                <w14:textFill>
                  <w14:solidFill>
                    <w14:schemeClr w14:val="tx1"/>
                  </w14:solidFill>
                </w14:textFill>
              </w:rPr>
              <w:t>3.8</w:t>
            </w:r>
            <w:r>
              <w:rPr>
                <w:rFonts w:hint="default" w:ascii="Times New Roman" w:hAnsi="Times New Roman" w:cs="Times New Roman"/>
                <w:color w:val="000000" w:themeColor="text1"/>
                <w:lang w:val="en-US" w:eastAsia="zh-CN"/>
                <w14:textFill>
                  <w14:solidFill>
                    <w14:schemeClr w14:val="tx1"/>
                  </w14:solidFill>
                </w14:textFill>
              </w:rPr>
              <w:t>km</w:t>
            </w:r>
            <w:r>
              <w:rPr>
                <w:rFonts w:hint="default" w:ascii="Times New Roman" w:hAnsi="Times New Roman" w:cs="Times New Roman"/>
                <w:color w:val="000000" w:themeColor="text1"/>
                <w:lang w:eastAsia="zh-CN"/>
                <w14:textFill>
                  <w14:solidFill>
                    <w14:schemeClr w14:val="tx1"/>
                  </w14:solidFill>
                </w14:textFill>
              </w:rPr>
              <w:t>，选址不在上述各饮用水源保护区</w:t>
            </w:r>
            <w:r>
              <w:rPr>
                <w:rFonts w:hint="default" w:ascii="Times New Roman" w:hAnsi="Times New Roman" w:cs="Times New Roman"/>
                <w:color w:val="000000" w:themeColor="text1"/>
                <w14:textFill>
                  <w14:solidFill>
                    <w14:schemeClr w14:val="tx1"/>
                  </w14:solidFill>
                </w14:textFill>
              </w:rPr>
              <w:t>范围内。</w:t>
            </w:r>
          </w:p>
          <w:p>
            <w:pPr>
              <w:pStyle w:val="2"/>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（2）河南省乡镇级集中饮用水源地</w:t>
            </w:r>
          </w:p>
          <w:p>
            <w:pPr>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根据《河南省人民政府办公厅关于印发河南省乡镇集中式饮用水水源保护区划的通知》（豫政办〔2016〕23号），</w:t>
            </w:r>
            <w:r>
              <w:rPr>
                <w:rFonts w:hint="default" w:ascii="Times New Roman" w:hAnsi="Times New Roman" w:cs="Times New Roman"/>
                <w:color w:val="000000" w:themeColor="text1"/>
                <w:lang w:eastAsia="zh-CN"/>
                <w14:textFill>
                  <w14:solidFill>
                    <w14:schemeClr w14:val="tx1"/>
                  </w14:solidFill>
                </w14:textFill>
              </w:rPr>
              <w:t>新乡县</w:t>
            </w:r>
            <w:r>
              <w:rPr>
                <w:rFonts w:hint="default" w:ascii="Times New Roman" w:hAnsi="Times New Roman" w:cs="Times New Roman"/>
                <w:color w:val="000000" w:themeColor="text1"/>
                <w:lang w:val="en-US" w:eastAsia="zh-CN"/>
                <w14:textFill>
                  <w14:solidFill>
                    <w14:schemeClr w14:val="tx1"/>
                  </w14:solidFill>
                </w14:textFill>
              </w:rPr>
              <w:t>乡镇级集中式饮用水水源保护区划如下：</w:t>
            </w:r>
          </w:p>
          <w:p>
            <w:p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新乡县郎公庙镇水厂地下水井群</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共</w:t>
            </w: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眼井</w:t>
            </w:r>
            <w:r>
              <w:rPr>
                <w:rFonts w:hint="default" w:ascii="Times New Roman" w:hAnsi="Times New Roman" w:cs="Times New Roman"/>
                <w:color w:val="000000" w:themeColor="text1"/>
                <w:lang w:eastAsia="zh-CN"/>
                <w14:textFill>
                  <w14:solidFill>
                    <w14:schemeClr w14:val="tx1"/>
                  </w14:solidFill>
                </w14:textFill>
              </w:rPr>
              <w:t>）</w:t>
            </w:r>
          </w:p>
          <w:p>
            <w:p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一级保护区范围</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水厂厂区及外围东45米、西8米、南8米、北45米的区域</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1号取水井</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2、3号取水井外围50米至229省道的区域。</w:t>
            </w:r>
          </w:p>
          <w:p>
            <w:p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新乡县古固寨镇水厂地下水井群</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共2眼井</w:t>
            </w:r>
            <w:r>
              <w:rPr>
                <w:rFonts w:hint="default" w:ascii="Times New Roman" w:hAnsi="Times New Roman" w:cs="Times New Roman"/>
                <w:color w:val="000000" w:themeColor="text1"/>
                <w:lang w:eastAsia="zh-CN"/>
                <w14:textFill>
                  <w14:solidFill>
                    <w14:schemeClr w14:val="tx1"/>
                  </w14:solidFill>
                </w14:textFill>
              </w:rPr>
              <w:t>）</w:t>
            </w:r>
          </w:p>
          <w:p>
            <w:p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一级保护区范围</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水厂厂区及外围东15米、西45米、南35米、北10米的区域</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1号取水井</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2号取水井外围50米的区域。</w:t>
            </w:r>
          </w:p>
          <w:p>
            <w:p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新乡县大召营镇水厂地下水井群</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共2眼井</w:t>
            </w:r>
            <w:r>
              <w:rPr>
                <w:rFonts w:hint="default" w:ascii="Times New Roman" w:hAnsi="Times New Roman" w:cs="Times New Roman"/>
                <w:color w:val="000000" w:themeColor="text1"/>
                <w:lang w:eastAsia="zh-CN"/>
                <w14:textFill>
                  <w14:solidFill>
                    <w14:schemeClr w14:val="tx1"/>
                  </w14:solidFill>
                </w14:textFill>
              </w:rPr>
              <w:t>）</w:t>
            </w:r>
          </w:p>
          <w:p>
            <w:p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一级保护区范围</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水厂厂区及外围西45米、南30米、北20米、东25米的区域</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1号取水井</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2号取水井外围50米的区域。</w:t>
            </w:r>
          </w:p>
          <w:p>
            <w:p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新乡县翟坡镇水厂地下水井群</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共</w:t>
            </w: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眼井</w:t>
            </w:r>
            <w:r>
              <w:rPr>
                <w:rFonts w:hint="default" w:ascii="Times New Roman" w:hAnsi="Times New Roman" w:cs="Times New Roman"/>
                <w:color w:val="000000" w:themeColor="text1"/>
                <w:lang w:eastAsia="zh-CN"/>
                <w14:textFill>
                  <w14:solidFill>
                    <w14:schemeClr w14:val="tx1"/>
                  </w14:solidFill>
                </w14:textFill>
              </w:rPr>
              <w:t>）</w:t>
            </w:r>
          </w:p>
          <w:p>
            <w:p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一级保护区范围</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取水井外围50米的区域。</w:t>
            </w:r>
          </w:p>
          <w:p>
            <w:p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本项目位于新乡市新乡县小冀镇青龙大道39号，距离本项目最近的乡镇级集中式饮用水水源保护区为东北侧</w:t>
            </w:r>
            <w:r>
              <w:rPr>
                <w:rFonts w:hint="default" w:ascii="Times New Roman" w:hAnsi="Times New Roman" w:cs="Times New Roman"/>
                <w:color w:val="000000" w:themeColor="text1"/>
                <w14:textFill>
                  <w14:solidFill>
                    <w14:schemeClr w14:val="tx1"/>
                  </w14:solidFill>
                </w14:textFill>
              </w:rPr>
              <w:t>新乡县翟坡镇水厂地下水井群</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共</w:t>
            </w: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眼井</w:t>
            </w:r>
            <w:r>
              <w:rPr>
                <w:rFonts w:hint="default" w:ascii="Times New Roman" w:hAnsi="Times New Roman" w:cs="Times New Roman"/>
                <w:color w:val="000000" w:themeColor="text1"/>
                <w:lang w:eastAsia="zh-CN"/>
                <w14:textFill>
                  <w14:solidFill>
                    <w14:schemeClr w14:val="tx1"/>
                  </w14:solidFill>
                </w14:textFill>
              </w:rPr>
              <w:t>），项目选址距离其一级保护区边界距离约</w:t>
            </w:r>
            <w:r>
              <w:rPr>
                <w:rFonts w:hint="default" w:ascii="Times New Roman" w:hAnsi="Times New Roman" w:cs="Times New Roman"/>
                <w:color w:val="000000" w:themeColor="text1"/>
                <w:lang w:val="en-US" w:eastAsia="zh-CN"/>
                <w14:textFill>
                  <w14:solidFill>
                    <w14:schemeClr w14:val="tx1"/>
                  </w14:solidFill>
                </w14:textFill>
              </w:rPr>
              <w:t>4.5km，不在其保护区范围内。</w:t>
            </w:r>
          </w:p>
          <w:p>
            <w:pPr>
              <w:pStyle w:val="2"/>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10、</w:t>
            </w:r>
            <w:r>
              <w:rPr>
                <w:rFonts w:hint="default" w:ascii="Times New Roman" w:hAnsi="Times New Roman" w:cs="Times New Roman"/>
                <w:color w:val="000000" w:themeColor="text1"/>
                <w14:textFill>
                  <w14:solidFill>
                    <w14:schemeClr w14:val="tx1"/>
                  </w14:solidFill>
                </w14:textFill>
              </w:rPr>
              <w:t>与“三线一单”相容性判定</w:t>
            </w:r>
          </w:p>
          <w:p>
            <w:pPr>
              <w:pStyle w:val="2"/>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10.1“三线一单”生态环境分区管控的意见</w:t>
            </w:r>
          </w:p>
          <w:p>
            <w:p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新乡市人民政府于2021年7月30日以新政文〔2021〕44号发布了《新乡市人民政府关于实施“三线一单”生态环境分区管控的实施意见》，具体主要内容如下：</w:t>
            </w:r>
          </w:p>
          <w:p>
            <w:p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一）划分生态环境管控单元。按照生态保护红线、环境质量底线、资源利用上线等相关要求，划定全省优先保护单元、重点管控单元和一般管控单元三类生态环境管控单元，并实施分类管控。为确保政策协同，划定的各类生态环境管控单元的数量、面积和地域分布依照国土空间规划明确的空间格局、约束性指标等调整确定。</w:t>
            </w:r>
          </w:p>
          <w:p>
            <w:p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优先保护单元。指具有一定生态功能、以生态环境保护为主的区域。突出空间用途管控，以生态环境保护优先为原则，依法禁止或限制有关开发建设活动，优先开展生态保护修复，提高生态系统服务功能，确保生态环境功能不降低。</w:t>
            </w:r>
          </w:p>
          <w:p>
            <w:p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重点管控单元。指人口密集、资源开发强度较大、污染物排放强度相对较高的区域。主要推动空间布局优化和产业结构转型升级，深化污染治理，提高资源利用效率，减少污染物排放，防控生态环境风险，守住环境质量底线。</w:t>
            </w:r>
          </w:p>
          <w:p>
            <w:p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——一般管控单元。指除优先保护单元、重点管控单元以外的其他区域。主要落实生态环境保护的基本要求，生态环境状况得到保持或优化。</w:t>
            </w:r>
          </w:p>
          <w:p>
            <w:p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二）制定生态环境准入清单。基于生态环境管控单元，统筹考虑生态保护红线、环境质量底线、资源利用上线等要求，从优化空间布局、管控污染物排放、防控生态环境风险、提高资源利用效率等方面提出管控要求，分类制定生态环境准入清单。</w:t>
            </w:r>
          </w:p>
          <w:p>
            <w:pPr>
              <w:pStyle w:val="2"/>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lang w:eastAsia="zh-CN"/>
                <w14:textFill>
                  <w14:solidFill>
                    <w14:schemeClr w14:val="tx1"/>
                  </w14:solidFill>
                </w14:textFill>
              </w:rPr>
              <w:t>）生态保护红线</w:t>
            </w:r>
          </w:p>
          <w:p>
            <w:pPr>
              <w:keepNext w:val="0"/>
              <w:keepLines w:val="0"/>
              <w:pageBreakBefore w:val="0"/>
              <w:kinsoku/>
              <w:wordWrap/>
              <w:overflowPunct/>
              <w:topLinePunct w:val="0"/>
              <w:autoSpaceDE/>
              <w:autoSpaceDN/>
              <w:bidi w:val="0"/>
              <w:adjustRightInd/>
              <w:snapToGrid/>
              <w:spacing w:line="360" w:lineRule="auto"/>
              <w:ind w:left="0" w:right="0" w:rightChars="0" w:firstLine="420" w:firstLineChars="200"/>
              <w:textAlignment w:val="auto"/>
              <w:rPr>
                <w:rFonts w:hint="default" w:ascii="Times New Roman" w:hAnsi="Times New Roman" w:cs="Times New Roman"/>
                <w:color w:val="000000" w:themeColor="text1"/>
                <w:szCs w:val="28"/>
                <w14:textFill>
                  <w14:solidFill>
                    <w14:schemeClr w14:val="tx1"/>
                  </w14:solidFill>
                </w14:textFill>
              </w:rPr>
            </w:pPr>
            <w:r>
              <w:rPr>
                <w:rFonts w:hint="default" w:ascii="Times New Roman" w:hAnsi="Times New Roman" w:cs="Times New Roman"/>
                <w:bCs/>
                <w:color w:val="000000" w:themeColor="text1"/>
                <w:kern w:val="0"/>
                <w:szCs w:val="21"/>
                <w:highlight w:val="none"/>
                <w14:textFill>
                  <w14:solidFill>
                    <w14:schemeClr w14:val="tx1"/>
                  </w14:solidFill>
                </w14:textFill>
              </w:rPr>
              <w:t>本项目位于</w:t>
            </w:r>
            <w:r>
              <w:rPr>
                <w:rFonts w:hint="default" w:ascii="Times New Roman" w:hAnsi="Times New Roman" w:cs="Times New Roman"/>
                <w:color w:val="000000" w:themeColor="text1"/>
                <w:sz w:val="21"/>
                <w:szCs w:val="21"/>
                <w:highlight w:val="none"/>
                <w:lang w:eastAsia="zh-CN"/>
                <w14:textFill>
                  <w14:solidFill>
                    <w14:schemeClr w14:val="tx1"/>
                  </w14:solidFill>
                </w14:textFill>
              </w:rPr>
              <w:t>新乡市新乡县小冀镇青龙大道</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39号</w:t>
            </w:r>
            <w:r>
              <w:rPr>
                <w:rFonts w:hint="default" w:ascii="Times New Roman" w:hAnsi="Times New Roman" w:cs="Times New Roman"/>
                <w:bCs/>
                <w:color w:val="000000" w:themeColor="text1"/>
                <w:kern w:val="0"/>
                <w:szCs w:val="21"/>
                <w:highlight w:val="none"/>
                <w14:textFill>
                  <w14:solidFill>
                    <w14:schemeClr w14:val="tx1"/>
                  </w14:solidFill>
                </w14:textFill>
              </w:rPr>
              <w:t>，本项目</w:t>
            </w:r>
            <w:r>
              <w:rPr>
                <w:rFonts w:hint="default" w:ascii="Times New Roman" w:hAnsi="Times New Roman" w:cs="Times New Roman"/>
                <w:bCs/>
                <w:color w:val="000000" w:themeColor="text1"/>
                <w:kern w:val="0"/>
                <w:szCs w:val="21"/>
                <w:highlight w:val="none"/>
                <w:lang w:val="en-GB"/>
                <w14:textFill>
                  <w14:solidFill>
                    <w14:schemeClr w14:val="tx1"/>
                  </w14:solidFill>
                </w14:textFill>
              </w:rPr>
              <w:t>不在当地饮用水源、风景区、自然保护区等生态保护区内，</w:t>
            </w:r>
            <w:r>
              <w:rPr>
                <w:rFonts w:hint="default" w:ascii="Times New Roman" w:hAnsi="Times New Roman" w:cs="Times New Roman"/>
                <w:bCs/>
                <w:color w:val="000000" w:themeColor="text1"/>
                <w:kern w:val="0"/>
                <w:szCs w:val="21"/>
                <w:highlight w:val="none"/>
                <w:lang w:val="en-GB" w:eastAsia="zh-CN"/>
                <w14:textFill>
                  <w14:solidFill>
                    <w14:schemeClr w14:val="tx1"/>
                  </w14:solidFill>
                </w14:textFill>
              </w:rPr>
              <w:t>且本项目租用现有厂房进行建设，施工期主要为生产设备安装，</w:t>
            </w:r>
            <w:r>
              <w:rPr>
                <w:rFonts w:hint="default" w:ascii="Times New Roman" w:hAnsi="Times New Roman" w:cs="Times New Roman"/>
                <w:color w:val="000000" w:themeColor="text1"/>
                <w:szCs w:val="28"/>
                <w:lang w:eastAsia="zh-CN"/>
                <w14:textFill>
                  <w14:solidFill>
                    <w14:schemeClr w14:val="tx1"/>
                  </w14:solidFill>
                </w14:textFill>
              </w:rPr>
              <w:t>不涉及大规模土建工程，不会对周边生态环境造成影响。</w:t>
            </w:r>
          </w:p>
          <w:p>
            <w:pPr>
              <w:pStyle w:val="2"/>
              <w:numPr>
                <w:ilvl w:val="0"/>
                <w:numId w:val="4"/>
              </w:num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环境质量底线</w:t>
            </w:r>
          </w:p>
          <w:p>
            <w:pPr>
              <w:pStyle w:val="2"/>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①大气</w:t>
            </w:r>
          </w:p>
          <w:p>
            <w:pPr>
              <w:keepNext w:val="0"/>
              <w:keepLines w:val="0"/>
              <w:pageBreakBefore w:val="0"/>
              <w:widowControl w:val="0"/>
              <w:kinsoku/>
              <w:wordWrap/>
              <w:overflowPunct/>
              <w:topLinePunct w:val="0"/>
              <w:bidi w:val="0"/>
              <w:adjustRightInd/>
              <w:snapToGrid/>
              <w:spacing w:line="360" w:lineRule="auto"/>
              <w:ind w:firstLine="420" w:firstLineChars="200"/>
              <w:jc w:val="both"/>
              <w:textAlignment w:val="auto"/>
              <w:rPr>
                <w:rFonts w:hint="default" w:ascii="Times New Roman" w:hAnsi="Times New Roman" w:eastAsia="宋体" w:cs="Times New Roman"/>
                <w:color w:val="000000" w:themeColor="text1"/>
                <w:szCs w:val="21"/>
                <w:highlight w:val="none"/>
                <w:lang w:val="de-DE"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根据新乡市生态环境局发布的《新乡市</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202</w:t>
            </w:r>
            <w:r>
              <w:rPr>
                <w:rFonts w:hint="eastAsia"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年环境质量年报》</w:t>
            </w:r>
            <w:r>
              <w:rPr>
                <w:rFonts w:hint="default" w:ascii="Times New Roman" w:hAnsi="Times New Roman" w:cs="Times New Roman"/>
                <w:color w:val="000000" w:themeColor="text1"/>
                <w:szCs w:val="21"/>
                <w:highlight w:val="none"/>
                <w14:textFill>
                  <w14:solidFill>
                    <w14:schemeClr w14:val="tx1"/>
                  </w14:solidFill>
                </w14:textFill>
              </w:rPr>
              <w:t>，项目所在区域</w:t>
            </w:r>
            <w:r>
              <w:rPr>
                <w:rFonts w:hint="eastAsia" w:cs="Times New Roman"/>
                <w:color w:val="000000" w:themeColor="text1"/>
                <w:szCs w:val="21"/>
                <w:highlight w:val="none"/>
                <w:lang w:val="en-US" w:eastAsia="zh-CN"/>
                <w14:textFill>
                  <w14:solidFill>
                    <w14:schemeClr w14:val="tx1"/>
                  </w14:solidFill>
                </w14:textFill>
              </w:rPr>
              <w:t>NO</w:t>
            </w:r>
            <w:r>
              <w:rPr>
                <w:rFonts w:hint="eastAsia" w:cs="Times New Roman"/>
                <w:color w:val="000000" w:themeColor="text1"/>
                <w:szCs w:val="21"/>
                <w:highlight w:val="none"/>
                <w:vertAlign w:val="subscript"/>
                <w:lang w:val="en-US" w:eastAsia="zh-CN"/>
                <w14:textFill>
                  <w14:solidFill>
                    <w14:schemeClr w14:val="tx1"/>
                  </w14:solidFill>
                </w14:textFill>
              </w:rPr>
              <w:t>2</w:t>
            </w:r>
            <w:r>
              <w:rPr>
                <w:rFonts w:hint="eastAsia" w:cs="Times New Roman"/>
                <w:color w:val="000000" w:themeColor="text1"/>
                <w:szCs w:val="21"/>
                <w:highlight w:val="none"/>
                <w:lang w:val="en-US" w:eastAsia="zh-CN"/>
                <w14:textFill>
                  <w14:solidFill>
                    <w14:schemeClr w14:val="tx1"/>
                  </w14:solidFill>
                </w14:textFill>
              </w:rPr>
              <w:t>年均浓度、</w:t>
            </w:r>
            <w:r>
              <w:rPr>
                <w:rFonts w:hint="default" w:ascii="Times New Roman" w:hAnsi="Times New Roman" w:cs="Times New Roman"/>
                <w:color w:val="000000" w:themeColor="text1"/>
                <w:szCs w:val="21"/>
                <w:highlight w:val="none"/>
                <w14:textFill>
                  <w14:solidFill>
                    <w14:schemeClr w14:val="tx1"/>
                  </w14:solidFill>
                </w14:textFill>
              </w:rPr>
              <w:t>SO</w:t>
            </w:r>
            <w:r>
              <w:rPr>
                <w:rFonts w:hint="default" w:ascii="Times New Roman" w:hAnsi="Times New Roman" w:cs="Times New Roman"/>
                <w:color w:val="000000" w:themeColor="text1"/>
                <w:szCs w:val="21"/>
                <w:highlight w:val="none"/>
                <w:vertAlign w:val="subscript"/>
                <w14:textFill>
                  <w14:solidFill>
                    <w14:schemeClr w14:val="tx1"/>
                  </w14:solidFill>
                </w14:textFill>
              </w:rPr>
              <w:t>2</w:t>
            </w:r>
            <w:r>
              <w:rPr>
                <w:rFonts w:hint="default" w:ascii="Times New Roman" w:hAnsi="Times New Roman" w:cs="Times New Roman"/>
                <w:color w:val="000000" w:themeColor="text1"/>
                <w:szCs w:val="21"/>
                <w:highlight w:val="none"/>
                <w14:textFill>
                  <w14:solidFill>
                    <w14:schemeClr w14:val="tx1"/>
                  </w14:solidFill>
                </w14:textFill>
              </w:rPr>
              <w:t>年均浓度、CO24h平均浓度均可满足《环境空气质量标准》（GB3095-2012）二级标准，</w:t>
            </w:r>
            <w:r>
              <w:rPr>
                <w:rFonts w:hint="default" w:ascii="Times New Roman" w:hAnsi="Times New Roman" w:cs="Times New Roman"/>
                <w:color w:val="000000" w:themeColor="text1"/>
                <w:sz w:val="21"/>
                <w:szCs w:val="21"/>
                <w:highlight w:val="none"/>
                <w14:textFill>
                  <w14:solidFill>
                    <w14:schemeClr w14:val="tx1"/>
                  </w14:solidFill>
                </w14:textFill>
              </w:rPr>
              <w:t>PM</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10</w:t>
            </w:r>
            <w:r>
              <w:rPr>
                <w:rFonts w:hint="default" w:ascii="Times New Roman" w:hAnsi="Times New Roman" w:cs="Times New Roman"/>
                <w:color w:val="000000" w:themeColor="text1"/>
                <w:sz w:val="21"/>
                <w:szCs w:val="21"/>
                <w:highlight w:val="none"/>
                <w14:textFill>
                  <w14:solidFill>
                    <w14:schemeClr w14:val="tx1"/>
                  </w14:solidFill>
                </w14:textFill>
              </w:rPr>
              <w:t>、P</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bscript"/>
                <w:lang w:eastAsia="zh-CN"/>
                <w14:textFill>
                  <w14:solidFill>
                    <w14:schemeClr w14:val="tx1"/>
                  </w14:solidFill>
                </w14:textFill>
              </w:rPr>
              <w:t>2</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.5</w:t>
            </w:r>
            <w:r>
              <w:rPr>
                <w:rFonts w:hint="default" w:ascii="Times New Roman" w:hAnsi="Times New Roman" w:cs="Times New Roman"/>
                <w:color w:val="000000" w:themeColor="text1"/>
                <w:sz w:val="21"/>
                <w:szCs w:val="21"/>
                <w:highlight w:val="none"/>
                <w:vertAlign w:val="baseline"/>
                <w:lang w:eastAsia="zh-CN"/>
                <w14:textFill>
                  <w14:solidFill>
                    <w14:schemeClr w14:val="tx1"/>
                  </w14:solidFill>
                </w14:textFill>
              </w:rPr>
              <w:t>和</w:t>
            </w:r>
            <w:r>
              <w:rPr>
                <w:rFonts w:hint="default" w:ascii="Times New Roman" w:hAnsi="Times New Roman" w:cs="Times New Roman"/>
                <w:color w:val="000000" w:themeColor="text1"/>
                <w:sz w:val="21"/>
                <w:szCs w:val="21"/>
                <w:highlight w:val="none"/>
                <w14:textFill>
                  <w14:solidFill>
                    <w14:schemeClr w14:val="tx1"/>
                  </w14:solidFill>
                </w14:textFill>
              </w:rPr>
              <w:t>O</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均不能够满足《环境空气质量标准》（GB3095-2012）二级标准要求</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本项目所在区域属于不达标区</w:t>
            </w:r>
            <w:r>
              <w:rPr>
                <w:rFonts w:hint="default" w:ascii="Times New Roman" w:hAnsi="Times New Roman" w:cs="Times New Roman"/>
                <w:color w:val="000000" w:themeColor="text1"/>
                <w:szCs w:val="21"/>
                <w:highlight w:val="none"/>
                <w14:textFill>
                  <w14:solidFill>
                    <w14:schemeClr w14:val="tx1"/>
                  </w14:solidFill>
                </w14:textFill>
              </w:rPr>
              <w:t>。</w:t>
            </w:r>
          </w:p>
          <w:p>
            <w:pPr>
              <w:keepNext w:val="0"/>
              <w:keepLines w:val="0"/>
              <w:pageBreakBefore w:val="0"/>
              <w:widowControl w:val="0"/>
              <w:kinsoku/>
              <w:wordWrap/>
              <w:overflowPunct/>
              <w:topLinePunct w:val="0"/>
              <w:bidi w:val="0"/>
              <w:adjustRightInd/>
              <w:snapToGrid/>
              <w:spacing w:line="360" w:lineRule="auto"/>
              <w:ind w:left="0" w:right="0" w:rightChars="0" w:firstLine="420" w:firstLineChars="200"/>
              <w:textAlignment w:val="auto"/>
              <w:rPr>
                <w:rFonts w:hint="default" w:ascii="Times New Roman" w:hAnsi="Times New Roman" w:cs="Times New Roman"/>
                <w:color w:val="000000" w:themeColor="text1"/>
                <w:szCs w:val="21"/>
                <w:highlight w:val="none"/>
                <w:lang w:val="de-DE"/>
                <w14:textFill>
                  <w14:solidFill>
                    <w14:schemeClr w14:val="tx1"/>
                  </w14:solidFill>
                </w14:textFill>
              </w:rPr>
            </w:pPr>
            <w:r>
              <w:rPr>
                <w:rFonts w:hint="default" w:ascii="Times New Roman" w:hAnsi="Times New Roman" w:cs="Times New Roman"/>
                <w:color w:val="000000" w:themeColor="text1"/>
                <w:szCs w:val="21"/>
                <w:highlight w:val="none"/>
                <w:lang w:val="de-DE"/>
                <w14:textFill>
                  <w14:solidFill>
                    <w14:schemeClr w14:val="tx1"/>
                  </w14:solidFill>
                </w14:textFill>
              </w:rPr>
              <w:t>本项目</w:t>
            </w:r>
            <w:r>
              <w:rPr>
                <w:rFonts w:hint="default" w:ascii="Times New Roman" w:hAnsi="Times New Roman" w:cs="Times New Roman"/>
                <w:color w:val="000000" w:themeColor="text1"/>
                <w:szCs w:val="21"/>
                <w:highlight w:val="none"/>
                <w:lang w:val="de-DE" w:eastAsia="zh-CN"/>
                <w14:textFill>
                  <w14:solidFill>
                    <w14:schemeClr w14:val="tx1"/>
                  </w14:solidFill>
                </w14:textFill>
              </w:rPr>
              <w:t>针对生产过程中排放的颗粒物废气均经密闭收集后通过设置</w:t>
            </w:r>
            <w:r>
              <w:rPr>
                <w:rFonts w:hint="default" w:ascii="Times New Roman" w:hAnsi="Times New Roman" w:cs="Times New Roman"/>
                <w:color w:val="000000" w:themeColor="text1"/>
                <w:szCs w:val="21"/>
                <w:highlight w:val="none"/>
                <w:lang w:val="en-US" w:eastAsia="zh-CN"/>
                <w14:textFill>
                  <w14:solidFill>
                    <w14:schemeClr w14:val="tx1"/>
                  </w14:solidFill>
                </w14:textFill>
              </w:rPr>
              <w:t>脉冲袋式除尘器进行处理后，经15m高排气筒排放；加热炉燃天然气废气通过设</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置1套</w:t>
            </w:r>
            <w:r>
              <w:rPr>
                <w:rFonts w:hint="default"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选择性催化还原（SCR）脱硝装置</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处理</w:t>
            </w:r>
            <w:r>
              <w:rPr>
                <w:rFonts w:hint="default" w:ascii="Times New Roman" w:hAnsi="Times New Roman" w:cs="Times New Roman"/>
                <w:color w:val="000000" w:themeColor="text1"/>
                <w:szCs w:val="21"/>
                <w:highlight w:val="none"/>
                <w:lang w:val="en-US" w:eastAsia="zh-CN"/>
                <w14:textFill>
                  <w14:solidFill>
                    <w14:schemeClr w14:val="tx1"/>
                  </w14:solidFill>
                </w14:textFill>
              </w:rPr>
              <w:t>后，经15m高排气筒排放</w:t>
            </w:r>
            <w:r>
              <w:rPr>
                <w:rFonts w:hint="eastAsia" w:cs="Times New Roman"/>
                <w:color w:val="000000" w:themeColor="text1"/>
                <w:szCs w:val="21"/>
                <w:highlight w:val="none"/>
                <w:lang w:val="en-US" w:eastAsia="zh-CN"/>
                <w14:textFill>
                  <w14:solidFill>
                    <w14:schemeClr w14:val="tx1"/>
                  </w14:solidFill>
                </w14:textFill>
              </w:rPr>
              <w:t>；酸洗工序废气通过设置1套两级酸雾喷淋塔处理后，经</w:t>
            </w:r>
            <w:r>
              <w:rPr>
                <w:rFonts w:hint="default" w:ascii="Times New Roman" w:hAnsi="Times New Roman" w:cs="Times New Roman"/>
                <w:color w:val="000000" w:themeColor="text1"/>
                <w:szCs w:val="21"/>
                <w:highlight w:val="none"/>
                <w:lang w:val="en-US" w:eastAsia="zh-CN"/>
                <w14:textFill>
                  <w14:solidFill>
                    <w14:schemeClr w14:val="tx1"/>
                  </w14:solidFill>
                </w14:textFill>
              </w:rPr>
              <w:t>15m高排气筒排放</w:t>
            </w:r>
            <w:r>
              <w:rPr>
                <w:rFonts w:hint="eastAsia" w:cs="Times New Roman"/>
                <w:color w:val="000000" w:themeColor="text1"/>
                <w:szCs w:val="21"/>
                <w:highlight w:val="none"/>
                <w:lang w:val="en-US" w:eastAsia="zh-CN"/>
                <w14:textFill>
                  <w14:solidFill>
                    <w14:schemeClr w14:val="tx1"/>
                  </w14:solidFill>
                </w14:textFill>
              </w:rPr>
              <w:t>。项目各废气经处理后均</w:t>
            </w:r>
            <w:r>
              <w:rPr>
                <w:rFonts w:hint="default" w:ascii="Times New Roman" w:hAnsi="Times New Roman" w:cs="Times New Roman"/>
                <w:color w:val="000000" w:themeColor="text1"/>
                <w:szCs w:val="21"/>
                <w:highlight w:val="none"/>
                <w:lang w:val="de-DE" w:eastAsia="zh-CN"/>
                <w14:textFill>
                  <w14:solidFill>
                    <w14:schemeClr w14:val="tx1"/>
                  </w14:solidFill>
                </w14:textFill>
              </w:rPr>
              <w:t>能够满足相应排放标准。本项目实施了较为严格的大气污染防治措施，环境影响满足区域环境质量改善目标。</w:t>
            </w:r>
          </w:p>
          <w:p>
            <w:pPr>
              <w:pStyle w:val="2"/>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②地表水</w:t>
            </w:r>
          </w:p>
          <w:p>
            <w:pPr>
              <w:keepNext w:val="0"/>
              <w:keepLines w:val="0"/>
              <w:pageBreakBefore w:val="0"/>
              <w:kinsoku/>
              <w:wordWrap/>
              <w:overflowPunct/>
              <w:topLinePunct w:val="0"/>
              <w:bidi w:val="0"/>
              <w:adjustRightInd/>
              <w:snapToGrid/>
              <w:spacing w:line="360" w:lineRule="auto"/>
              <w:ind w:left="0" w:leftChars="0" w:right="0" w:rightChars="0" w:firstLine="422" w:firstLineChars="200"/>
              <w:textAlignment w:val="auto"/>
              <w:rPr>
                <w:rFonts w:hint="default" w:ascii="Times New Roman" w:hAnsi="Times New Roman" w:cs="Times New Roman"/>
                <w:color w:val="000000" w:themeColor="text1"/>
                <w:kern w:val="0"/>
                <w:szCs w:val="21"/>
                <w:highlight w:val="none"/>
                <w:lang w:bidi="ar"/>
                <w14:textFill>
                  <w14:solidFill>
                    <w14:schemeClr w14:val="tx1"/>
                  </w14:solidFill>
                </w14:textFill>
              </w:rPr>
            </w:pPr>
            <w:r>
              <w:rPr>
                <w:rFonts w:hint="default" w:ascii="Times New Roman" w:hAnsi="Times New Roman" w:cs="Times New Roman"/>
                <w:b/>
                <w:bCs/>
                <w:color w:val="000000" w:themeColor="text1"/>
                <w:sz w:val="21"/>
                <w:szCs w:val="21"/>
                <w:highlight w:val="none"/>
                <w:u w:val="single"/>
                <w:lang w:eastAsia="zh-CN"/>
                <w14:textFill>
                  <w14:solidFill>
                    <w14:schemeClr w14:val="tx1"/>
                  </w14:solidFill>
                </w14:textFill>
              </w:rPr>
              <w:t>本项目外排废水主要为生活污水，经厂区化粪池处理后排入新乡县综合污水处理厂进一步处理，新乡县综合污水处理厂出水最终进入东孟姜女河。根据《</w:t>
            </w:r>
            <w:r>
              <w:rPr>
                <w:rFonts w:hint="eastAsia" w:cs="Times New Roman"/>
                <w:b/>
                <w:bCs/>
                <w:color w:val="000000" w:themeColor="text1"/>
                <w:sz w:val="21"/>
                <w:szCs w:val="21"/>
                <w:highlight w:val="none"/>
                <w:u w:val="single"/>
                <w:lang w:eastAsia="zh-CN"/>
                <w14:textFill>
                  <w14:solidFill>
                    <w14:schemeClr w14:val="tx1"/>
                  </w14:solidFill>
                </w14:textFill>
              </w:rPr>
              <w:t>新乡市生态环境局关于下达</w:t>
            </w:r>
            <w:r>
              <w:rPr>
                <w:rFonts w:hint="eastAsia" w:cs="Times New Roman"/>
                <w:b/>
                <w:bCs/>
                <w:color w:val="000000" w:themeColor="text1"/>
                <w:sz w:val="21"/>
                <w:szCs w:val="21"/>
                <w:highlight w:val="none"/>
                <w:u w:val="single"/>
                <w:lang w:val="en-US" w:eastAsia="zh-CN"/>
                <w14:textFill>
                  <w14:solidFill>
                    <w14:schemeClr w14:val="tx1"/>
                  </w14:solidFill>
                </w14:textFill>
              </w:rPr>
              <w:t>2022年地表水环境质量暂定目标的函</w:t>
            </w:r>
            <w:r>
              <w:rPr>
                <w:rFonts w:hint="default" w:ascii="Times New Roman" w:hAnsi="Times New Roman" w:cs="Times New Roman"/>
                <w:b/>
                <w:bCs/>
                <w:color w:val="000000" w:themeColor="text1"/>
                <w:sz w:val="21"/>
                <w:szCs w:val="21"/>
                <w:highlight w:val="none"/>
                <w:u w:val="single"/>
                <w:lang w:eastAsia="zh-CN"/>
                <w14:textFill>
                  <w14:solidFill>
                    <w14:schemeClr w14:val="tx1"/>
                  </w14:solidFill>
                </w14:textFill>
              </w:rPr>
              <w:t>》，东孟姜女河水体功能类别为Ⅳ类标准。本项目引用新乡市环境监测站对东孟姜女河新乡县青龙路化肥厂东断面2022年3月的监测数据</w:t>
            </w:r>
            <w:r>
              <w:rPr>
                <w:rFonts w:hint="default" w:ascii="Times New Roman" w:hAnsi="Times New Roman" w:cs="Times New Roman"/>
                <w:b/>
                <w:bCs/>
                <w:color w:val="000000" w:themeColor="text1"/>
                <w:sz w:val="21"/>
                <w:szCs w:val="21"/>
                <w:highlight w:val="none"/>
                <w:u w:val="single"/>
                <w:lang w:val="en-US" w:eastAsia="zh-CN"/>
                <w14:textFill>
                  <w14:solidFill>
                    <w14:schemeClr w14:val="tx1"/>
                  </w14:solidFill>
                </w14:textFill>
              </w:rPr>
              <w:t>，监测数据显示，2022年3月东孟姜女河新乡县青龙路化肥厂东断面水质能够满足《地表水环境质量标准》（GB3838-2002）IV类水质要求</w:t>
            </w:r>
            <w:r>
              <w:rPr>
                <w:rFonts w:hint="default" w:ascii="Times New Roman" w:hAnsi="Times New Roman" w:cs="Times New Roman"/>
                <w:color w:val="000000" w:themeColor="text1"/>
                <w:kern w:val="0"/>
                <w:szCs w:val="21"/>
                <w:highlight w:val="none"/>
                <w:lang w:bidi="ar"/>
                <w14:textFill>
                  <w14:solidFill>
                    <w14:schemeClr w14:val="tx1"/>
                  </w14:solidFill>
                </w14:textFill>
              </w:rPr>
              <w:t>，本项目对区域水环境质量的影响较小。</w:t>
            </w:r>
          </w:p>
          <w:p>
            <w:pPr>
              <w:pStyle w:val="54"/>
              <w:keepNext w:val="0"/>
              <w:keepLines w:val="0"/>
              <w:pageBreakBefore w:val="0"/>
              <w:widowControl w:val="0"/>
              <w:kinsoku/>
              <w:wordWrap/>
              <w:overflowPunct/>
              <w:topLinePunct w:val="0"/>
              <w:autoSpaceDE w:val="0"/>
              <w:autoSpaceDN w:val="0"/>
              <w:bidi w:val="0"/>
              <w:adjustRightInd/>
              <w:snapToGrid/>
              <w:spacing w:line="360" w:lineRule="auto"/>
              <w:ind w:left="0" w:right="0" w:rightChars="0" w:firstLine="420" w:firstLineChars="200"/>
              <w:textAlignment w:val="auto"/>
              <w:rPr>
                <w:rFonts w:hint="default" w:ascii="Times New Roman" w:hAnsi="Times New Roman" w:cs="Times New Roman"/>
                <w:b/>
                <w:bCs/>
                <w:color w:val="000000" w:themeColor="text1"/>
                <w:highlight w:val="cyan"/>
                <w:lang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本项目废气、废水在采取报告中提出的治理措施后，能够达到相应的排放标准，因此对周边环境质量影响较小。综上，本项目的建设运行不会突破项目所在地的环境质量底线，因此项目符合环境质量底线标准。</w:t>
            </w:r>
          </w:p>
          <w:p>
            <w:pPr>
              <w:pStyle w:val="2"/>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lang w:eastAsia="zh-CN"/>
                <w14:textFill>
                  <w14:solidFill>
                    <w14:schemeClr w14:val="tx1"/>
                  </w14:solidFill>
                </w14:textFill>
              </w:rPr>
              <w:t>）资源利用上线</w:t>
            </w:r>
          </w:p>
          <w:p>
            <w:pPr>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土地资源：</w:t>
            </w:r>
            <w:r>
              <w:rPr>
                <w:rFonts w:hint="default" w:ascii="Times New Roman" w:hAnsi="Times New Roman" w:cs="Times New Roman"/>
                <w:color w:val="000000" w:themeColor="text1"/>
                <w:lang w:eastAsia="zh-CN"/>
                <w14:textFill>
                  <w14:solidFill>
                    <w14:schemeClr w14:val="tx1"/>
                  </w14:solidFill>
                </w14:textFill>
              </w:rPr>
              <w:t>项目租赁位于新乡市新乡县小冀镇青龙大道39号现有工业用地及厂房进行建设，无新增占地，</w:t>
            </w:r>
            <w:r>
              <w:rPr>
                <w:rFonts w:hint="default" w:ascii="Times New Roman" w:hAnsi="Times New Roman" w:cs="Times New Roman"/>
                <w:b/>
                <w:bCs/>
                <w:color w:val="000000" w:themeColor="text1"/>
                <w:u w:val="single"/>
                <w:lang w:eastAsia="zh-CN"/>
                <w14:textFill>
                  <w14:solidFill>
                    <w14:schemeClr w14:val="tx1"/>
                  </w14:solidFill>
                </w14:textFill>
              </w:rPr>
              <w:t>对照《</w:t>
            </w:r>
            <w:r>
              <w:rPr>
                <w:rFonts w:hint="eastAsia" w:cs="Times New Roman"/>
                <w:b/>
                <w:bCs/>
                <w:color w:val="000000" w:themeColor="text1"/>
                <w:u w:val="single"/>
                <w:lang w:eastAsia="zh-CN"/>
                <w14:textFill>
                  <w14:solidFill>
                    <w14:schemeClr w14:val="tx1"/>
                  </w14:solidFill>
                </w14:textFill>
              </w:rPr>
              <w:t>河南省新乡县城乡总体规划（2012~2030）</w:t>
            </w:r>
            <w:r>
              <w:rPr>
                <w:rFonts w:hint="default" w:ascii="Times New Roman" w:hAnsi="Times New Roman" w:cs="Times New Roman"/>
                <w:b/>
                <w:bCs/>
                <w:color w:val="000000" w:themeColor="text1"/>
                <w:u w:val="single"/>
                <w:lang w:eastAsia="zh-CN"/>
                <w14:textFill>
                  <w14:solidFill>
                    <w14:schemeClr w14:val="tx1"/>
                  </w14:solidFill>
                </w14:textFill>
              </w:rPr>
              <w:t>》（附图四），项目选址用地性质属于二类工业用地，</w:t>
            </w:r>
            <w:r>
              <w:rPr>
                <w:rFonts w:hint="eastAsia" w:cs="Times New Roman"/>
                <w:b/>
                <w:bCs/>
                <w:color w:val="000000" w:themeColor="text1"/>
                <w:u w:val="single"/>
                <w:lang w:eastAsia="zh-CN"/>
                <w14:textFill>
                  <w14:solidFill>
                    <w14:schemeClr w14:val="tx1"/>
                  </w14:solidFill>
                </w14:textFill>
              </w:rPr>
              <w:t>经对照《小冀镇土地利用总体规划图（</w:t>
            </w:r>
            <w:r>
              <w:rPr>
                <w:rFonts w:hint="eastAsia" w:cs="Times New Roman"/>
                <w:b/>
                <w:bCs/>
                <w:color w:val="000000" w:themeColor="text1"/>
                <w:u w:val="single"/>
                <w:lang w:val="en-US" w:eastAsia="zh-CN"/>
                <w14:textFill>
                  <w14:solidFill>
                    <w14:schemeClr w14:val="tx1"/>
                  </w14:solidFill>
                </w14:textFill>
              </w:rPr>
              <w:t>2010-2020</w:t>
            </w:r>
            <w:r>
              <w:rPr>
                <w:rFonts w:hint="eastAsia" w:cs="Times New Roman"/>
                <w:b/>
                <w:bCs/>
                <w:color w:val="000000" w:themeColor="text1"/>
                <w:u w:val="single"/>
                <w:lang w:eastAsia="zh-CN"/>
                <w14:textFill>
                  <w14:solidFill>
                    <w14:schemeClr w14:val="tx1"/>
                  </w14:solidFill>
                </w14:textFill>
              </w:rPr>
              <w:t>）》（附图五），</w:t>
            </w:r>
            <w:r>
              <w:rPr>
                <w:rFonts w:hint="eastAsia" w:cs="Times New Roman"/>
                <w:color w:val="000000" w:themeColor="text1"/>
                <w:lang w:eastAsia="zh-CN"/>
                <w14:textFill>
                  <w14:solidFill>
                    <w14:schemeClr w14:val="tx1"/>
                  </w14:solidFill>
                </w14:textFill>
              </w:rPr>
              <w:t>项目用地属于现状建设用地，</w:t>
            </w:r>
            <w:r>
              <w:rPr>
                <w:rFonts w:hint="default" w:ascii="Times New Roman" w:hAnsi="Times New Roman" w:cs="Times New Roman"/>
                <w:color w:val="000000" w:themeColor="text1"/>
                <w:lang w:eastAsia="zh-CN"/>
                <w14:textFill>
                  <w14:solidFill>
                    <w14:schemeClr w14:val="tx1"/>
                  </w14:solidFill>
                </w14:textFill>
              </w:rPr>
              <w:t>项目建设符合当地总体发展规划、土地利用规划和产业发展规划要求，且项目占地面积较小，不会突破区域土地资源利用上线</w:t>
            </w:r>
            <w:r>
              <w:rPr>
                <w:rFonts w:hint="default" w:ascii="Times New Roman" w:hAnsi="Times New Roman" w:cs="Times New Roman"/>
                <w:color w:val="000000" w:themeColor="text1"/>
                <w:lang w:val="en-US" w:eastAsia="zh-CN"/>
                <w14:textFill>
                  <w14:solidFill>
                    <w14:schemeClr w14:val="tx1"/>
                  </w14:solidFill>
                </w14:textFill>
              </w:rPr>
              <w:t>。</w:t>
            </w:r>
          </w:p>
          <w:p>
            <w:pPr>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水资源：本项目建成后用水量</w:t>
            </w:r>
            <w:r>
              <w:rPr>
                <w:rFonts w:hint="default" w:ascii="Times New Roman" w:hAnsi="Times New Roman" w:cs="Times New Roman"/>
                <w:color w:val="000000" w:themeColor="text1"/>
                <w:highlight w:val="none"/>
                <w:lang w:eastAsia="zh-CN"/>
                <w14:textFill>
                  <w14:solidFill>
                    <w14:schemeClr w14:val="tx1"/>
                  </w14:solidFill>
                </w14:textFill>
              </w:rPr>
              <w:t>主要为生活用水和生产用水，</w:t>
            </w:r>
            <w:r>
              <w:rPr>
                <w:rFonts w:hint="eastAsia" w:cs="Times New Roman"/>
                <w:color w:val="000000" w:themeColor="text1"/>
                <w:highlight w:val="none"/>
                <w:lang w:eastAsia="zh-CN"/>
                <w14:textFill>
                  <w14:solidFill>
                    <w14:schemeClr w14:val="tx1"/>
                  </w14:solidFill>
                </w14:textFill>
              </w:rPr>
              <w:t>新增</w:t>
            </w:r>
            <w:r>
              <w:rPr>
                <w:rFonts w:hint="default" w:ascii="Times New Roman" w:hAnsi="Times New Roman" w:cs="Times New Roman"/>
                <w:color w:val="000000" w:themeColor="text1"/>
                <w:highlight w:val="none"/>
                <w:lang w:eastAsia="zh-CN"/>
                <w14:textFill>
                  <w14:solidFill>
                    <w14:schemeClr w14:val="tx1"/>
                  </w14:solidFill>
                </w14:textFill>
              </w:rPr>
              <w:t>用水量</w:t>
            </w:r>
            <w:r>
              <w:rPr>
                <w:rFonts w:hint="default" w:ascii="Times New Roman" w:hAnsi="Times New Roman" w:cs="Times New Roman"/>
                <w:color w:val="000000" w:themeColor="text1"/>
                <w:highlight w:val="none"/>
                <w14:textFill>
                  <w14:solidFill>
                    <w14:schemeClr w14:val="tx1"/>
                  </w14:solidFill>
                </w14:textFill>
              </w:rPr>
              <w:t>为</w:t>
            </w:r>
            <w:r>
              <w:rPr>
                <w:rFonts w:hint="eastAsia" w:cs="Times New Roman"/>
                <w:color w:val="000000" w:themeColor="text1"/>
                <w:highlight w:val="none"/>
                <w:lang w:val="en-US" w:eastAsia="zh-CN"/>
                <w14:textFill>
                  <w14:solidFill>
                    <w14:schemeClr w14:val="tx1"/>
                  </w14:solidFill>
                </w14:textFill>
              </w:rPr>
              <w:t>2.4659</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/d</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739.77</w:t>
            </w:r>
            <w:r>
              <w:rPr>
                <w:rFonts w:hint="default" w:ascii="Times New Roman" w:hAnsi="Times New Roman" w:cs="Times New Roman"/>
                <w:color w:val="000000" w:themeColor="text1"/>
                <w:highlight w:val="none"/>
                <w14:textFill>
                  <w14:solidFill>
                    <w14:schemeClr w14:val="tx1"/>
                  </w14:solidFill>
                </w14:textFill>
              </w:rPr>
              <w:t>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a</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eastAsia="zh-CN"/>
                <w14:textFill>
                  <w14:solidFill>
                    <w14:schemeClr w14:val="tx1"/>
                  </w14:solidFill>
                </w14:textFill>
              </w:rPr>
              <w:t>来源由小冀镇市政供水管网供给</w:t>
            </w:r>
            <w:r>
              <w:rPr>
                <w:rFonts w:hint="default" w:ascii="Times New Roman" w:hAnsi="Times New Roman" w:cs="Times New Roman"/>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lang w:eastAsia="zh-CN"/>
                <w14:textFill>
                  <w14:solidFill>
                    <w14:schemeClr w14:val="tx1"/>
                  </w14:solidFill>
                </w14:textFill>
              </w:rPr>
              <w:t>供应能力能够满足本项目的使用要求，不会</w:t>
            </w:r>
            <w:r>
              <w:rPr>
                <w:rFonts w:hint="default" w:ascii="Times New Roman" w:hAnsi="Times New Roman" w:cs="Times New Roman"/>
                <w:color w:val="000000" w:themeColor="text1"/>
                <w:lang w:eastAsia="zh-CN"/>
                <w14:textFill>
                  <w14:solidFill>
                    <w14:schemeClr w14:val="tx1"/>
                  </w14:solidFill>
                </w14:textFill>
              </w:rPr>
              <w:t>突破区域水资源利用上线。</w:t>
            </w:r>
          </w:p>
          <w:p>
            <w:p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能源资源：</w:t>
            </w:r>
            <w:r>
              <w:rPr>
                <w:rFonts w:hint="default" w:ascii="Times New Roman" w:hAnsi="Times New Roman" w:cs="Times New Roman"/>
                <w:color w:val="000000" w:themeColor="text1"/>
                <w:lang w:eastAsia="zh-CN"/>
                <w14:textFill>
                  <w14:solidFill>
                    <w14:schemeClr w14:val="tx1"/>
                  </w14:solidFill>
                </w14:textFill>
              </w:rPr>
              <w:t>本项目生产所用</w:t>
            </w:r>
            <w:r>
              <w:rPr>
                <w:rFonts w:hint="default" w:ascii="Times New Roman" w:hAnsi="Times New Roman" w:cs="Times New Roman"/>
                <w:color w:val="000000" w:themeColor="text1"/>
                <w14:textFill>
                  <w14:solidFill>
                    <w14:schemeClr w14:val="tx1"/>
                  </w14:solidFill>
                </w14:textFill>
              </w:rPr>
              <w:t>能源主要为电</w:t>
            </w:r>
            <w:r>
              <w:rPr>
                <w:rFonts w:hint="default" w:ascii="Times New Roman" w:hAnsi="Times New Roman" w:cs="Times New Roman"/>
                <w:color w:val="000000" w:themeColor="text1"/>
                <w:lang w:eastAsia="zh-CN"/>
                <w14:textFill>
                  <w14:solidFill>
                    <w14:schemeClr w14:val="tx1"/>
                  </w14:solidFill>
                </w14:textFill>
              </w:rPr>
              <w:t>和天然气，其中</w:t>
            </w:r>
            <w:r>
              <w:rPr>
                <w:rFonts w:hint="eastAsia" w:cs="Times New Roman"/>
                <w:color w:val="000000" w:themeColor="text1"/>
                <w:lang w:eastAsia="zh-CN"/>
                <w14:textFill>
                  <w14:solidFill>
                    <w14:schemeClr w14:val="tx1"/>
                  </w14:solidFill>
                </w14:textFill>
              </w:rPr>
              <w:t>新增</w:t>
            </w:r>
            <w:r>
              <w:rPr>
                <w:rFonts w:hint="default" w:ascii="Times New Roman" w:hAnsi="Times New Roman" w:cs="Times New Roman"/>
                <w:color w:val="000000" w:themeColor="text1"/>
                <w:lang w:eastAsia="zh-CN"/>
                <w14:textFill>
                  <w14:solidFill>
                    <w14:schemeClr w14:val="tx1"/>
                  </w14:solidFill>
                </w14:textFill>
              </w:rPr>
              <w:t>用电量约为</w:t>
            </w:r>
            <w:r>
              <w:rPr>
                <w:rFonts w:hint="eastAsia" w:cs="Times New Roman"/>
                <w:color w:val="000000" w:themeColor="text1"/>
                <w:lang w:val="en-US" w:eastAsia="zh-CN"/>
                <w14:textFill>
                  <w14:solidFill>
                    <w14:schemeClr w14:val="tx1"/>
                  </w14:solidFill>
                </w14:textFill>
              </w:rPr>
              <w:t>250</w:t>
            </w:r>
            <w:r>
              <w:rPr>
                <w:rFonts w:hint="default" w:ascii="Times New Roman" w:hAnsi="Times New Roman" w:cs="Times New Roman"/>
                <w:color w:val="000000" w:themeColor="text1"/>
                <w:lang w:val="en-US" w:eastAsia="zh-CN"/>
                <w14:textFill>
                  <w14:solidFill>
                    <w14:schemeClr w14:val="tx1"/>
                  </w14:solidFill>
                </w14:textFill>
              </w:rPr>
              <w:t>万kW‧h</w:t>
            </w:r>
            <w:r>
              <w:rPr>
                <w:rFonts w:hint="default" w:ascii="Times New Roman" w:hAnsi="Times New Roman" w:cs="Times New Roman"/>
                <w:color w:val="000000" w:themeColor="text1"/>
                <w:lang w:eastAsia="zh-CN"/>
                <w14:textFill>
                  <w14:solidFill>
                    <w14:schemeClr w14:val="tx1"/>
                  </w14:solidFill>
                </w14:textFill>
              </w:rPr>
              <w:t>，来源由新乡县小冀镇市政</w:t>
            </w:r>
            <w:r>
              <w:rPr>
                <w:rFonts w:hint="default" w:ascii="Times New Roman" w:hAnsi="Times New Roman" w:cs="Times New Roman"/>
                <w:color w:val="000000" w:themeColor="text1"/>
                <w14:textFill>
                  <w14:solidFill>
                    <w14:schemeClr w14:val="tx1"/>
                  </w14:solidFill>
                </w14:textFill>
              </w:rPr>
              <w:t>供电</w:t>
            </w:r>
            <w:r>
              <w:rPr>
                <w:rFonts w:hint="default" w:ascii="Times New Roman" w:hAnsi="Times New Roman" w:cs="Times New Roman"/>
                <w:color w:val="000000" w:themeColor="text1"/>
                <w:lang w:eastAsia="zh-CN"/>
                <w14:textFill>
                  <w14:solidFill>
                    <w14:schemeClr w14:val="tx1"/>
                  </w14:solidFill>
                </w14:textFill>
              </w:rPr>
              <w:t>管网提供，天然气</w:t>
            </w:r>
            <w:r>
              <w:rPr>
                <w:rFonts w:hint="eastAsia" w:cs="Times New Roman"/>
                <w:color w:val="000000" w:themeColor="text1"/>
                <w:lang w:eastAsia="zh-CN"/>
                <w14:textFill>
                  <w14:solidFill>
                    <w14:schemeClr w14:val="tx1"/>
                  </w14:solidFill>
                </w14:textFill>
              </w:rPr>
              <w:t>新增</w:t>
            </w:r>
            <w:r>
              <w:rPr>
                <w:rFonts w:hint="default" w:ascii="Times New Roman" w:hAnsi="Times New Roman" w:cs="Times New Roman"/>
                <w:color w:val="000000" w:themeColor="text1"/>
                <w:lang w:eastAsia="zh-CN"/>
                <w14:textFill>
                  <w14:solidFill>
                    <w14:schemeClr w14:val="tx1"/>
                  </w14:solidFill>
                </w14:textFill>
              </w:rPr>
              <w:t>用量约为</w:t>
            </w:r>
            <w:r>
              <w:rPr>
                <w:rFonts w:hint="default" w:ascii="Times New Roman" w:hAnsi="Times New Roman" w:cs="Times New Roman"/>
                <w:color w:val="000000" w:themeColor="text1"/>
                <w:lang w:val="en-US" w:eastAsia="zh-CN"/>
                <w14:textFill>
                  <w14:solidFill>
                    <w14:schemeClr w14:val="tx1"/>
                  </w14:solidFill>
                </w14:textFill>
              </w:rPr>
              <w:t>108万m</w:t>
            </w:r>
            <w:r>
              <w:rPr>
                <w:rFonts w:hint="default" w:ascii="Times New Roman" w:hAnsi="Times New Roman" w:cs="Times New Roman"/>
                <w:color w:val="000000" w:themeColor="text1"/>
                <w:vertAlign w:val="superscript"/>
                <w:lang w:val="en-US"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/a</w:t>
            </w:r>
            <w:r>
              <w:rPr>
                <w:rFonts w:hint="default" w:ascii="Times New Roman" w:hAnsi="Times New Roman" w:cs="Times New Roman"/>
                <w:color w:val="000000" w:themeColor="text1"/>
                <w:lang w:eastAsia="zh-CN"/>
                <w14:textFill>
                  <w14:solidFill>
                    <w14:schemeClr w14:val="tx1"/>
                  </w14:solidFill>
                </w14:textFill>
              </w:rPr>
              <w:t>，来源由新乡县欣鹏燃气有限公司提供。</w:t>
            </w:r>
            <w:r>
              <w:rPr>
                <w:rFonts w:hint="default" w:ascii="Times New Roman" w:hAnsi="Times New Roman" w:cs="Times New Roman"/>
                <w:color w:val="000000" w:themeColor="text1"/>
                <w14:textFill>
                  <w14:solidFill>
                    <w14:schemeClr w14:val="tx1"/>
                  </w14:solidFill>
                </w14:textFill>
              </w:rPr>
              <w:t>项目建成运行后通过内部管理、设备选择、原辅材料的选用和管理、废物回收利用、污染治理等多方面采取合理可行的防治措施，以“节能、降耗、减污”为目标，有效地控制污染。</w:t>
            </w:r>
          </w:p>
          <w:p>
            <w:pPr>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综上</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项目</w:t>
            </w:r>
            <w:r>
              <w:rPr>
                <w:rFonts w:hint="default" w:ascii="Times New Roman" w:hAnsi="Times New Roman" w:cs="Times New Roman"/>
                <w:color w:val="000000" w:themeColor="text1"/>
                <w14:textFill>
                  <w14:solidFill>
                    <w14:schemeClr w14:val="tx1"/>
                  </w14:solidFill>
                </w14:textFill>
              </w:rPr>
              <w:t>不会增加园区能源资源利用。项目的土地、水、能源等资源利用不会突破区域的资源利用上线。</w:t>
            </w:r>
          </w:p>
          <w:p>
            <w:pPr>
              <w:pStyle w:val="2"/>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lang w:eastAsia="zh-CN"/>
                <w14:textFill>
                  <w14:solidFill>
                    <w14:schemeClr w14:val="tx1"/>
                  </w14:solidFill>
                </w14:textFill>
              </w:rPr>
              <w:t>）生态环境准入清单</w:t>
            </w:r>
          </w:p>
          <w:p>
            <w:pPr>
              <w:pStyle w:val="2"/>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fldChar w:fldCharType="begin"/>
            </w:r>
            <w:r>
              <w:rPr>
                <w:rFonts w:hint="default" w:ascii="Times New Roman" w:hAnsi="Times New Roman" w:cs="Times New Roman"/>
                <w:color w:val="000000" w:themeColor="text1"/>
                <w:lang w:eastAsia="zh-CN"/>
                <w14:textFill>
                  <w14:solidFill>
                    <w14:schemeClr w14:val="tx1"/>
                  </w14:solidFill>
                </w14:textFill>
              </w:rPr>
              <w:instrText xml:space="preserve"> = 1 \* GB3 \* MERGEFORMAT </w:instrText>
            </w:r>
            <w:r>
              <w:rPr>
                <w:rFonts w:hint="default" w:ascii="Times New Roman" w:hAnsi="Times New Roman" w:cs="Times New Roman"/>
                <w:color w:val="000000" w:themeColor="text1"/>
                <w:lang w:eastAsia="zh-CN"/>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①</w:t>
            </w:r>
            <w:r>
              <w:rPr>
                <w:rFonts w:hint="default" w:ascii="Times New Roman" w:hAnsi="Times New Roman" w:cs="Times New Roman"/>
                <w:color w:val="000000" w:themeColor="text1"/>
                <w:lang w:eastAsia="zh-CN"/>
                <w14:textFill>
                  <w14:solidFill>
                    <w14:schemeClr w14:val="tx1"/>
                  </w14:solidFill>
                </w14:textFill>
              </w:rPr>
              <w:fldChar w:fldCharType="end"/>
            </w:r>
            <w:r>
              <w:rPr>
                <w:rFonts w:hint="default" w:ascii="Times New Roman" w:hAnsi="Times New Roman" w:cs="Times New Roman"/>
                <w:color w:val="000000" w:themeColor="text1"/>
                <w:lang w:eastAsia="zh-CN"/>
                <w14:textFill>
                  <w14:solidFill>
                    <w14:schemeClr w14:val="tx1"/>
                  </w14:solidFill>
                </w14:textFill>
              </w:rPr>
              <w:t>与《河南省生态环境分区管控总体要求（试行）》对照情况</w:t>
            </w:r>
          </w:p>
          <w:p>
            <w:pPr>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根据河南省生态环境厅关于发布《河南省生态环境分区管控总体要求（试行）》的函（豫环函〔2021〕171号），本项目与《河南省生态环境分区管控总体要求（试行）》对照情况如下：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与《河南省生态环境分区管控总体要求（试行）》对照情况</w:t>
            </w:r>
          </w:p>
          <w:tbl>
            <w:tblPr>
              <w:tblStyle w:val="21"/>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22"/>
              <w:gridCol w:w="485"/>
              <w:gridCol w:w="3540"/>
              <w:gridCol w:w="224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000" w:type="pct"/>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b/>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b/>
                      <w:color w:val="000000" w:themeColor="text1"/>
                      <w:sz w:val="18"/>
                      <w:szCs w:val="18"/>
                      <w:highlight w:val="none"/>
                      <w:lang w:val="en-US" w:eastAsia="zh-CN"/>
                      <w14:textFill>
                        <w14:solidFill>
                          <w14:schemeClr w14:val="tx1"/>
                        </w14:solidFill>
                      </w14:textFill>
                    </w:rPr>
                    <w:t>1、</w:t>
                  </w:r>
                  <w:r>
                    <w:rPr>
                      <w:rFonts w:hint="default" w:ascii="Times New Roman" w:hAnsi="Times New Roman" w:eastAsia="宋体" w:cs="Times New Roman"/>
                      <w:b/>
                      <w:color w:val="000000" w:themeColor="text1"/>
                      <w:sz w:val="18"/>
                      <w:szCs w:val="18"/>
                      <w:highlight w:val="none"/>
                      <w:lang w:val="en-US" w:eastAsia="zh-CN"/>
                      <w14:textFill>
                        <w14:solidFill>
                          <w14:schemeClr w14:val="tx1"/>
                        </w14:solidFill>
                      </w14:textFill>
                    </w:rPr>
                    <w:t>河南省产业发展总体准入要求</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产业发展</w:t>
                  </w:r>
                </w:p>
              </w:tc>
              <w:tc>
                <w:tcPr>
                  <w:tcW w:w="2965"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准入要求</w:t>
                  </w:r>
                </w:p>
              </w:tc>
              <w:tc>
                <w:tcPr>
                  <w:tcW w:w="164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val="0"/>
                      <w:bCs/>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lang w:val="en-US" w:eastAsia="zh-CN"/>
                      <w14:textFill>
                        <w14:solidFill>
                          <w14:schemeClr w14:val="tx1"/>
                        </w14:solidFill>
                      </w14:textFill>
                    </w:rPr>
                    <w:t>本项目情况</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通用</w:t>
                  </w:r>
                </w:p>
              </w:tc>
              <w:tc>
                <w:tcPr>
                  <w:tcW w:w="2965" w:type="pct"/>
                  <w:gridSpan w:val="2"/>
                  <w:tcBorders>
                    <w:tl2br w:val="nil"/>
                    <w:tr2bl w:val="nil"/>
                  </w:tcBorders>
                  <w:noWrap w:val="0"/>
                  <w:vAlign w:val="center"/>
                </w:tcPr>
                <w:p>
                  <w:pPr>
                    <w:pStyle w:val="54"/>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不断促</w:t>
                  </w:r>
                  <w:r>
                    <w:rPr>
                      <w:rFonts w:hint="default" w:ascii="Times New Roman" w:hAnsi="Times New Roman" w:eastAsia="宋体" w:cs="Times New Roman"/>
                      <w:color w:val="000000" w:themeColor="text1"/>
                      <w:sz w:val="18"/>
                      <w:szCs w:val="18"/>
                      <w:highlight w:val="none"/>
                      <w14:textFill>
                        <w14:solidFill>
                          <w14:schemeClr w14:val="tx1"/>
                        </w14:solidFill>
                      </w14:textFill>
                    </w:rPr>
                    <w:t>进全省产业高质量发展。培育壮大人工智能及新能源等新兴产业；持续巩固提升装备、食品、新型材料、汽车、电子信息等五大制造业主导产业优势地位；做好产业链、创新链、供应链、价值链、制度链“五链”耦合，把新基建、新技术、新材料、新装备、新产品、新业态作为高质量发展的主攻方向。</w:t>
                  </w:r>
                </w:p>
                <w:p>
                  <w:pPr>
                    <w:pStyle w:val="54"/>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18"/>
                      <w:szCs w:val="18"/>
                      <w:highlight w:val="none"/>
                      <w14:textFill>
                        <w14:solidFill>
                          <w14:schemeClr w14:val="tx1"/>
                        </w14:solidFill>
                      </w14:textFill>
                    </w:rPr>
                    <w:t>禁止新</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改</w:t>
                  </w:r>
                  <w:r>
                    <w:rPr>
                      <w:rFonts w:hint="default" w:ascii="Times New Roman" w:hAnsi="Times New Roman" w:eastAsia="宋体" w:cs="Times New Roman"/>
                      <w:color w:val="000000" w:themeColor="text1"/>
                      <w:sz w:val="18"/>
                      <w:szCs w:val="18"/>
                      <w:highlight w:val="none"/>
                      <w14:textFill>
                        <w14:solidFill>
                          <w14:schemeClr w14:val="tx1"/>
                        </w14:solidFill>
                      </w14:textFill>
                    </w:rPr>
                    <w:t>扩建《产业结构调整指导目录（2019年本）》明确的淘汰类项目</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禁止引入《市场准入负面清单（20</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sz w:val="18"/>
                      <w:szCs w:val="18"/>
                      <w:highlight w:val="none"/>
                      <w14:textFill>
                        <w14:solidFill>
                          <w14:schemeClr w14:val="tx1"/>
                        </w14:solidFill>
                      </w14:textFill>
                    </w:rPr>
                    <w:t>年版）》禁止准入类事项。</w:t>
                  </w:r>
                </w:p>
                <w:p>
                  <w:pPr>
                    <w:pStyle w:val="54"/>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重点区域严禁新增</w:t>
                  </w:r>
                  <w:r>
                    <w:rPr>
                      <w:rFonts w:hint="default" w:ascii="Times New Roman" w:hAnsi="Times New Roman" w:eastAsia="宋体" w:cs="Times New Roman"/>
                      <w:color w:val="000000" w:themeColor="text1"/>
                      <w:sz w:val="18"/>
                      <w:szCs w:val="18"/>
                      <w:highlight w:val="none"/>
                      <w14:textFill>
                        <w14:solidFill>
                          <w14:schemeClr w14:val="tx1"/>
                        </w14:solidFill>
                      </w14:textFill>
                    </w:rPr>
                    <w:t>钢铁、</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焦化、</w:t>
                  </w:r>
                  <w:r>
                    <w:rPr>
                      <w:rFonts w:hint="default" w:ascii="Times New Roman" w:hAnsi="Times New Roman" w:eastAsia="宋体" w:cs="Times New Roman"/>
                      <w:color w:val="000000" w:themeColor="text1"/>
                      <w:sz w:val="18"/>
                      <w:szCs w:val="18"/>
                      <w:highlight w:val="none"/>
                      <w14:textFill>
                        <w14:solidFill>
                          <w14:schemeClr w14:val="tx1"/>
                        </w14:solidFill>
                      </w14:textFill>
                    </w:rPr>
                    <w:t>水泥</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熟料</w:t>
                  </w:r>
                  <w:r>
                    <w:rPr>
                      <w:rFonts w:hint="default" w:ascii="Times New Roman" w:hAnsi="Times New Roman" w:eastAsia="宋体" w:cs="Times New Roman"/>
                      <w:color w:val="000000" w:themeColor="text1"/>
                      <w:sz w:val="18"/>
                      <w:szCs w:val="18"/>
                      <w:highlight w:val="none"/>
                      <w14:textFill>
                        <w14:solidFill>
                          <w14:schemeClr w14:val="tx1"/>
                        </w14:solidFill>
                      </w14:textFill>
                    </w:rPr>
                    <w:t>、平板玻璃、电解铝、</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氧化铝、</w:t>
                  </w:r>
                  <w:r>
                    <w:rPr>
                      <w:rFonts w:hint="default" w:ascii="Times New Roman" w:hAnsi="Times New Roman" w:eastAsia="宋体" w:cs="Times New Roman"/>
                      <w:color w:val="000000" w:themeColor="text1"/>
                      <w:sz w:val="18"/>
                      <w:szCs w:val="18"/>
                      <w:highlight w:val="none"/>
                      <w14:textFill>
                        <w14:solidFill>
                          <w14:schemeClr w14:val="tx1"/>
                        </w14:solidFill>
                      </w14:textFill>
                    </w:rPr>
                    <w:t>煤化工</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产能，严控新增炼油产能；</w:t>
                  </w:r>
                  <w:r>
                    <w:rPr>
                      <w:rFonts w:hint="default" w:ascii="Times New Roman" w:hAnsi="Times New Roman" w:eastAsia="宋体" w:cs="Times New Roman"/>
                      <w:color w:val="000000" w:themeColor="text1"/>
                      <w:sz w:val="18"/>
                      <w:szCs w:val="18"/>
                      <w:highlight w:val="none"/>
                      <w14:textFill>
                        <w14:solidFill>
                          <w14:schemeClr w14:val="tx1"/>
                        </w14:solidFill>
                      </w14:textFill>
                    </w:rPr>
                    <w:t>禁止建设生产和使用高VOCs含量的溶剂型涂料、油墨、胶粘剂等项目</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全面取缔露天和敞开式喷涂作业</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重点区域原则上禁止新建露天矿山建设项目。</w:t>
                  </w:r>
                </w:p>
                <w:p>
                  <w:pPr>
                    <w:pStyle w:val="54"/>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18"/>
                      <w:szCs w:val="18"/>
                      <w:highlight w:val="none"/>
                      <w14:textFill>
                        <w14:solidFill>
                          <w14:schemeClr w14:val="tx1"/>
                        </w14:solidFill>
                      </w14:textFill>
                    </w:rPr>
                    <w:t>严把“两高”项目生态环境准入关，严格限制“两高”项目盲目发展。新改扩建“两高”项目须符合生态环境保护法律法规和相关法定规划，符合产业政策、国土空间规划、“三线一单”、能耗“双控”、煤炭消费减量替代、碳排放</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强度</w:t>
                  </w:r>
                  <w:r>
                    <w:rPr>
                      <w:rFonts w:hint="default" w:ascii="Times New Roman" w:hAnsi="Times New Roman" w:eastAsia="宋体" w:cs="Times New Roman"/>
                      <w:color w:val="000000" w:themeColor="text1"/>
                      <w:sz w:val="18"/>
                      <w:szCs w:val="18"/>
                      <w:highlight w:val="none"/>
                      <w14:textFill>
                        <w14:solidFill>
                          <w14:schemeClr w14:val="tx1"/>
                        </w14:solidFill>
                      </w14:textFill>
                    </w:rPr>
                    <w:t>、污染物</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区域削减替代</w:t>
                  </w:r>
                  <w:r>
                    <w:rPr>
                      <w:rFonts w:hint="default" w:ascii="Times New Roman" w:hAnsi="Times New Roman" w:eastAsia="宋体" w:cs="Times New Roman"/>
                      <w:color w:val="000000" w:themeColor="text1"/>
                      <w:sz w:val="18"/>
                      <w:szCs w:val="18"/>
                      <w:highlight w:val="none"/>
                      <w14:textFill>
                        <w14:solidFill>
                          <w14:schemeClr w14:val="tx1"/>
                        </w14:solidFill>
                      </w14:textFill>
                    </w:rPr>
                    <w:t>等约束性要求</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按照《河南省淘汰落后产能综合标准体系（2020年本）》，严格执行能耗、环保、质量、安全、技术等法规标准。</w:t>
                  </w:r>
                </w:p>
              </w:tc>
              <w:tc>
                <w:tcPr>
                  <w:tcW w:w="1649" w:type="pct"/>
                  <w:tcBorders>
                    <w:tl2br w:val="nil"/>
                    <w:tr2bl w:val="nil"/>
                  </w:tcBorders>
                  <w:noWrap w:val="0"/>
                  <w:vAlign w:val="center"/>
                </w:tcPr>
                <w:p>
                  <w:pPr>
                    <w:pStyle w:val="54"/>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jc w:val="both"/>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1、项目属于</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C3311金属结构制造和C3393锻件及粉末冶金制品制造项目</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，不属于五大制造业主导产业。</w:t>
                  </w:r>
                </w:p>
                <w:p>
                  <w:pPr>
                    <w:pStyle w:val="54"/>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jc w:val="both"/>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2、项目不属于</w:t>
                  </w:r>
                  <w:r>
                    <w:rPr>
                      <w:rFonts w:hint="default" w:ascii="Times New Roman" w:hAnsi="Times New Roman" w:eastAsia="宋体" w:cs="Times New Roman"/>
                      <w:color w:val="000000" w:themeColor="text1"/>
                      <w:sz w:val="18"/>
                      <w:szCs w:val="18"/>
                      <w:highlight w:val="none"/>
                      <w14:textFill>
                        <w14:solidFill>
                          <w14:schemeClr w14:val="tx1"/>
                        </w14:solidFill>
                      </w14:textFill>
                    </w:rPr>
                    <w:t>《产业结构调整指导目录（2019年本）》明确的淘汰类项目</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，也不属于</w:t>
                  </w:r>
                  <w:r>
                    <w:rPr>
                      <w:rFonts w:hint="default" w:ascii="Times New Roman" w:hAnsi="Times New Roman" w:eastAsia="宋体" w:cs="Times New Roman"/>
                      <w:color w:val="000000" w:themeColor="text1"/>
                      <w:sz w:val="18"/>
                      <w:szCs w:val="18"/>
                      <w:highlight w:val="none"/>
                      <w14:textFill>
                        <w14:solidFill>
                          <w14:schemeClr w14:val="tx1"/>
                        </w14:solidFill>
                      </w14:textFill>
                    </w:rPr>
                    <w:t>《市场准入负面清单（20</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sz w:val="18"/>
                      <w:szCs w:val="18"/>
                      <w:highlight w:val="none"/>
                      <w14:textFill>
                        <w14:solidFill>
                          <w14:schemeClr w14:val="tx1"/>
                        </w14:solidFill>
                      </w14:textFill>
                    </w:rPr>
                    <w:t>年版）》</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禁止入驻项目；</w:t>
                  </w:r>
                </w:p>
                <w:p>
                  <w:pPr>
                    <w:pStyle w:val="54"/>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jc w:val="both"/>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3、项目不属于钢铁</w:t>
                  </w:r>
                  <w:r>
                    <w:rPr>
                      <w:rFonts w:hint="default" w:ascii="Times New Roman" w:hAnsi="Times New Roman" w:eastAsia="宋体" w:cs="Times New Roman"/>
                      <w:color w:val="000000" w:themeColor="text1"/>
                      <w:sz w:val="18"/>
                      <w:szCs w:val="18"/>
                      <w:highlight w:val="none"/>
                      <w14:textFill>
                        <w14:solidFill>
                          <w14:schemeClr w14:val="tx1"/>
                        </w14:solidFill>
                      </w14:textFill>
                    </w:rPr>
                    <w:t>、</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焦化、</w:t>
                  </w:r>
                  <w:r>
                    <w:rPr>
                      <w:rFonts w:hint="default" w:ascii="Times New Roman" w:hAnsi="Times New Roman" w:eastAsia="宋体" w:cs="Times New Roman"/>
                      <w:color w:val="000000" w:themeColor="text1"/>
                      <w:sz w:val="18"/>
                      <w:szCs w:val="18"/>
                      <w:highlight w:val="none"/>
                      <w14:textFill>
                        <w14:solidFill>
                          <w14:schemeClr w14:val="tx1"/>
                        </w14:solidFill>
                      </w14:textFill>
                    </w:rPr>
                    <w:t>水泥</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熟料</w:t>
                  </w:r>
                  <w:r>
                    <w:rPr>
                      <w:rFonts w:hint="default" w:ascii="Times New Roman" w:hAnsi="Times New Roman" w:eastAsia="宋体" w:cs="Times New Roman"/>
                      <w:color w:val="000000" w:themeColor="text1"/>
                      <w:sz w:val="18"/>
                      <w:szCs w:val="18"/>
                      <w:highlight w:val="none"/>
                      <w14:textFill>
                        <w14:solidFill>
                          <w14:schemeClr w14:val="tx1"/>
                        </w14:solidFill>
                      </w14:textFill>
                    </w:rPr>
                    <w:t>、平板玻璃、电解铝、</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氧化铝、</w:t>
                  </w:r>
                  <w:r>
                    <w:rPr>
                      <w:rFonts w:hint="default" w:ascii="Times New Roman" w:hAnsi="Times New Roman" w:eastAsia="宋体" w:cs="Times New Roman"/>
                      <w:color w:val="000000" w:themeColor="text1"/>
                      <w:sz w:val="18"/>
                      <w:szCs w:val="18"/>
                      <w:highlight w:val="none"/>
                      <w14:textFill>
                        <w14:solidFill>
                          <w14:schemeClr w14:val="tx1"/>
                        </w14:solidFill>
                      </w14:textFill>
                    </w:rPr>
                    <w:t>煤化工</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等行业，项目生产过程不涉及使用</w:t>
                  </w:r>
                  <w:r>
                    <w:rPr>
                      <w:rFonts w:hint="default" w:ascii="Times New Roman" w:hAnsi="Times New Roman" w:eastAsia="宋体" w:cs="Times New Roman"/>
                      <w:color w:val="000000" w:themeColor="text1"/>
                      <w:sz w:val="18"/>
                      <w:szCs w:val="18"/>
                      <w:highlight w:val="none"/>
                      <w14:textFill>
                        <w14:solidFill>
                          <w14:schemeClr w14:val="tx1"/>
                        </w14:solidFill>
                      </w14:textFill>
                    </w:rPr>
                    <w:t>高VOCs含量的溶剂型涂料、油墨、胶粘剂等</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，不含</w:t>
                  </w:r>
                  <w:r>
                    <w:rPr>
                      <w:rFonts w:hint="default" w:ascii="Times New Roman" w:hAnsi="Times New Roman" w:eastAsia="宋体" w:cs="Times New Roman"/>
                      <w:color w:val="000000" w:themeColor="text1"/>
                      <w:sz w:val="18"/>
                      <w:szCs w:val="18"/>
                      <w:highlight w:val="none"/>
                      <w14:textFill>
                        <w14:solidFill>
                          <w14:schemeClr w14:val="tx1"/>
                        </w14:solidFill>
                      </w14:textFill>
                    </w:rPr>
                    <w:t>喷涂作业</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p>
                <w:p>
                  <w:pPr>
                    <w:pStyle w:val="54"/>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jc w:val="both"/>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本项目属于</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C3311金属结构制造和C3393锻件及粉末冶金制品制造项目</w:t>
                  </w: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经对照《</w:t>
                  </w:r>
                  <w:r>
                    <w:rPr>
                      <w:rFonts w:hint="eastAsia" w:ascii="Times New Roman" w:hAnsi="Times New Roman" w:eastAsia="宋体" w:cs="Times New Roman"/>
                      <w:color w:val="000000" w:themeColor="text1"/>
                      <w:sz w:val="18"/>
                      <w:szCs w:val="18"/>
                      <w:highlight w:val="none"/>
                      <w:lang w:eastAsia="zh-CN"/>
                      <w14:textFill>
                        <w14:solidFill>
                          <w14:schemeClr w14:val="tx1"/>
                        </w14:solidFill>
                      </w14:textFill>
                    </w:rPr>
                    <w:t>关于印发河南省“两高”项目管理名录（</w:t>
                  </w: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2023年修订</w:t>
                  </w:r>
                  <w:r>
                    <w:rPr>
                      <w:rFonts w:hint="eastAsia" w:ascii="Times New Roman" w:hAnsi="Times New Roman" w:eastAsia="宋体" w:cs="Times New Roman"/>
                      <w:color w:val="000000" w:themeColor="text1"/>
                      <w:sz w:val="18"/>
                      <w:szCs w:val="18"/>
                      <w:highlight w:val="none"/>
                      <w:lang w:eastAsia="zh-CN"/>
                      <w14:textFill>
                        <w14:solidFill>
                          <w14:schemeClr w14:val="tx1"/>
                        </w14:solidFill>
                      </w14:textFill>
                    </w:rPr>
                    <w:t>）的通知</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eastAsia" w:ascii="Times New Roman" w:hAnsi="Times New Roman" w:eastAsia="宋体" w:cs="Times New Roman"/>
                      <w:color w:val="000000" w:themeColor="text1"/>
                      <w:sz w:val="18"/>
                      <w:szCs w:val="18"/>
                      <w:highlight w:val="none"/>
                      <w:lang w:eastAsia="zh-CN"/>
                      <w14:textFill>
                        <w14:solidFill>
                          <w14:schemeClr w14:val="tx1"/>
                        </w14:solidFill>
                      </w14:textFill>
                    </w:rPr>
                    <w:t>（豫发改环资（</w:t>
                  </w: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2023</w:t>
                  </w:r>
                  <w:r>
                    <w:rPr>
                      <w:rFonts w:hint="eastAsia"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38号</w:t>
                  </w:r>
                  <w:r>
                    <w:rPr>
                      <w:rFonts w:hint="eastAsia"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，本项目不属于“两高”类项目。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000" w:type="pct"/>
                  <w:gridSpan w:val="4"/>
                  <w:tcBorders>
                    <w:tl2br w:val="nil"/>
                    <w:tr2bl w:val="nil"/>
                  </w:tcBorders>
                  <w:noWrap w:val="0"/>
                  <w:vAlign w:val="center"/>
                </w:tcPr>
                <w:p>
                  <w:pPr>
                    <w:pStyle w:val="54"/>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jc w:val="both"/>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highlight w:val="none"/>
                      <w:lang w:val="en-US" w:eastAsia="zh-CN"/>
                      <w14:textFill>
                        <w14:solidFill>
                          <w14:schemeClr w14:val="tx1"/>
                        </w14:solidFill>
                      </w14:textFill>
                    </w:rPr>
                    <w:t>2、河南省生态空间总体准入要求</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分区</w:t>
                  </w:r>
                </w:p>
              </w:tc>
              <w:tc>
                <w:tcPr>
                  <w:tcW w:w="35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类别</w:t>
                  </w:r>
                </w:p>
              </w:tc>
              <w:tc>
                <w:tcPr>
                  <w:tcW w:w="260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lang w:eastAsia="zh-CN"/>
                      <w14:textFill>
                        <w14:solidFill>
                          <w14:schemeClr w14:val="tx1"/>
                        </w14:solidFill>
                      </w14:textFill>
                    </w:rPr>
                    <w:t>准入</w:t>
                  </w: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要求</w:t>
                  </w:r>
                </w:p>
              </w:tc>
              <w:tc>
                <w:tcPr>
                  <w:tcW w:w="164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b w:val="0"/>
                      <w:bCs/>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lang w:eastAsia="zh-CN"/>
                      <w14:textFill>
                        <w14:solidFill>
                          <w14:schemeClr w14:val="tx1"/>
                        </w14:solidFill>
                      </w14:textFill>
                    </w:rPr>
                    <w:t>本项目情况</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生态保护红线</w:t>
                  </w:r>
                </w:p>
              </w:tc>
              <w:tc>
                <w:tcPr>
                  <w:tcW w:w="35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总体要求</w:t>
                  </w:r>
                </w:p>
              </w:tc>
              <w:tc>
                <w:tcPr>
                  <w:tcW w:w="2607"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18"/>
                      <w:szCs w:val="18"/>
                      <w:highlight w:val="none"/>
                      <w14:textFill>
                        <w14:solidFill>
                          <w14:schemeClr w14:val="tx1"/>
                        </w14:solidFill>
                      </w14:textFill>
                    </w:rPr>
                    <w:t>除国家重大战略项目外，仅允许对生态功能不造成破坏的有限人为活动，主要包括：零星的原住民在不扩大现有建设用地和耕地规模前提下，修缮生产生活设施，保留生活必需的少量种植、放牧、捕捞、养殖；因国家重大能源资源安全需要开展的战略性能源资源勘查，公益性自然资源调查和地质勘查；自然资源、生态环境监测和执法包括水文水资源监测及涉水违法事件的查处等，灾害防治和应急抢险活动；经依法批准进行的非破坏性科学研究观测、标本采集；经依法批准的考古调查发掘和文物保护活动；不破坏生态功能的适度参观旅游和相关的必要公共设施建设；必须且无法避让、符合县级以上国土空间规划的线性基础设施建设、防洪和供水设施建设与运行维护；重要生态修复工程。</w:t>
                  </w:r>
                </w:p>
              </w:tc>
              <w:tc>
                <w:tcPr>
                  <w:tcW w:w="1649"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jc w:val="both"/>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本</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项目选址位于新乡市新乡县小冀镇青龙大道39号，不涉及使用耕地。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生态保护红线</w:t>
                  </w:r>
                </w:p>
              </w:tc>
              <w:tc>
                <w:tcPr>
                  <w:tcW w:w="35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自然保护区</w:t>
                  </w:r>
                </w:p>
              </w:tc>
              <w:tc>
                <w:tcPr>
                  <w:tcW w:w="2607"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18"/>
                      <w:szCs w:val="18"/>
                      <w:highlight w:val="none"/>
                      <w14:textFill>
                        <w14:solidFill>
                          <w14:schemeClr w14:val="tx1"/>
                        </w14:solidFill>
                      </w14:textFill>
                    </w:rPr>
                    <w:t>禁止在自然保护区内进行砍伐、放牧、狩猎、捕捞、采药、开垦、烧荒、开</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矿、采石、挖沙等活动，法律、行政法规另有规定的除外；禁止任何人进入自然保护区的核心区，因科学研究的需要，必须进入核心区从事科学研究观测、调查活动的，应当事先向自然保护区管理机构提交申请和活动计划，并经自然保护区管理机构批准，进入国家级自然保护区核心区的，应当经省、自治区、直辖市人民政府有关自然保护区行政主管部门批准；禁止在自然保护区的缓冲区开展旅游和生产经营活动；因教学科研的目的，需要进入自然保护区的缓冲区从事非破坏性的科学研究、教学实习和标本采集活动的，应当事先向自然保护区管理机构提交申请和活动计划，经自然保护区管理机构批准；严禁开设与自然保护区保护方向不一致的参观、旅游项目。</w:t>
                  </w:r>
                </w:p>
              </w:tc>
              <w:tc>
                <w:tcPr>
                  <w:tcW w:w="1649"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right="0" w:rightChars="0" w:firstLine="0" w:firstLineChars="0"/>
                    <w:textAlignment w:val="auto"/>
                    <w:rPr>
                      <w:rFonts w:hint="default" w:ascii="Times New Roman" w:hAnsi="Times New Roman" w:eastAsia="宋体"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项目选址位于</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新乡市新乡县小冀镇青龙大道39号</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根据现场勘查，项目在不相关自然保护区保护范围内。</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cyan"/>
                      <w14:textFill>
                        <w14:solidFill>
                          <w14:schemeClr w14:val="tx1"/>
                        </w14:solidFill>
                      </w14:textFill>
                    </w:rPr>
                  </w:pPr>
                </w:p>
              </w:tc>
              <w:tc>
                <w:tcPr>
                  <w:tcW w:w="35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风景名胜区</w:t>
                  </w:r>
                </w:p>
              </w:tc>
              <w:tc>
                <w:tcPr>
                  <w:tcW w:w="2607"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18"/>
                      <w:szCs w:val="18"/>
                      <w:highlight w:val="none"/>
                      <w14:textFill>
                        <w14:solidFill>
                          <w14:schemeClr w14:val="tx1"/>
                        </w14:solidFill>
                      </w14:textFill>
                    </w:rPr>
                    <w:t>禁止开山、采石、开矿、开荒、修坟立碑等破坏景观、植被和地形地貌的活动；禁止修建储存爆炸性、易燃性、放射性、毒害性、腐蚀性物品的设施；禁止在景物或者设施上刻划、涂污；禁止乱扔垃圾；</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禁止违反风景名胜区规划，在风景名胜区内设立各类开发区和在核心景区内建设宾馆、招待所、培训中心、疗养院以及与风景名胜资源保护无关的其他建筑物；已经建设的，应当按照风景名胜区规划，逐步迁出；</w:t>
                  </w:r>
                  <w:r>
                    <w:rPr>
                      <w:rFonts w:hint="default" w:ascii="Times New Roman" w:hAnsi="Times New Roman" w:eastAsia="宋体" w:cs="Times New Roman"/>
                      <w:color w:val="000000" w:themeColor="text1"/>
                      <w:sz w:val="18"/>
                      <w:szCs w:val="18"/>
                      <w:highlight w:val="none"/>
                      <w:u w:val="none"/>
                      <w14:textFill>
                        <w14:solidFill>
                          <w14:schemeClr w14:val="tx1"/>
                        </w14:solidFill>
                      </w14:textFill>
                    </w:rPr>
                    <w:t>风景名胜区内的建设项目应当符合风景名胜区规划，并与景观相协调，不得破坏景观、污染环境、妨碍游览</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p>
              </w:tc>
              <w:tc>
                <w:tcPr>
                  <w:tcW w:w="1649"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textAlignment w:val="auto"/>
                    <w:rPr>
                      <w:rFonts w:hint="default" w:ascii="Times New Roman" w:hAnsi="Times New Roman" w:eastAsia="宋体"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项目租赁位于新乡市新乡县小冀镇青龙大道39号现有厂房进行建设，根据现场勘查，项目不在相关风景名称保护区范围内。</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cyan"/>
                      <w14:textFill>
                        <w14:solidFill>
                          <w14:schemeClr w14:val="tx1"/>
                        </w14:solidFill>
                      </w14:textFill>
                    </w:rPr>
                  </w:pPr>
                </w:p>
              </w:tc>
              <w:tc>
                <w:tcPr>
                  <w:tcW w:w="35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饮用水水源保护区</w:t>
                  </w:r>
                </w:p>
              </w:tc>
              <w:tc>
                <w:tcPr>
                  <w:tcW w:w="2607"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18"/>
                      <w:szCs w:val="18"/>
                      <w:highlight w:val="none"/>
                      <w14:textFill>
                        <w14:solidFill>
                          <w14:schemeClr w14:val="tx1"/>
                        </w14:solidFill>
                      </w14:textFill>
                    </w:rPr>
                    <w:t>在饮用水水源保护区内，禁止设置排污口</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禁止在饮用水水源一级保护区内新改扩建与供水设施和保护水源无关的建设项目；已建成的与供水设施和保护水源无关的建设项目，由县级以上人民政府责令拆除或者关闭</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禁止在饮用水水源一级保护区内从事网箱养殖、旅游、游泳、垂钓或者其他可能污染饮用水水体的活动。</w:t>
                  </w:r>
                </w:p>
              </w:tc>
              <w:tc>
                <w:tcPr>
                  <w:tcW w:w="1649"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textAlignment w:val="auto"/>
                    <w:rPr>
                      <w:rFonts w:hint="default" w:ascii="Times New Roman" w:hAnsi="Times New Roman" w:eastAsia="宋体"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距离本项目最近的饮用水水源保护区为东北侧新乡县翟坡镇水厂地下水井群（共3眼井），项目选址距离其一级保护区边界距离约4.5km，不在其保护区范围内。</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cyan"/>
                      <w14:textFill>
                        <w14:solidFill>
                          <w14:schemeClr w14:val="tx1"/>
                        </w14:solidFill>
                      </w14:textFill>
                    </w:rPr>
                  </w:pPr>
                </w:p>
              </w:tc>
              <w:tc>
                <w:tcPr>
                  <w:tcW w:w="35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其它</w:t>
                  </w:r>
                </w:p>
              </w:tc>
              <w:tc>
                <w:tcPr>
                  <w:tcW w:w="2607"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11.</w:t>
                  </w:r>
                  <w:r>
                    <w:rPr>
                      <w:rFonts w:hint="default" w:ascii="Times New Roman" w:hAnsi="Times New Roman" w:eastAsia="宋体" w:cs="Times New Roman"/>
                      <w:color w:val="000000" w:themeColor="text1"/>
                      <w:sz w:val="18"/>
                      <w:szCs w:val="18"/>
                      <w:highlight w:val="none"/>
                      <w14:textFill>
                        <w14:solidFill>
                          <w14:schemeClr w14:val="tx1"/>
                        </w14:solidFill>
                      </w14:textFill>
                    </w:rPr>
                    <w:t>严格禁止在国家公园、自然保护区、风景名胜区、饮用水水源保护区规划布局新的煤矿项目，严格限制高硫高灰高砷煤项目开发。</w:t>
                  </w:r>
                </w:p>
              </w:tc>
              <w:tc>
                <w:tcPr>
                  <w:tcW w:w="1649"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根据现场勘查，项目选址不在</w:t>
                  </w:r>
                  <w:r>
                    <w:rPr>
                      <w:rFonts w:hint="default" w:ascii="Times New Roman" w:hAnsi="Times New Roman" w:eastAsia="宋体" w:cs="Times New Roman"/>
                      <w:color w:val="000000" w:themeColor="text1"/>
                      <w:sz w:val="18"/>
                      <w:szCs w:val="18"/>
                      <w:highlight w:val="none"/>
                      <w14:textFill>
                        <w14:solidFill>
                          <w14:schemeClr w14:val="tx1"/>
                        </w14:solidFill>
                      </w14:textFill>
                    </w:rPr>
                    <w:t>国家公园、自然保护区、风景名胜区、饮用水水源保护区</w:t>
                  </w:r>
                  <w:r>
                    <w:rPr>
                      <w:rFonts w:hint="default" w:ascii="Times New Roman" w:hAnsi="Times New Roman" w:cs="Times New Roman"/>
                      <w:color w:val="000000" w:themeColor="text1"/>
                      <w:sz w:val="18"/>
                      <w:szCs w:val="18"/>
                      <w:highlight w:val="none"/>
                      <w:lang w:eastAsia="zh-CN"/>
                      <w14:textFill>
                        <w14:solidFill>
                          <w14:schemeClr w14:val="tx1"/>
                        </w14:solidFill>
                      </w14:textFill>
                    </w:rPr>
                    <w:t>保护范围内。</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一般生态空间</w:t>
                  </w:r>
                </w:p>
              </w:tc>
              <w:tc>
                <w:tcPr>
                  <w:tcW w:w="35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饮用水水源保护区</w:t>
                  </w:r>
                </w:p>
              </w:tc>
              <w:tc>
                <w:tcPr>
                  <w:tcW w:w="2607"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25.</w:t>
                  </w:r>
                  <w:r>
                    <w:rPr>
                      <w:rFonts w:hint="default" w:ascii="Times New Roman" w:hAnsi="Times New Roman" w:eastAsia="宋体" w:cs="Times New Roman"/>
                      <w:color w:val="000000" w:themeColor="text1"/>
                      <w:sz w:val="18"/>
                      <w:szCs w:val="18"/>
                      <w:highlight w:val="none"/>
                      <w14:textFill>
                        <w14:solidFill>
                          <w14:schemeClr w14:val="tx1"/>
                        </w14:solidFill>
                      </w14:textFill>
                    </w:rPr>
                    <w:t>禁止在饮用水水源二级保护区内新改扩建排放污染物的建设项目；已建成的排放污染物的建设项目，由县级以上人民政府责令拆除或者关闭</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在饮用水水源二级保护区内从事网箱养殖、旅游等活动的，应当按照规定采取措施，防止污染饮用水水体</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禁止在饮用水水源准保护区内新建、扩建对水体污染严重的建设项目；改建建设项目，不得增加排污量。</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南水北调中线干渠二级保护区内</w:t>
                  </w:r>
                  <w:r>
                    <w:rPr>
                      <w:rFonts w:hint="default" w:ascii="Times New Roman" w:hAnsi="Times New Roman" w:eastAsia="宋体" w:cs="Times New Roman"/>
                      <w:color w:val="000000" w:themeColor="text1"/>
                      <w:sz w:val="18"/>
                      <w:szCs w:val="18"/>
                      <w:highlight w:val="none"/>
                      <w14:textFill>
                        <w14:solidFill>
                          <w14:schemeClr w14:val="tx1"/>
                        </w14:solidFill>
                      </w14:textFill>
                    </w:rPr>
                    <w:t>禁止新改扩建排放污染物的建设项目</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p>
              </w:tc>
              <w:tc>
                <w:tcPr>
                  <w:tcW w:w="1649"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textAlignment w:val="auto"/>
                    <w:rPr>
                      <w:rFonts w:hint="default" w:ascii="Times New Roman" w:hAnsi="Times New Roman" w:eastAsia="宋体"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距离本项目最近的饮用水水源保护区为东北侧新乡县翟坡镇水厂地下水井群（共3眼井），项目选址距离其一级保护区边界距离约4.5km，不在其保护区范围内；项目</w:t>
                  </w: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酸洗工序冲洗废水经自建污水处理设施（采用“隔油沉淀+调节+气浮+pH调节（调酸）+芬顿氧化+中和（调碱）+混凝沉淀+中和+水解酸化+MBR（微滤）+RO+高效蒸发器”工艺）处理，清水回用于清洗工序，浓水经高效蒸发后，残渣作为危险固废处理；生活污水经化粪池处理后，</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通过区域污水管网排入新乡县综合污水处理厂进一步处理</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，不会污染周围水体。</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p>
              </w:tc>
              <w:tc>
                <w:tcPr>
                  <w:tcW w:w="35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湿地</w:t>
                  </w:r>
                </w:p>
              </w:tc>
              <w:tc>
                <w:tcPr>
                  <w:tcW w:w="2607"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28.</w:t>
                  </w:r>
                  <w:r>
                    <w:rPr>
                      <w:rFonts w:hint="default" w:ascii="Times New Roman" w:hAnsi="Times New Roman" w:eastAsia="宋体" w:cs="Times New Roman"/>
                      <w:color w:val="000000" w:themeColor="text1"/>
                      <w:sz w:val="18"/>
                      <w:szCs w:val="18"/>
                      <w:highlight w:val="none"/>
                      <w14:textFill>
                        <w14:solidFill>
                          <w14:schemeClr w14:val="tx1"/>
                        </w14:solidFill>
                      </w14:textFill>
                    </w:rPr>
                    <w:t>在湿地保护范围内禁止下列行为：设立开发区、产业园区；围垦湿地、填埋湿地；擅自采砂、取土、采矿；擅自排放湿地水资源或者堵截湿地水系与外围水系的通道；非法砍伐林木、采集野生植物；投放有毒有害物质，倾倒废弃物或者排放不达标生活污水、工业废水；破坏野生动物繁殖区和栖息地、鱼类洄游通道，猎捕野生动物；擅自引进外来物种；破坏湿地保护设施；擅自建造建筑物、构筑物；其他破坏湿地资源的活动。</w:t>
                  </w:r>
                </w:p>
              </w:tc>
              <w:tc>
                <w:tcPr>
                  <w:tcW w:w="1649"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项目位于新乡市新乡县小冀镇青龙大道39号，根据现场勘查，项目选址不在湿地保护区范围内。</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000" w:type="pct"/>
                  <w:gridSpan w:val="4"/>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sz w:val="18"/>
                      <w:szCs w:val="18"/>
                      <w:highlight w:val="none"/>
                      <w:lang w:val="en-US" w:eastAsia="zh-CN"/>
                      <w14:textFill>
                        <w14:solidFill>
                          <w14:schemeClr w14:val="tx1"/>
                        </w14:solidFill>
                      </w14:textFill>
                    </w:rPr>
                    <w:t>河南省大气生态环境总体准入要求</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管控维度</w:t>
                  </w:r>
                </w:p>
              </w:tc>
              <w:tc>
                <w:tcPr>
                  <w:tcW w:w="2965"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lang w:eastAsia="zh-CN"/>
                      <w14:textFill>
                        <w14:solidFill>
                          <w14:schemeClr w14:val="tx1"/>
                        </w14:solidFill>
                      </w14:textFill>
                    </w:rPr>
                    <w:t>准入</w:t>
                  </w: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要求</w:t>
                  </w:r>
                </w:p>
              </w:tc>
              <w:tc>
                <w:tcPr>
                  <w:tcW w:w="164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b w:val="0"/>
                      <w:bCs/>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lang w:eastAsia="zh-CN"/>
                      <w14:textFill>
                        <w14:solidFill>
                          <w14:schemeClr w14:val="tx1"/>
                        </w14:solidFill>
                      </w14:textFill>
                    </w:rPr>
                    <w:t>本项目情况</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空间布局约束</w:t>
                  </w:r>
                </w:p>
              </w:tc>
              <w:tc>
                <w:tcPr>
                  <w:tcW w:w="2965" w:type="pct"/>
                  <w:gridSpan w:val="2"/>
                  <w:tcBorders>
                    <w:tl2br w:val="nil"/>
                    <w:tr2bl w:val="nil"/>
                  </w:tcBorders>
                  <w:noWrap w:val="0"/>
                  <w:vAlign w:val="center"/>
                </w:tcPr>
                <w:p>
                  <w:pPr>
                    <w:pStyle w:val="54"/>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18"/>
                      <w:szCs w:val="18"/>
                      <w:highlight w:val="none"/>
                      <w14:textFill>
                        <w14:solidFill>
                          <w14:schemeClr w14:val="tx1"/>
                        </w14:solidFill>
                      </w14:textFill>
                    </w:rPr>
                    <w:t>集中供暖区禁止新</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改</w:t>
                  </w:r>
                  <w:r>
                    <w:rPr>
                      <w:rFonts w:hint="default" w:ascii="Times New Roman" w:hAnsi="Times New Roman" w:eastAsia="宋体" w:cs="Times New Roman"/>
                      <w:color w:val="000000" w:themeColor="text1"/>
                      <w:sz w:val="18"/>
                      <w:szCs w:val="18"/>
                      <w:highlight w:val="none"/>
                      <w14:textFill>
                        <w14:solidFill>
                          <w14:schemeClr w14:val="tx1"/>
                        </w14:solidFill>
                      </w14:textFill>
                    </w:rPr>
                    <w:t>扩分散燃煤供热锅炉</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已建成的不能达标排放的燃煤供热锅炉，应当期限内拆除</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在保证电力、热力、天然气供应前提下，加快推进热电联产机组供热半径30公里范围内燃煤锅炉及落后燃煤小热电关停整合</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城市建成区生物质锅炉实施超低排放改造，燃气锅炉</w:t>
                  </w:r>
                  <w:r>
                    <w:rPr>
                      <w:rFonts w:hint="default" w:ascii="Times New Roman" w:hAnsi="Times New Roman" w:eastAsia="宋体" w:cs="Times New Roman"/>
                      <w:color w:val="000000" w:themeColor="text1"/>
                      <w:sz w:val="18"/>
                      <w:szCs w:val="18"/>
                      <w:highlight w:val="none"/>
                      <w:lang w:eastAsia="zh-Hans"/>
                      <w14:textFill>
                        <w14:solidFill>
                          <w14:schemeClr w14:val="tx1"/>
                        </w14:solidFill>
                      </w14:textFill>
                    </w:rPr>
                    <w:t>实施</w:t>
                  </w:r>
                  <w:r>
                    <w:rPr>
                      <w:rFonts w:hint="default" w:ascii="Times New Roman" w:hAnsi="Times New Roman" w:eastAsia="宋体" w:cs="Times New Roman"/>
                      <w:color w:val="000000" w:themeColor="text1"/>
                      <w:sz w:val="18"/>
                      <w:szCs w:val="18"/>
                      <w:highlight w:val="none"/>
                      <w14:textFill>
                        <w14:solidFill>
                          <w14:schemeClr w14:val="tx1"/>
                        </w14:solidFill>
                      </w14:textFill>
                    </w:rPr>
                    <w:t>低氮改造</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对不能稳定达标排放、改造升级无望的污染企业，依法依规停产限产、关停退出。</w:t>
                  </w:r>
                </w:p>
                <w:p>
                  <w:pPr>
                    <w:pStyle w:val="54"/>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18"/>
                      <w:szCs w:val="18"/>
                      <w:highlight w:val="none"/>
                      <w14:textFill>
                        <w14:solidFill>
                          <w14:schemeClr w14:val="tx1"/>
                        </w14:solidFill>
                      </w14:textFill>
                    </w:rPr>
                    <w:t>不符合城市建设规划、行业发展规划、生态环境功能定位的重点污染企业退出城市建成区</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城市建成区、人群密集区的重污染企业和危险化学品等环境风险大的企业搬迁改造、关停退出</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重点地区要严格限制石化、化工、包装印刷、工业涂装等高VOCs排放建设项目</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新建涉VOCs排放的工业企业要入园区</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实行区域内VOCs排放等量或倍量削减替代。</w:t>
                  </w:r>
                </w:p>
              </w:tc>
              <w:tc>
                <w:tcPr>
                  <w:tcW w:w="1649" w:type="pct"/>
                  <w:tcBorders>
                    <w:tl2br w:val="nil"/>
                    <w:tr2bl w:val="nil"/>
                  </w:tcBorders>
                  <w:noWrap w:val="0"/>
                  <w:vAlign w:val="center"/>
                </w:tcPr>
                <w:p>
                  <w:pPr>
                    <w:pStyle w:val="54"/>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jc w:val="both"/>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1、项目新增2台燃气式加热炉，所用燃料为天然气，不新建燃煤锅炉；</w:t>
                  </w:r>
                </w:p>
                <w:p>
                  <w:pPr>
                    <w:pStyle w:val="54"/>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jc w:val="both"/>
                    <w:textAlignment w:val="auto"/>
                    <w:rPr>
                      <w:rFonts w:hint="default" w:ascii="Times New Roman" w:hAnsi="Times New Roman" w:eastAsia="宋体"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2、项目</w:t>
                  </w: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属于</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C3311金属结构制造和C3393锻件及粉末冶金制品制造项目，选址位于新乡市新乡县小冀镇青龙大道39号，项目生产过程中不涉及VOCs废气排放。</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污染物排放</w:t>
                  </w:r>
                </w:p>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管控</w:t>
                  </w:r>
                </w:p>
              </w:tc>
              <w:tc>
                <w:tcPr>
                  <w:tcW w:w="2965" w:type="pct"/>
                  <w:gridSpan w:val="2"/>
                  <w:tcBorders>
                    <w:tl2br w:val="nil"/>
                    <w:tr2bl w:val="nil"/>
                  </w:tcBorders>
                  <w:noWrap w:val="0"/>
                  <w:vAlign w:val="center"/>
                </w:tcPr>
                <w:p>
                  <w:pPr>
                    <w:pStyle w:val="54"/>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18"/>
                      <w:szCs w:val="18"/>
                      <w:highlight w:val="none"/>
                      <w14:textFill>
                        <w14:solidFill>
                          <w14:schemeClr w14:val="tx1"/>
                        </w14:solidFill>
                      </w14:textFill>
                    </w:rPr>
                    <w:t>实施工业低碳行动</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推进钢铁、水泥、铝加工、</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平板</w:t>
                  </w:r>
                  <w:r>
                    <w:rPr>
                      <w:rFonts w:hint="default" w:ascii="Times New Roman" w:hAnsi="Times New Roman" w:eastAsia="宋体" w:cs="Times New Roman"/>
                      <w:color w:val="000000" w:themeColor="text1"/>
                      <w:sz w:val="18"/>
                      <w:szCs w:val="18"/>
                      <w:highlight w:val="none"/>
                      <w14:textFill>
                        <w14:solidFill>
                          <w14:schemeClr w14:val="tx1"/>
                        </w14:solidFill>
                      </w14:textFill>
                    </w:rPr>
                    <w:t>玻璃、煤化工、煤电</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、有色金属</w:t>
                  </w:r>
                  <w:r>
                    <w:rPr>
                      <w:rFonts w:hint="default" w:ascii="Times New Roman" w:hAnsi="Times New Roman" w:eastAsia="宋体" w:cs="Times New Roman"/>
                      <w:color w:val="000000" w:themeColor="text1"/>
                      <w:sz w:val="18"/>
                      <w:szCs w:val="18"/>
                      <w:highlight w:val="none"/>
                      <w14:textFill>
                        <w14:solidFill>
                          <w14:schemeClr w14:val="tx1"/>
                        </w14:solidFill>
                      </w14:textFill>
                    </w:rPr>
                    <w:t>等产业绿色、减量、提质发展，开展全流程清洁化、循环化、低碳化改造，加快建设绿色制造体系</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对具有一定规模、符合条件的钢铁企业实施超低排放改造</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煤化工企业全面完成VOCs治理</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水泥企业生产工序达到超低排放标准。</w:t>
                  </w:r>
                </w:p>
                <w:p>
                  <w:pPr>
                    <w:pStyle w:val="54"/>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lang w:val="en-US"/>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18"/>
                      <w:szCs w:val="18"/>
                      <w:highlight w:val="none"/>
                      <w14:textFill>
                        <w14:solidFill>
                          <w14:schemeClr w14:val="tx1"/>
                        </w14:solidFill>
                      </w14:textFill>
                    </w:rPr>
                    <w:t>重点行业二氧化硫、氮氧化物、颗粒物、VOCs全面执行大气污染物特别排放限值</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综合整治VOCs排放，新改扩建涉VOCs排放项目，应加强废气收集，安装高效治理设施</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对确有必要新建或改造升级的高端铸造建设项目，原则上应使用天然气或电力等清洁能源</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所有产生颗粒物或VOCs的工序应配备高效收集和处理装置</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县级以上建成区餐饮企业全部安装油烟净化设施并符合</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河</w:t>
                  </w:r>
                  <w:r>
                    <w:rPr>
                      <w:rFonts w:hint="default" w:ascii="Times New Roman" w:hAnsi="Times New Roman" w:eastAsia="宋体" w:cs="Times New Roman"/>
                      <w:color w:val="000000" w:themeColor="text1"/>
                      <w:sz w:val="18"/>
                      <w:szCs w:val="18"/>
                      <w:highlight w:val="none"/>
                      <w14:textFill>
                        <w14:solidFill>
                          <w14:schemeClr w14:val="tx1"/>
                        </w14:solidFill>
                      </w14:textFill>
                    </w:rPr>
                    <w:t>南省《餐饮业油烟污染物排放标准》</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DB41/1604-2018</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p>
                <w:p>
                  <w:pPr>
                    <w:pStyle w:val="54"/>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18"/>
                      <w:szCs w:val="18"/>
                      <w:highlight w:val="none"/>
                      <w14:textFill>
                        <w14:solidFill>
                          <w14:schemeClr w14:val="tx1"/>
                        </w14:solidFill>
                      </w14:textFill>
                    </w:rPr>
                    <w:t>强化项目环评及“三同时”管理，国家、省绩效分级重点行业的新改扩建项目达到B级以上要求。</w:t>
                  </w:r>
                </w:p>
              </w:tc>
              <w:tc>
                <w:tcPr>
                  <w:tcW w:w="1649" w:type="pct"/>
                  <w:tcBorders>
                    <w:tl2br w:val="nil"/>
                    <w:tr2bl w:val="nil"/>
                  </w:tcBorders>
                  <w:noWrap w:val="0"/>
                  <w:vAlign w:val="center"/>
                </w:tcPr>
                <w:p>
                  <w:pPr>
                    <w:pStyle w:val="54"/>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jc w:val="both"/>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3、项目不属于</w:t>
                  </w:r>
                  <w:r>
                    <w:rPr>
                      <w:rFonts w:hint="default" w:ascii="Times New Roman" w:hAnsi="Times New Roman" w:eastAsia="宋体" w:cs="Times New Roman"/>
                      <w:color w:val="000000" w:themeColor="text1"/>
                      <w:sz w:val="18"/>
                      <w:szCs w:val="18"/>
                      <w:highlight w:val="none"/>
                      <w14:textFill>
                        <w14:solidFill>
                          <w14:schemeClr w14:val="tx1"/>
                        </w14:solidFill>
                      </w14:textFill>
                    </w:rPr>
                    <w:t>钢铁、水泥、铝加工、</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平板</w:t>
                  </w:r>
                  <w:r>
                    <w:rPr>
                      <w:rFonts w:hint="default" w:ascii="Times New Roman" w:hAnsi="Times New Roman" w:eastAsia="宋体" w:cs="Times New Roman"/>
                      <w:color w:val="000000" w:themeColor="text1"/>
                      <w:sz w:val="18"/>
                      <w:szCs w:val="18"/>
                      <w:highlight w:val="none"/>
                      <w14:textFill>
                        <w14:solidFill>
                          <w14:schemeClr w14:val="tx1"/>
                        </w14:solidFill>
                      </w14:textFill>
                    </w:rPr>
                    <w:t>玻璃、煤化工、煤电</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、有色金属等行业。</w:t>
                  </w:r>
                </w:p>
                <w:p>
                  <w:pPr>
                    <w:pStyle w:val="54"/>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jc w:val="both"/>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4、本项目不属于重点行业，生产过程</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不涉及</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VOCs类废气排放</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p>
                <w:p>
                  <w:pPr>
                    <w:pStyle w:val="54"/>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jc w:val="both"/>
                    <w:textAlignment w:val="auto"/>
                    <w:rPr>
                      <w:rFonts w:hint="default" w:ascii="Times New Roman" w:hAnsi="Times New Roman" w:eastAsia="宋体"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经对照《</w:t>
                  </w:r>
                  <w:r>
                    <w:rPr>
                      <w:rFonts w:hint="eastAsia" w:ascii="Times New Roman" w:hAnsi="Times New Roman" w:eastAsia="宋体" w:cs="Times New Roman"/>
                      <w:color w:val="000000" w:themeColor="text1"/>
                      <w:sz w:val="18"/>
                      <w:szCs w:val="18"/>
                      <w:highlight w:val="none"/>
                      <w:lang w:eastAsia="zh-CN"/>
                      <w14:textFill>
                        <w14:solidFill>
                          <w14:schemeClr w14:val="tx1"/>
                        </w14:solidFill>
                      </w14:textFill>
                    </w:rPr>
                    <w:t>关于印发河南省“两高”项目管理名录（</w:t>
                  </w: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2023年修订</w:t>
                  </w:r>
                  <w:r>
                    <w:rPr>
                      <w:rFonts w:hint="eastAsia" w:ascii="Times New Roman" w:hAnsi="Times New Roman" w:eastAsia="宋体" w:cs="Times New Roman"/>
                      <w:color w:val="000000" w:themeColor="text1"/>
                      <w:sz w:val="18"/>
                      <w:szCs w:val="18"/>
                      <w:highlight w:val="none"/>
                      <w:lang w:eastAsia="zh-CN"/>
                      <w14:textFill>
                        <w14:solidFill>
                          <w14:schemeClr w14:val="tx1"/>
                        </w14:solidFill>
                      </w14:textFill>
                    </w:rPr>
                    <w:t>）的通知</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eastAsia" w:ascii="Times New Roman" w:hAnsi="Times New Roman" w:eastAsia="宋体" w:cs="Times New Roman"/>
                      <w:color w:val="000000" w:themeColor="text1"/>
                      <w:sz w:val="18"/>
                      <w:szCs w:val="18"/>
                      <w:highlight w:val="none"/>
                      <w:lang w:eastAsia="zh-CN"/>
                      <w14:textFill>
                        <w14:solidFill>
                          <w14:schemeClr w14:val="tx1"/>
                        </w14:solidFill>
                      </w14:textFill>
                    </w:rPr>
                    <w:t>（豫发改环资（</w:t>
                  </w: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2023</w:t>
                  </w:r>
                  <w:r>
                    <w:rPr>
                      <w:rFonts w:hint="eastAsia"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38号</w:t>
                  </w:r>
                  <w:r>
                    <w:rPr>
                      <w:rFonts w:hint="eastAsia"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，本项目不属于“两高”类项目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000" w:type="pct"/>
                  <w:gridSpan w:val="4"/>
                  <w:tcBorders>
                    <w:tl2br w:val="nil"/>
                    <w:tr2bl w:val="nil"/>
                  </w:tcBorders>
                  <w:noWrap w:val="0"/>
                  <w:vAlign w:val="center"/>
                </w:tcPr>
                <w:p>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黑体" w:cs="Times New Roman"/>
                      <w:b/>
                      <w:bCs/>
                      <w:color w:val="000000" w:themeColor="text1"/>
                      <w:sz w:val="18"/>
                      <w:szCs w:val="18"/>
                      <w:highlight w:val="none"/>
                      <w:lang w:val="en-US" w:eastAsia="zh-CN"/>
                      <w14:textFill>
                        <w14:solidFill>
                          <w14:schemeClr w14:val="tx1"/>
                        </w14:solidFill>
                      </w14:textFill>
                    </w:rPr>
                    <w:t>4、与河南省水生态环境总体准入要求</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管控维度</w:t>
                  </w:r>
                </w:p>
              </w:tc>
              <w:tc>
                <w:tcPr>
                  <w:tcW w:w="2965"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lang w:eastAsia="zh-CN"/>
                      <w14:textFill>
                        <w14:solidFill>
                          <w14:schemeClr w14:val="tx1"/>
                        </w14:solidFill>
                      </w14:textFill>
                    </w:rPr>
                    <w:t>准入</w:t>
                  </w: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控要求</w:t>
                  </w:r>
                </w:p>
              </w:tc>
              <w:tc>
                <w:tcPr>
                  <w:tcW w:w="164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val="0"/>
                      <w:bCs/>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lang w:eastAsia="zh-CN"/>
                      <w14:textFill>
                        <w14:solidFill>
                          <w14:schemeClr w14:val="tx1"/>
                        </w14:solidFill>
                      </w14:textFill>
                    </w:rPr>
                    <w:t>本项目情况</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空间布局约束</w:t>
                  </w:r>
                </w:p>
              </w:tc>
              <w:tc>
                <w:tcPr>
                  <w:tcW w:w="2965" w:type="pct"/>
                  <w:gridSpan w:val="2"/>
                  <w:tcBorders>
                    <w:tl2br w:val="nil"/>
                    <w:tr2bl w:val="nil"/>
                  </w:tcBorders>
                  <w:noWrap w:val="0"/>
                  <w:vAlign w:val="center"/>
                </w:tcPr>
                <w:p>
                  <w:pPr>
                    <w:keepNext w:val="0"/>
                    <w:keepLines w:val="0"/>
                    <w:pageBreakBefore w:val="0"/>
                    <w:widowControl w:val="0"/>
                    <w:numPr>
                      <w:ilvl w:val="0"/>
                      <w:numId w:val="5"/>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在属于水污染防治重点控制单元的区域内，不予审批耗水量大、废水排放量大的煤化工、化学原料药及生物发酵制药、制浆造纸、制革及毛皮鞣制、印染等行业单纯新建和单纯扩大产能的项目。</w:t>
                  </w:r>
                </w:p>
                <w:p>
                  <w:pPr>
                    <w:keepNext w:val="0"/>
                    <w:keepLines w:val="0"/>
                    <w:pageBreakBefore w:val="0"/>
                    <w:widowControl w:val="0"/>
                    <w:numPr>
                      <w:ilvl w:val="0"/>
                      <w:numId w:val="5"/>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在省辖黄河和淮河流域干流沿岸，严格控制石油化工、化学原料和化学制品制造、制浆造纸、医药制造、化学纤维制造、有色金属冶炼、纺织印染等项目环境风险，合理布局生产装置及危险化学品仓储等设施。</w:t>
                  </w:r>
                </w:p>
                <w:p>
                  <w:pPr>
                    <w:keepNext w:val="0"/>
                    <w:keepLines w:val="0"/>
                    <w:pageBreakBefore w:val="0"/>
                    <w:widowControl w:val="0"/>
                    <w:numPr>
                      <w:ilvl w:val="0"/>
                      <w:numId w:val="5"/>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城市建成区内现有的钢铁、有色金属、造纸、印染、原料药制造、化工等污染较重的企业，应有序搬迁改造或依法关闭。</w:t>
                  </w:r>
                </w:p>
              </w:tc>
              <w:tc>
                <w:tcPr>
                  <w:tcW w:w="1649"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项目选址位于新乡县小冀镇</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青龙大道39号</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，不属于</w:t>
                  </w:r>
                  <w:r>
                    <w:rPr>
                      <w:rFonts w:hint="default" w:ascii="Times New Roman" w:hAnsi="Times New Roman" w:eastAsia="宋体" w:cs="Times New Roman"/>
                      <w:color w:val="000000" w:themeColor="text1"/>
                      <w:sz w:val="18"/>
                      <w:szCs w:val="18"/>
                      <w:highlight w:val="none"/>
                      <w14:textFill>
                        <w14:solidFill>
                          <w14:schemeClr w14:val="tx1"/>
                        </w14:solidFill>
                      </w14:textFill>
                    </w:rPr>
                    <w:t>黄河流域干流沿岸</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，不属于</w:t>
                  </w:r>
                  <w:r>
                    <w:rPr>
                      <w:rFonts w:hint="default" w:ascii="Times New Roman" w:hAnsi="Times New Roman" w:eastAsia="宋体" w:cs="Times New Roman"/>
                      <w:color w:val="000000" w:themeColor="text1"/>
                      <w:sz w:val="18"/>
                      <w:szCs w:val="18"/>
                      <w:highlight w:val="none"/>
                      <w14:textFill>
                        <w14:solidFill>
                          <w14:schemeClr w14:val="tx1"/>
                        </w14:solidFill>
                      </w14:textFill>
                    </w:rPr>
                    <w:t>煤化工、化学原料药及生物发酵制药、制浆造纸、制革及毛皮鞣制、印染</w:t>
                  </w:r>
                  <w:r>
                    <w:rPr>
                      <w:rFonts w:hint="default" w:ascii="Times New Roman" w:hAnsi="Times New Roman" w:cs="Times New Roman"/>
                      <w:color w:val="000000" w:themeColor="text1"/>
                      <w:sz w:val="18"/>
                      <w:szCs w:val="18"/>
                      <w:highlight w:val="none"/>
                      <w:lang w:eastAsia="zh-CN"/>
                      <w14:textFill>
                        <w14:solidFill>
                          <w14:schemeClr w14:val="tx1"/>
                        </w14:solidFill>
                      </w14:textFill>
                    </w:rPr>
                    <w:t>等项目，不属于</w:t>
                  </w:r>
                  <w:r>
                    <w:rPr>
                      <w:rFonts w:hint="default" w:ascii="Times New Roman" w:hAnsi="Times New Roman" w:eastAsia="宋体" w:cs="Times New Roman"/>
                      <w:color w:val="000000" w:themeColor="text1"/>
                      <w:sz w:val="18"/>
                      <w:szCs w:val="18"/>
                      <w:highlight w:val="none"/>
                      <w14:textFill>
                        <w14:solidFill>
                          <w14:schemeClr w14:val="tx1"/>
                        </w14:solidFill>
                      </w14:textFill>
                    </w:rPr>
                    <w:t>石油化工、化学原料和化学制品制造、制浆造纸、医药制造、化学纤维制造、有色金属冶炼、纺织印染</w:t>
                  </w:r>
                  <w:r>
                    <w:rPr>
                      <w:rFonts w:hint="default" w:ascii="Times New Roman" w:hAnsi="Times New Roman" w:cs="Times New Roman"/>
                      <w:color w:val="000000" w:themeColor="text1"/>
                      <w:sz w:val="18"/>
                      <w:szCs w:val="18"/>
                      <w:highlight w:val="none"/>
                      <w:lang w:eastAsia="zh-CN"/>
                      <w14:textFill>
                        <w14:solidFill>
                          <w14:schemeClr w14:val="tx1"/>
                        </w14:solidFill>
                      </w14:textFill>
                    </w:rPr>
                    <w:t>等项目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污染物排放管控</w:t>
                  </w:r>
                </w:p>
              </w:tc>
              <w:tc>
                <w:tcPr>
                  <w:tcW w:w="2965" w:type="pct"/>
                  <w:gridSpan w:val="2"/>
                  <w:tcBorders>
                    <w:tl2br w:val="nil"/>
                    <w:tr2bl w:val="nil"/>
                  </w:tcBorders>
                  <w:noWrap w:val="0"/>
                  <w:vAlign w:val="center"/>
                </w:tcPr>
                <w:p>
                  <w:pPr>
                    <w:keepNext w:val="0"/>
                    <w:keepLines w:val="0"/>
                    <w:pageBreakBefore w:val="0"/>
                    <w:widowControl w:val="0"/>
                    <w:numPr>
                      <w:ilvl w:val="0"/>
                      <w:numId w:val="5"/>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新改扩建造纸、焦化、氮肥、农副食品加工、毛皮制革、印染、有色金属、原料药制造、电镀等重点水污染物排放行业建设项目实行主要污染物排放等量或减量置换。</w:t>
                  </w:r>
                </w:p>
              </w:tc>
              <w:tc>
                <w:tcPr>
                  <w:tcW w:w="1649"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项目不属于</w:t>
                  </w:r>
                  <w:r>
                    <w:rPr>
                      <w:rFonts w:hint="default" w:ascii="Times New Roman" w:hAnsi="Times New Roman" w:eastAsia="宋体" w:cs="Times New Roman"/>
                      <w:color w:val="000000" w:themeColor="text1"/>
                      <w:sz w:val="18"/>
                      <w:szCs w:val="18"/>
                      <w:highlight w:val="none"/>
                      <w14:textFill>
                        <w14:solidFill>
                          <w14:schemeClr w14:val="tx1"/>
                        </w14:solidFill>
                      </w14:textFill>
                    </w:rPr>
                    <w:t>造纸、焦化、氮肥、农副食品加工、毛皮制革、印染、有色金属、原料药制造、电镀等重点水污染物排放行业</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环境风险防控</w:t>
                  </w:r>
                </w:p>
              </w:tc>
              <w:tc>
                <w:tcPr>
                  <w:tcW w:w="2965" w:type="pct"/>
                  <w:gridSpan w:val="2"/>
                  <w:tcBorders>
                    <w:tl2br w:val="nil"/>
                    <w:tr2bl w:val="nil"/>
                  </w:tcBorders>
                  <w:noWrap w:val="0"/>
                  <w:vAlign w:val="center"/>
                </w:tcPr>
                <w:p>
                  <w:pPr>
                    <w:keepNext w:val="0"/>
                    <w:keepLines w:val="0"/>
                    <w:pageBreakBefore w:val="0"/>
                    <w:widowControl w:val="0"/>
                    <w:numPr>
                      <w:ilvl w:val="0"/>
                      <w:numId w:val="5"/>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严格限制并逐步淘汰、替代高风险化学品生产、使用（涉及高风险化学品生产、使用的行业包括石油加工、炼焦、化学原料及化学制品制造、医药制造、有色金属冶炼及压延加工、毛皮皮革、有色金属矿采选、铅蓄电池制造等）。</w:t>
                  </w:r>
                </w:p>
              </w:tc>
              <w:tc>
                <w:tcPr>
                  <w:tcW w:w="1649"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jc w:val="both"/>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项目</w:t>
                  </w:r>
                  <w:r>
                    <w:rPr>
                      <w:rFonts w:hint="eastAsia" w:cs="Times New Roman"/>
                      <w:color w:val="000000" w:themeColor="text1"/>
                      <w:sz w:val="18"/>
                      <w:szCs w:val="18"/>
                      <w:highlight w:val="none"/>
                      <w:lang w:eastAsia="zh-CN"/>
                      <w14:textFill>
                        <w14:solidFill>
                          <w14:schemeClr w14:val="tx1"/>
                        </w14:solidFill>
                      </w14:textFill>
                    </w:rPr>
                    <w:t>生产</w:t>
                  </w:r>
                  <w:r>
                    <w:rPr>
                      <w:rFonts w:hint="default" w:ascii="Times New Roman" w:hAnsi="Times New Roman" w:cs="Times New Roman"/>
                      <w:color w:val="000000" w:themeColor="text1"/>
                      <w:sz w:val="18"/>
                      <w:szCs w:val="18"/>
                      <w:highlight w:val="none"/>
                      <w:lang w:eastAsia="zh-CN"/>
                      <w14:textFill>
                        <w14:solidFill>
                          <w14:schemeClr w14:val="tx1"/>
                        </w14:solidFill>
                      </w14:textFill>
                    </w:rPr>
                    <w:t>过程中不涉及使用</w:t>
                  </w:r>
                  <w:r>
                    <w:rPr>
                      <w:rFonts w:hint="default" w:ascii="Times New Roman" w:hAnsi="Times New Roman" w:eastAsia="宋体" w:cs="Times New Roman"/>
                      <w:color w:val="000000" w:themeColor="text1"/>
                      <w:sz w:val="18"/>
                      <w:szCs w:val="18"/>
                      <w:highlight w:val="none"/>
                      <w14:textFill>
                        <w14:solidFill>
                          <w14:schemeClr w14:val="tx1"/>
                        </w14:solidFill>
                      </w14:textFill>
                    </w:rPr>
                    <w:t>高风险化学品生产、使用</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000" w:type="pct"/>
                  <w:gridSpan w:val="4"/>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cs="Times New Roman"/>
                      <w:b/>
                      <w:bCs/>
                      <w:color w:val="000000" w:themeColor="text1"/>
                      <w:sz w:val="18"/>
                      <w:szCs w:val="18"/>
                      <w:highlight w:val="none"/>
                      <w:lang w:val="en-US" w:eastAsia="zh-CN"/>
                      <w14:textFill>
                        <w14:solidFill>
                          <w14:schemeClr w14:val="tx1"/>
                        </w14:solidFill>
                      </w14:textFill>
                    </w:rPr>
                    <w:t>5、</w:t>
                  </w:r>
                  <w:r>
                    <w:rPr>
                      <w:rFonts w:hint="default" w:ascii="Times New Roman" w:hAnsi="Times New Roman" w:eastAsia="宋体" w:cs="Times New Roman"/>
                      <w:b/>
                      <w:bCs/>
                      <w:color w:val="000000" w:themeColor="text1"/>
                      <w:sz w:val="18"/>
                      <w:szCs w:val="18"/>
                      <w:highlight w:val="none"/>
                      <w14:textFill>
                        <w14:solidFill>
                          <w14:schemeClr w14:val="tx1"/>
                        </w14:solidFill>
                      </w14:textFill>
                    </w:rPr>
                    <w:t>与河南省土壤生态环境总体准入要求</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分区</w:t>
                  </w:r>
                </w:p>
              </w:tc>
              <w:tc>
                <w:tcPr>
                  <w:tcW w:w="2965"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lang w:eastAsia="zh-CN"/>
                      <w14:textFill>
                        <w14:solidFill>
                          <w14:schemeClr w14:val="tx1"/>
                        </w14:solidFill>
                      </w14:textFill>
                    </w:rPr>
                    <w:t>准入</w:t>
                  </w: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要求</w:t>
                  </w:r>
                </w:p>
              </w:tc>
              <w:tc>
                <w:tcPr>
                  <w:tcW w:w="164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b w:val="0"/>
                      <w:bCs/>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lang w:eastAsia="zh-CN"/>
                      <w14:textFill>
                        <w14:solidFill>
                          <w14:schemeClr w14:val="tx1"/>
                        </w14:solidFill>
                      </w14:textFill>
                    </w:rPr>
                    <w:t>本项目情况</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农</w:t>
                  </w:r>
                </w:p>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用</w:t>
                  </w:r>
                </w:p>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地</w:t>
                  </w:r>
                </w:p>
              </w:tc>
              <w:tc>
                <w:tcPr>
                  <w:tcW w:w="2965" w:type="pct"/>
                  <w:gridSpan w:val="2"/>
                  <w:tcBorders>
                    <w:tl2br w:val="nil"/>
                    <w:tr2bl w:val="nil"/>
                  </w:tcBorders>
                  <w:noWrap w:val="0"/>
                  <w:vAlign w:val="center"/>
                </w:tcPr>
                <w:p>
                  <w:pPr>
                    <w:keepNext w:val="0"/>
                    <w:keepLines w:val="0"/>
                    <w:pageBreakBefore w:val="0"/>
                    <w:widowControl w:val="0"/>
                    <w:numPr>
                      <w:ilvl w:val="0"/>
                      <w:numId w:val="6"/>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在永久基本农田集中区域，不得新建可能造成土壤污染的建设项目</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已经建成的，应当限期关闭拆除</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禁止向耕地及农田沟渠中排放有毒有害工业、生活废水和未经处理的养殖小区畜禽粪便；禁止占用耕地倾倒、堆放城乡生活垃圾、建筑垃圾、医疗垃圾、工业废料及废渣等废弃物</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禁止违反法律、法规的规定向农产品产地排放或者倾倒废水、废气、固体废物或者其他有毒有害物质。</w:t>
                  </w:r>
                </w:p>
                <w:p>
                  <w:pPr>
                    <w:keepNext w:val="0"/>
                    <w:keepLines w:val="0"/>
                    <w:pageBreakBefore w:val="0"/>
                    <w:widowControl w:val="0"/>
                    <w:numPr>
                      <w:ilvl w:val="0"/>
                      <w:numId w:val="6"/>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不得在优先保护类耕地集中区域新建有色金属冶炼、石油化工、化工、焦化、电镀、制革等行业企业以及可能造成耕地土壤污染的建设项目。</w:t>
                  </w:r>
                </w:p>
                <w:p>
                  <w:pPr>
                    <w:keepNext w:val="0"/>
                    <w:keepLines w:val="0"/>
                    <w:pageBreakBefore w:val="0"/>
                    <w:widowControl w:val="0"/>
                    <w:numPr>
                      <w:ilvl w:val="0"/>
                      <w:numId w:val="6"/>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对涉铅锌采选、冶炼等有色金属企业，加强在采选、运输、堆存等环节监管，严防因矿石遗洒、碾压导致的重金属污染情况发生。</w:t>
                  </w:r>
                </w:p>
                <w:p>
                  <w:pPr>
                    <w:keepNext w:val="0"/>
                    <w:keepLines w:val="0"/>
                    <w:pageBreakBefore w:val="0"/>
                    <w:widowControl w:val="0"/>
                    <w:numPr>
                      <w:ilvl w:val="0"/>
                      <w:numId w:val="6"/>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依法划定特定农产品禁止生产区域，严禁种植食用农产品</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在新乡市、济源示范区、安阳市、洛阳市、三门峡市等省辖市部分区域，以耕地重金属污染问题突出区域和铅、锌、黄金、铜等有色金属采选及冶炼集中区域为重点，严格执行镉、汞、砷、铅等重金属污染物排放标准，落实相关总量控制指标</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洛阳、三门峡、南阳、济源等矿产资源开发利用活动集中区域，实行重点重金属污染物特别排放限值。</w:t>
                  </w:r>
                </w:p>
              </w:tc>
              <w:tc>
                <w:tcPr>
                  <w:tcW w:w="1649" w:type="pct"/>
                  <w:tcBorders>
                    <w:tl2br w:val="nil"/>
                    <w:tr2bl w:val="nil"/>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320" w:lineRule="exact"/>
                    <w:ind w:left="0" w:right="0" w:rightChars="0" w:firstLine="0" w:firstLineChars="0"/>
                    <w:jc w:val="both"/>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项目选址位于</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新乡市新乡县小冀镇青龙大道39号</w:t>
                  </w:r>
                  <w:r>
                    <w:rPr>
                      <w:rFonts w:hint="default" w:ascii="Times New Roman" w:hAnsi="Times New Roman" w:cs="Times New Roman"/>
                      <w:color w:val="000000" w:themeColor="text1"/>
                      <w:sz w:val="18"/>
                      <w:szCs w:val="18"/>
                      <w:highlight w:val="none"/>
                      <w:lang w:eastAsia="zh-CN"/>
                      <w14:textFill>
                        <w14:solidFill>
                          <w14:schemeClr w14:val="tx1"/>
                        </w14:solidFill>
                      </w14:textFill>
                    </w:rPr>
                    <w:t>，对照《</w:t>
                  </w:r>
                  <w:r>
                    <w:rPr>
                      <w:rFonts w:hint="eastAsia" w:cs="Times New Roman"/>
                      <w:color w:val="000000" w:themeColor="text1"/>
                      <w:sz w:val="18"/>
                      <w:szCs w:val="18"/>
                      <w:highlight w:val="none"/>
                      <w:lang w:eastAsia="zh-CN"/>
                      <w14:textFill>
                        <w14:solidFill>
                          <w14:schemeClr w14:val="tx1"/>
                        </w14:solidFill>
                      </w14:textFill>
                    </w:rPr>
                    <w:t>河南省新乡县城乡总体规划（2012~2030）</w:t>
                  </w:r>
                  <w:r>
                    <w:rPr>
                      <w:rFonts w:hint="default" w:ascii="Times New Roman" w:hAnsi="Times New Roman" w:cs="Times New Roman"/>
                      <w:color w:val="000000" w:themeColor="text1"/>
                      <w:sz w:val="18"/>
                      <w:szCs w:val="18"/>
                      <w:highlight w:val="none"/>
                      <w:lang w:eastAsia="zh-CN"/>
                      <w14:textFill>
                        <w14:solidFill>
                          <w14:schemeClr w14:val="tx1"/>
                        </w14:solidFill>
                      </w14:textFill>
                    </w:rPr>
                    <w:t>》，项目选址用地性质属于二类工业用地，经对照《小冀镇土地利用总体规划图（2010-2020）》（附图五），项目用地属于现状建设用地，不属于农用地。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建设用地</w:t>
                  </w:r>
                </w:p>
              </w:tc>
              <w:tc>
                <w:tcPr>
                  <w:tcW w:w="2965" w:type="pct"/>
                  <w:gridSpan w:val="2"/>
                  <w:tcBorders>
                    <w:tl2br w:val="nil"/>
                    <w:tr2bl w:val="nil"/>
                  </w:tcBorders>
                  <w:noWrap w:val="0"/>
                  <w:vAlign w:val="center"/>
                </w:tcPr>
                <w:p>
                  <w:pPr>
                    <w:keepNext w:val="0"/>
                    <w:keepLines w:val="0"/>
                    <w:pageBreakBefore w:val="0"/>
                    <w:widowControl w:val="0"/>
                    <w:numPr>
                      <w:ilvl w:val="0"/>
                      <w:numId w:val="6"/>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严控新增重金属污染物排放量，在重有色金属矿（含伴生矿）采选业（铜、铅锌、镍钴、锡、锑和汞矿采选业等）、重有色金属冶炼业（铜、铅锌、镍钴、锡、锑和汞冶炼等）、铅蓄电池制造业、皮革及其制品业（皮革鞣制加工等）、化学原料及化学制品制造业（电石法聚氯乙烯行业、铬盐行业等）、电镀行业等重点行业实施重点重金属减量替代。</w:t>
                  </w:r>
                </w:p>
                <w:p>
                  <w:pPr>
                    <w:keepNext w:val="0"/>
                    <w:keepLines w:val="0"/>
                    <w:pageBreakBefore w:val="0"/>
                    <w:widowControl w:val="0"/>
                    <w:numPr>
                      <w:ilvl w:val="0"/>
                      <w:numId w:val="6"/>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污染地块未经治理与修复，或者经治理与修复但未达到相关规划用地土壤环境质量要求的，有关生态环境主管部门不予批准选址涉及该污染地块的建设项目</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环评</w:t>
                  </w:r>
                  <w:r>
                    <w:rPr>
                      <w:rFonts w:hint="default" w:ascii="Times New Roman" w:hAnsi="Times New Roman" w:eastAsia="宋体" w:cs="Times New Roman"/>
                      <w:color w:val="000000" w:themeColor="text1"/>
                      <w:sz w:val="18"/>
                      <w:szCs w:val="18"/>
                      <w:highlight w:val="none"/>
                      <w14:textFill>
                        <w14:solidFill>
                          <w14:schemeClr w14:val="tx1"/>
                        </w14:solidFill>
                      </w14:textFill>
                    </w:rPr>
                    <w:t>，自然资源部门不得核发建设工程规划许可证</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列入建设用地土壤污染风险管控和修复名录的地块，禁止开工建设任何与风险管控、修复无关的项目。</w:t>
                  </w:r>
                </w:p>
                <w:p>
                  <w:pPr>
                    <w:keepNext w:val="0"/>
                    <w:keepLines w:val="0"/>
                    <w:pageBreakBefore w:val="0"/>
                    <w:widowControl w:val="0"/>
                    <w:numPr>
                      <w:ilvl w:val="0"/>
                      <w:numId w:val="6"/>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对列入污染地块名录的地块，土地使用权人应当根据风险评估结果，并结合污染地块相关开发利用计划，有针对性地实施风险管控</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对暂不开发利用的污染地块，实施以防止污染扩散为目的的风险管控</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对拟开发利用为居住用地和商业、学校、医疗、养老机构等公共设施用地的污染地块，实施以安全利用为目的的风险管控</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对拟开发利用为居住用地和商业、学校、医疗、养老机构等公共设施用地的污染地块，经风险评估确认需要治理与修复的，土地使用权人应当开展治理与修复。</w:t>
                  </w:r>
                </w:p>
                <w:p>
                  <w:pPr>
                    <w:keepNext w:val="0"/>
                    <w:keepLines w:val="0"/>
                    <w:pageBreakBefore w:val="0"/>
                    <w:widowControl w:val="0"/>
                    <w:numPr>
                      <w:ilvl w:val="0"/>
                      <w:numId w:val="6"/>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对列入污染地块名录的地块及时移除或者清理污染源；采取污染隔离、阻断等措施，防止污染扩散</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开展土壤、地表水、地下水、空气环境监测</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发现污染扩散的，及时采取有效补救措施</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污染地块治理与修复期间应当采取有效措施防止对地块及其周边环境造成二次污染，治理与修复过程中产生的废水、废气和固体废物按照国家有关规定进行处理或者处置，并达到相关环境标准和要求。</w:t>
                  </w:r>
                </w:p>
                <w:p>
                  <w:pPr>
                    <w:keepNext w:val="0"/>
                    <w:keepLines w:val="0"/>
                    <w:pageBreakBefore w:val="0"/>
                    <w:widowControl w:val="0"/>
                    <w:numPr>
                      <w:ilvl w:val="0"/>
                      <w:numId w:val="6"/>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对列入疑似污染地块名单的地块，未经土壤污染状况调查确定为未污染地块的，不得进入用地程序。</w:t>
                  </w:r>
                </w:p>
                <w:p>
                  <w:pPr>
                    <w:keepNext w:val="0"/>
                    <w:keepLines w:val="0"/>
                    <w:pageBreakBefore w:val="0"/>
                    <w:widowControl w:val="0"/>
                    <w:numPr>
                      <w:ilvl w:val="0"/>
                      <w:numId w:val="6"/>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鼓励土壤污染重点监管单位向工业园区集聚发展。重点单位新改扩建项目用地应当符合国家或者地方有关建设用地土壤污染风险管控标准</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重点单位在隐患排查、监测等活动中发现工矿用地土壤和地下水存在污染迹象的，应当排查污染源，查明污染原因，采取措施防止新增污染</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重点单位拆除设施、设备或者建筑物、构筑物的，应当制定包括应急措施在内的土壤污染防治工作方案，报地方人民政府生态环境、工业和信息化主管部门备案并实施。</w:t>
                  </w:r>
                </w:p>
                <w:p>
                  <w:pPr>
                    <w:keepNext w:val="0"/>
                    <w:keepLines w:val="0"/>
                    <w:pageBreakBefore w:val="0"/>
                    <w:widowControl w:val="0"/>
                    <w:numPr>
                      <w:ilvl w:val="0"/>
                      <w:numId w:val="6"/>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严格规范生活垃圾处理设施运行管理，坚决查处渗滤液直排和超标排放行为，完善生活垃圾填埋场防扬散等措施。</w:t>
                  </w:r>
                </w:p>
                <w:p>
                  <w:pPr>
                    <w:keepNext w:val="0"/>
                    <w:keepLines w:val="0"/>
                    <w:pageBreakBefore w:val="0"/>
                    <w:widowControl w:val="0"/>
                    <w:numPr>
                      <w:ilvl w:val="0"/>
                      <w:numId w:val="6"/>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生产、使用、贮存、运输、回收、处置、排放有毒有害物质的单位和个人，应当采取有效措施，防止有毒有害物质渗漏、流失、扬散，避免土壤受到污染。</w:t>
                  </w:r>
                </w:p>
              </w:tc>
              <w:tc>
                <w:tcPr>
                  <w:tcW w:w="1649" w:type="pct"/>
                  <w:tcBorders>
                    <w:tl2br w:val="nil"/>
                    <w:tr2bl w:val="nil"/>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320" w:lineRule="exact"/>
                    <w:ind w:left="0" w:right="0" w:rightChars="0" w:firstLine="0" w:firstLineChars="0"/>
                    <w:jc w:val="both"/>
                    <w:textAlignment w:val="auto"/>
                    <w:rPr>
                      <w:rFonts w:hint="default" w:ascii="Times New Roman" w:hAnsi="Times New Roman" w:eastAsia="宋体" w:cs="Times New Roman"/>
                      <w:color w:val="000000" w:themeColor="text1"/>
                      <w:sz w:val="18"/>
                      <w:szCs w:val="18"/>
                      <w:highlight w:val="cya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5、本项目生产过程不涉及重金属污染物排放；</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br w:type="textWrapping"/>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6-9、</w:t>
                  </w:r>
                  <w:r>
                    <w:rPr>
                      <w:rFonts w:hint="default" w:ascii="Times New Roman" w:hAnsi="Times New Roman" w:cs="Times New Roman"/>
                      <w:color w:val="000000" w:themeColor="text1"/>
                      <w:sz w:val="18"/>
                      <w:szCs w:val="18"/>
                      <w:highlight w:val="none"/>
                      <w:lang w:eastAsia="zh-CN"/>
                      <w14:textFill>
                        <w14:solidFill>
                          <w14:schemeClr w14:val="tx1"/>
                        </w14:solidFill>
                      </w14:textFill>
                    </w:rPr>
                    <w:t>项目选址位于</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新乡市新乡县小冀镇青龙大道39号</w:t>
                  </w:r>
                  <w:r>
                    <w:rPr>
                      <w:rFonts w:hint="default" w:ascii="Times New Roman" w:hAnsi="Times New Roman" w:cs="Times New Roman"/>
                      <w:color w:val="000000" w:themeColor="text1"/>
                      <w:sz w:val="18"/>
                      <w:szCs w:val="18"/>
                      <w:highlight w:val="none"/>
                      <w:lang w:eastAsia="zh-CN"/>
                      <w14:textFill>
                        <w14:solidFill>
                          <w14:schemeClr w14:val="tx1"/>
                        </w14:solidFill>
                      </w14:textFill>
                    </w:rPr>
                    <w:t>，对照《</w:t>
                  </w:r>
                  <w:r>
                    <w:rPr>
                      <w:rFonts w:hint="eastAsia" w:cs="Times New Roman"/>
                      <w:color w:val="000000" w:themeColor="text1"/>
                      <w:sz w:val="18"/>
                      <w:szCs w:val="18"/>
                      <w:highlight w:val="none"/>
                      <w:lang w:eastAsia="zh-CN"/>
                      <w14:textFill>
                        <w14:solidFill>
                          <w14:schemeClr w14:val="tx1"/>
                        </w14:solidFill>
                      </w14:textFill>
                    </w:rPr>
                    <w:t>河南省新乡县城乡总体规划（2012~2030）</w:t>
                  </w:r>
                  <w:r>
                    <w:rPr>
                      <w:rFonts w:hint="default" w:ascii="Times New Roman" w:hAnsi="Times New Roman" w:cs="Times New Roman"/>
                      <w:color w:val="000000" w:themeColor="text1"/>
                      <w:sz w:val="18"/>
                      <w:szCs w:val="18"/>
                      <w:highlight w:val="none"/>
                      <w:lang w:eastAsia="zh-CN"/>
                      <w14:textFill>
                        <w14:solidFill>
                          <w14:schemeClr w14:val="tx1"/>
                        </w14:solidFill>
                      </w14:textFill>
                    </w:rPr>
                    <w:t>》，项目选址用地性质属于二类工业用地</w:t>
                  </w:r>
                  <w:r>
                    <w:rPr>
                      <w:rFonts w:hint="eastAsia" w:cs="Times New Roman"/>
                      <w:color w:val="000000" w:themeColor="text1"/>
                      <w:sz w:val="18"/>
                      <w:szCs w:val="18"/>
                      <w:highlight w:val="none"/>
                      <w:lang w:eastAsia="zh-CN"/>
                      <w14:textFill>
                        <w14:solidFill>
                          <w14:schemeClr w14:val="tx1"/>
                        </w14:solidFill>
                      </w14:textFill>
                    </w:rPr>
                    <w:t>，经对照《小冀镇土地利用总体规划图（2010-2020）》（附图五），项目用地属于现状建设用地，</w:t>
                  </w:r>
                  <w:r>
                    <w:rPr>
                      <w:rFonts w:hint="default" w:ascii="Times New Roman" w:hAnsi="Times New Roman" w:cs="Times New Roman"/>
                      <w:color w:val="000000" w:themeColor="text1"/>
                      <w:sz w:val="18"/>
                      <w:szCs w:val="18"/>
                      <w:highlight w:val="none"/>
                      <w:lang w:eastAsia="zh-CN"/>
                      <w14:textFill>
                        <w14:solidFill>
                          <w14:schemeClr w14:val="tx1"/>
                        </w14:solidFill>
                      </w14:textFill>
                    </w:rPr>
                    <w:t>。项目不涉及重金属排放，用地不属于污染地块。</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一般管控区</w:t>
                  </w:r>
                </w:p>
              </w:tc>
              <w:tc>
                <w:tcPr>
                  <w:tcW w:w="2965" w:type="pct"/>
                  <w:gridSpan w:val="2"/>
                  <w:tcBorders>
                    <w:tl2br w:val="nil"/>
                    <w:tr2bl w:val="nil"/>
                  </w:tcBorders>
                  <w:noWrap w:val="0"/>
                  <w:vAlign w:val="center"/>
                </w:tcPr>
                <w:p>
                  <w:pPr>
                    <w:keepNext w:val="0"/>
                    <w:keepLines w:val="0"/>
                    <w:pageBreakBefore w:val="0"/>
                    <w:widowControl w:val="0"/>
                    <w:numPr>
                      <w:ilvl w:val="0"/>
                      <w:numId w:val="6"/>
                    </w:numPr>
                    <w:kinsoku/>
                    <w:wordWrap/>
                    <w:overflowPunct/>
                    <w:topLinePunct w:val="0"/>
                    <w:autoSpaceDE/>
                    <w:autoSpaceDN/>
                    <w:bidi w:val="0"/>
                    <w:adjustRightInd/>
                    <w:snapToGrid/>
                    <w:spacing w:line="320" w:lineRule="exact"/>
                    <w:ind w:left="0" w:leftChars="0" w:right="0" w:rightChars="0" w:firstLine="0" w:firstLineChars="0"/>
                    <w:jc w:val="left"/>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禁止在基本农田集中区、居民区、学校、疗养和养老机构等敏感区域周边新建土壤污染风险行业企业。</w:t>
                  </w:r>
                </w:p>
                <w:p>
                  <w:pPr>
                    <w:keepNext w:val="0"/>
                    <w:keepLines w:val="0"/>
                    <w:pageBreakBefore w:val="0"/>
                    <w:widowControl w:val="0"/>
                    <w:numPr>
                      <w:ilvl w:val="0"/>
                      <w:numId w:val="6"/>
                    </w:numPr>
                    <w:kinsoku/>
                    <w:wordWrap/>
                    <w:overflowPunct/>
                    <w:topLinePunct w:val="0"/>
                    <w:autoSpaceDE/>
                    <w:autoSpaceDN/>
                    <w:bidi w:val="0"/>
                    <w:adjustRightInd/>
                    <w:snapToGrid/>
                    <w:spacing w:line="320" w:lineRule="exact"/>
                    <w:ind w:left="0" w:leftChars="0" w:right="0" w:rightChars="0" w:firstLine="0" w:firstLineChars="0"/>
                    <w:jc w:val="left"/>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加强未利用地开发管理，合理确定开发用途和开发强度，严格项目准入。</w:t>
                  </w:r>
                </w:p>
              </w:tc>
              <w:tc>
                <w:tcPr>
                  <w:tcW w:w="1649"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jc w:val="both"/>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项目位于</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新乡市新乡县小冀镇青龙大道39号</w:t>
                  </w:r>
                  <w:r>
                    <w:rPr>
                      <w:rFonts w:hint="default" w:ascii="Times New Roman" w:hAnsi="Times New Roman" w:cs="Times New Roman"/>
                      <w:color w:val="000000" w:themeColor="text1"/>
                      <w:sz w:val="18"/>
                      <w:szCs w:val="18"/>
                      <w:highlight w:val="none"/>
                      <w:lang w:eastAsia="zh-CN"/>
                      <w14:textFill>
                        <w14:solidFill>
                          <w14:schemeClr w14:val="tx1"/>
                        </w14:solidFill>
                      </w14:textFill>
                    </w:rPr>
                    <w:t>，根据现场勘查，周边不存在</w:t>
                  </w:r>
                  <w:r>
                    <w:rPr>
                      <w:rFonts w:hint="default" w:ascii="Times New Roman" w:hAnsi="Times New Roman" w:eastAsia="宋体" w:cs="Times New Roman"/>
                      <w:color w:val="000000" w:themeColor="text1"/>
                      <w:sz w:val="18"/>
                      <w:szCs w:val="18"/>
                      <w:highlight w:val="none"/>
                      <w14:textFill>
                        <w14:solidFill>
                          <w14:schemeClr w14:val="tx1"/>
                        </w14:solidFill>
                      </w14:textFill>
                    </w:rPr>
                    <w:t>基本农田集中区、居民区、学校、疗养和养老机构等敏感区域</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000" w:type="pct"/>
                  <w:gridSpan w:val="4"/>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jc w:val="left"/>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cs="Times New Roman"/>
                      <w:b/>
                      <w:bCs/>
                      <w:color w:val="000000" w:themeColor="text1"/>
                      <w:sz w:val="18"/>
                      <w:szCs w:val="18"/>
                      <w:highlight w:val="none"/>
                      <w:lang w:val="en-US" w:eastAsia="zh-CN"/>
                      <w14:textFill>
                        <w14:solidFill>
                          <w14:schemeClr w14:val="tx1"/>
                        </w14:solidFill>
                      </w14:textFill>
                    </w:rPr>
                    <w:t>6、</w:t>
                  </w:r>
                  <w:r>
                    <w:rPr>
                      <w:rFonts w:hint="default" w:ascii="Times New Roman" w:hAnsi="Times New Roman" w:eastAsia="宋体" w:cs="Times New Roman"/>
                      <w:b/>
                      <w:bCs/>
                      <w:color w:val="000000" w:themeColor="text1"/>
                      <w:sz w:val="18"/>
                      <w:szCs w:val="18"/>
                      <w:highlight w:val="none"/>
                      <w14:textFill>
                        <w14:solidFill>
                          <w14:schemeClr w14:val="tx1"/>
                        </w14:solidFill>
                      </w14:textFill>
                    </w:rPr>
                    <w:t>与河南省资源利用效率总体准入要求</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类型</w:t>
                  </w:r>
                </w:p>
              </w:tc>
              <w:tc>
                <w:tcPr>
                  <w:tcW w:w="2965"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lang w:eastAsia="zh-CN"/>
                      <w14:textFill>
                        <w14:solidFill>
                          <w14:schemeClr w14:val="tx1"/>
                        </w14:solidFill>
                      </w14:textFill>
                    </w:rPr>
                    <w:t>准入</w:t>
                  </w: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要求</w:t>
                  </w:r>
                </w:p>
              </w:tc>
              <w:tc>
                <w:tcPr>
                  <w:tcW w:w="164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b w:val="0"/>
                      <w:bCs/>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lang w:eastAsia="zh-CN"/>
                      <w14:textFill>
                        <w14:solidFill>
                          <w14:schemeClr w14:val="tx1"/>
                        </w14:solidFill>
                      </w14:textFill>
                    </w:rPr>
                    <w:t>本项目情况</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能源</w:t>
                  </w:r>
                </w:p>
              </w:tc>
              <w:tc>
                <w:tcPr>
                  <w:tcW w:w="2965" w:type="pct"/>
                  <w:gridSpan w:val="2"/>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18"/>
                      <w:szCs w:val="18"/>
                      <w:highlight w:val="none"/>
                      <w14:textFill>
                        <w14:solidFill>
                          <w14:schemeClr w14:val="tx1"/>
                        </w14:solidFill>
                      </w14:textFill>
                    </w:rPr>
                    <w:t>控制高硫高灰煤开发和销售，推进煤炭清洁化利用，煤炭入选率提高到80%。</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18"/>
                      <w:szCs w:val="18"/>
                      <w:highlight w:val="none"/>
                      <w14:textFill>
                        <w14:solidFill>
                          <w14:schemeClr w14:val="tx1"/>
                        </w14:solidFill>
                      </w14:textFill>
                    </w:rPr>
                    <w:t>新建高耗煤项目单位产品（产值）能耗要达到国内先进水平</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到2025年，通过实施节能降碳行动，钢铁、电解铝、水泥、平板玻璃行业能效达到标杆水平的产能比例超过30%，行业整体能效水平明显提升，碳排放强度明显下降，绿色低碳发展能力显著增强。</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18"/>
                      <w:szCs w:val="18"/>
                      <w:highlight w:val="none"/>
                      <w14:textFill>
                        <w14:solidFill>
                          <w14:schemeClr w14:val="tx1"/>
                        </w14:solidFill>
                      </w14:textFill>
                    </w:rPr>
                    <w:t>禁燃区内，禁止销售、燃用高污染燃料</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禁止新建、扩建燃用高污染燃料的设施，已建成的，应当在城市人民政府规定的期限内改用天然气、页岩气、液化石油气、电或者其他清洁能源。</w:t>
                  </w:r>
                </w:p>
              </w:tc>
              <w:tc>
                <w:tcPr>
                  <w:tcW w:w="1649"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jc w:val="both"/>
                    <w:textAlignment w:val="auto"/>
                    <w:rPr>
                      <w:rFonts w:hint="default" w:ascii="Times New Roman" w:hAnsi="Times New Roman" w:eastAsia="宋体"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项目生产所用能源主要为电和天然气，</w:t>
                  </w:r>
                  <w:r>
                    <w:rPr>
                      <w:rFonts w:hint="eastAsia" w:cs="Times New Roman"/>
                      <w:color w:val="000000" w:themeColor="text1"/>
                      <w:sz w:val="18"/>
                      <w:szCs w:val="18"/>
                      <w:highlight w:val="none"/>
                      <w:lang w:val="en-US" w:eastAsia="zh-CN"/>
                      <w14:textFill>
                        <w14:solidFill>
                          <w14:schemeClr w14:val="tx1"/>
                        </w14:solidFill>
                      </w14:textFill>
                    </w:rPr>
                    <w:t>新增</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用电量约为</w:t>
                  </w:r>
                  <w:r>
                    <w:rPr>
                      <w:rFonts w:hint="eastAsia" w:cs="Times New Roman"/>
                      <w:color w:val="000000" w:themeColor="text1"/>
                      <w:sz w:val="18"/>
                      <w:szCs w:val="18"/>
                      <w:highlight w:val="none"/>
                      <w:lang w:val="en-US" w:eastAsia="zh-CN"/>
                      <w14:textFill>
                        <w14:solidFill>
                          <w14:schemeClr w14:val="tx1"/>
                        </w14:solidFill>
                      </w14:textFill>
                    </w:rPr>
                    <w:t>25</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0万kW‧h，来源由新乡县小冀镇市政供电管网提供，天然气新增用量约为108万m</w:t>
                  </w:r>
                  <w:r>
                    <w:rPr>
                      <w:rFonts w:hint="default" w:ascii="Times New Roman" w:hAnsi="Times New Roman" w:cs="Times New Roman"/>
                      <w:color w:val="000000" w:themeColor="text1"/>
                      <w:sz w:val="18"/>
                      <w:szCs w:val="18"/>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/a，来源由新乡县欣鹏燃气有限公司提供。</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b/>
                      <w:color w:val="000000" w:themeColor="text1"/>
                      <w:sz w:val="18"/>
                      <w:szCs w:val="18"/>
                      <w:highlight w:val="none"/>
                      <w14:textFill>
                        <w14:solidFill>
                          <w14:schemeClr w14:val="tx1"/>
                        </w14:solidFill>
                      </w14:textFill>
                    </w:rPr>
                  </w:pPr>
                  <w:r>
                    <w:rPr>
                      <w:rFonts w:hint="default" w:ascii="Times New Roman" w:hAnsi="Times New Roman" w:eastAsia="宋体" w:cs="Times New Roman"/>
                      <w:bCs/>
                      <w:color w:val="000000" w:themeColor="text1"/>
                      <w:sz w:val="18"/>
                      <w:szCs w:val="18"/>
                      <w:highlight w:val="none"/>
                      <w14:textFill>
                        <w14:solidFill>
                          <w14:schemeClr w14:val="tx1"/>
                        </w14:solidFill>
                      </w14:textFill>
                    </w:rPr>
                    <w:t>水资源</w:t>
                  </w:r>
                </w:p>
              </w:tc>
              <w:tc>
                <w:tcPr>
                  <w:tcW w:w="2965" w:type="pct"/>
                  <w:gridSpan w:val="2"/>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b/>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18"/>
                      <w:szCs w:val="18"/>
                      <w:highlight w:val="none"/>
                      <w14:textFill>
                        <w14:solidFill>
                          <w14:schemeClr w14:val="tx1"/>
                        </w14:solidFill>
                      </w14:textFill>
                    </w:rPr>
                    <w:t>在生态脆弱、严重缺水和地下水超采地区，严格控制高耗水新改扩建项目。</w:t>
                  </w:r>
                </w:p>
              </w:tc>
              <w:tc>
                <w:tcPr>
                  <w:tcW w:w="1649"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jc w:val="both"/>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项目用水均由新乡县市政供水管网提供。</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bCs/>
                      <w:color w:val="000000" w:themeColor="text1"/>
                      <w:sz w:val="18"/>
                      <w:szCs w:val="18"/>
                      <w:highlight w:val="none"/>
                      <w14:textFill>
                        <w14:solidFill>
                          <w14:schemeClr w14:val="tx1"/>
                        </w14:solidFill>
                      </w14:textFill>
                    </w:rPr>
                  </w:pPr>
                  <w:r>
                    <w:rPr>
                      <w:rFonts w:hint="default" w:ascii="Times New Roman" w:hAnsi="Times New Roman" w:eastAsia="宋体" w:cs="Times New Roman"/>
                      <w:bCs/>
                      <w:color w:val="000000" w:themeColor="text1"/>
                      <w:sz w:val="18"/>
                      <w:szCs w:val="18"/>
                      <w:highlight w:val="none"/>
                      <w14:textFill>
                        <w14:solidFill>
                          <w14:schemeClr w14:val="tx1"/>
                        </w14:solidFill>
                      </w14:textFill>
                    </w:rPr>
                    <w:t>水资源</w:t>
                  </w:r>
                </w:p>
              </w:tc>
              <w:tc>
                <w:tcPr>
                  <w:tcW w:w="2965" w:type="pct"/>
                  <w:gridSpan w:val="2"/>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18"/>
                      <w:szCs w:val="18"/>
                      <w:highlight w:val="none"/>
                      <w14:textFill>
                        <w14:solidFill>
                          <w14:schemeClr w14:val="tx1"/>
                        </w14:solidFill>
                      </w14:textFill>
                    </w:rPr>
                    <w:t>对取用水总量已经达到或超过控制指标的地方，暂停审批建设项目新增取水</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对取用水总量接近控制目标的地方，限制审批建设项目新增取水。</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18"/>
                      <w:szCs w:val="18"/>
                      <w:highlight w:val="none"/>
                      <w14:textFill>
                        <w14:solidFill>
                          <w14:schemeClr w14:val="tx1"/>
                        </w14:solidFill>
                      </w14:textFill>
                    </w:rPr>
                    <w:t>严格控制开采深层承压水，地热水、矿泉水开发严格实施取水许可和采矿许可。</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18"/>
                      <w:szCs w:val="18"/>
                      <w:highlight w:val="none"/>
                      <w14:textFill>
                        <w14:solidFill>
                          <w14:schemeClr w14:val="tx1"/>
                        </w14:solidFill>
                      </w14:textFill>
                    </w:rPr>
                    <w:t>在地下水禁采区内，除应急供水外严禁新凿取水井，停止新增地下水取水许可；对禁采区内已有地下水用户要加强取水许可管理，对取水许可证到期的，无特殊情况不再核发取水许可证，促进地下水用户转换水源。</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18"/>
                      <w:szCs w:val="18"/>
                      <w:highlight w:val="none"/>
                      <w14:textFill>
                        <w14:solidFill>
                          <w14:schemeClr w14:val="tx1"/>
                        </w14:solidFill>
                      </w14:textFill>
                    </w:rPr>
                    <w:t>在地下水限采区内，城市供水管网覆盖范围内除应急供水外，严禁新凿取水井</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14:textFill>
                        <w14:solidFill>
                          <w14:schemeClr w14:val="tx1"/>
                        </w14:solidFill>
                      </w14:textFill>
                    </w:rPr>
                    <w:t>对已批准开采地下水的用户，要根据超采程度逐步核减地下水开采总量和年度取水指标，逐步实现地下水采补平衡；对城市供水管网覆盖范围外，无其他替代水源、确需取用地下水的，要严格论证审批，加强日常监督管理，严控新增取用地下水。</w:t>
                  </w:r>
                </w:p>
              </w:tc>
              <w:tc>
                <w:tcPr>
                  <w:tcW w:w="1649"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jc w:val="both"/>
                    <w:textAlignment w:val="auto"/>
                    <w:rPr>
                      <w:rFonts w:hint="default" w:ascii="Times New Roman" w:hAnsi="Times New Roman" w:eastAsia="宋体"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项目用水由新乡县市政供水管网提供，不涉及开采使用地下水，</w:t>
                  </w:r>
                  <w:r>
                    <w:rPr>
                      <w:rFonts w:hint="eastAsia" w:cs="Times New Roman"/>
                      <w:color w:val="000000" w:themeColor="text1"/>
                      <w:sz w:val="18"/>
                      <w:szCs w:val="18"/>
                      <w:highlight w:val="none"/>
                      <w:lang w:val="en-US" w:eastAsia="zh-CN"/>
                      <w14:textFill>
                        <w14:solidFill>
                          <w14:schemeClr w14:val="tx1"/>
                        </w14:solidFill>
                      </w14:textFill>
                    </w:rPr>
                    <w:t>本次扩建后项目</w:t>
                  </w: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全厂</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用水量约为</w:t>
                  </w:r>
                  <w:r>
                    <w:rPr>
                      <w:rFonts w:hint="eastAsia" w:cs="Times New Roman"/>
                      <w:color w:val="000000" w:themeColor="text1"/>
                      <w:kern w:val="2"/>
                      <w:sz w:val="18"/>
                      <w:szCs w:val="18"/>
                      <w:highlight w:val="none"/>
                      <w:lang w:val="en-US" w:eastAsia="zh-CN" w:bidi="ar-SA"/>
                      <w14:textFill>
                        <w14:solidFill>
                          <w14:schemeClr w14:val="tx1"/>
                        </w14:solidFill>
                      </w14:textFill>
                    </w:rPr>
                    <w:t>1219.77</w:t>
                  </w: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m</w:t>
                  </w:r>
                  <w:r>
                    <w:rPr>
                      <w:rFonts w:hint="default" w:ascii="Times New Roman" w:hAnsi="Times New Roman" w:cs="Times New Roman"/>
                      <w:color w:val="000000" w:themeColor="text1"/>
                      <w:kern w:val="2"/>
                      <w:sz w:val="18"/>
                      <w:szCs w:val="18"/>
                      <w:highlight w:val="none"/>
                      <w:vertAlign w:val="superscript"/>
                      <w:lang w:val="en-US" w:eastAsia="zh-CN" w:bidi="ar-SA"/>
                      <w14:textFill>
                        <w14:solidFill>
                          <w14:schemeClr w14:val="tx1"/>
                        </w14:solidFill>
                      </w14:textFill>
                    </w:rPr>
                    <w:t>3</w:t>
                  </w: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/a</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r>
                    <w:rPr>
                      <w:rFonts w:hint="eastAsia" w:cs="Times New Roman"/>
                      <w:color w:val="000000" w:themeColor="text1"/>
                      <w:sz w:val="18"/>
                      <w:szCs w:val="18"/>
                      <w:highlight w:val="none"/>
                      <w:lang w:val="en-US" w:eastAsia="zh-CN"/>
                      <w14:textFill>
                        <w14:solidFill>
                          <w14:schemeClr w14:val="tx1"/>
                        </w14:solidFill>
                      </w14:textFill>
                    </w:rPr>
                    <w:t>扩建后</w:t>
                  </w: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产品产量为</w:t>
                  </w:r>
                  <w:r>
                    <w:rPr>
                      <w:rFonts w:hint="eastAsia" w:cs="Times New Roman"/>
                      <w:color w:val="000000" w:themeColor="text1"/>
                      <w:sz w:val="18"/>
                      <w:szCs w:val="18"/>
                      <w:highlight w:val="none"/>
                      <w:lang w:val="en-US" w:eastAsia="zh-CN"/>
                      <w14:textFill>
                        <w14:solidFill>
                          <w14:schemeClr w14:val="tx1"/>
                        </w14:solidFill>
                      </w14:textFill>
                    </w:rPr>
                    <w:t>41000</w:t>
                  </w: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t</w:t>
                  </w:r>
                  <w:r>
                    <w:rPr>
                      <w:rFonts w:hint="eastAsia" w:cs="Times New Roman"/>
                      <w:color w:val="000000" w:themeColor="text1"/>
                      <w:sz w:val="18"/>
                      <w:szCs w:val="18"/>
                      <w:highlight w:val="none"/>
                      <w:lang w:val="en-US" w:eastAsia="zh-CN"/>
                      <w14:textFill>
                        <w14:solidFill>
                          <w14:schemeClr w14:val="tx1"/>
                        </w14:solidFill>
                      </w14:textFill>
                    </w:rPr>
                    <w:t>/a</w:t>
                  </w: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用水定额为</w:t>
                  </w: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0.0</w:t>
                  </w:r>
                  <w:r>
                    <w:rPr>
                      <w:rFonts w:hint="eastAsia" w:cs="Times New Roman"/>
                      <w:color w:val="000000" w:themeColor="text1"/>
                      <w:sz w:val="18"/>
                      <w:szCs w:val="18"/>
                      <w:highlight w:val="none"/>
                      <w:lang w:val="en-US" w:eastAsia="zh-CN"/>
                      <w14:textFill>
                        <w14:solidFill>
                          <w14:schemeClr w14:val="tx1"/>
                        </w14:solidFill>
                      </w14:textFill>
                    </w:rPr>
                    <w:t>3</w:t>
                  </w: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m</w:t>
                  </w:r>
                  <w:r>
                    <w:rPr>
                      <w:rFonts w:hint="default" w:ascii="Times New Roman" w:hAnsi="Times New Roman" w:cs="Times New Roman"/>
                      <w:color w:val="000000" w:themeColor="text1"/>
                      <w:kern w:val="2"/>
                      <w:sz w:val="18"/>
                      <w:szCs w:val="18"/>
                      <w:highlight w:val="none"/>
                      <w:vertAlign w:val="superscript"/>
                      <w:lang w:val="en-US" w:eastAsia="zh-CN" w:bidi="ar-SA"/>
                      <w14:textFill>
                        <w14:solidFill>
                          <w14:schemeClr w14:val="tx1"/>
                        </w14:solidFill>
                      </w14:textFill>
                    </w:rPr>
                    <w:t>3</w:t>
                  </w: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/t</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，未超过河南省《工业与城镇生活用水定额》（DB41/T385-2020）中5.27金属制品业相关要求</w:t>
                  </w:r>
                  <w:r>
                    <w:rPr>
                      <w:rFonts w:hint="eastAsia" w:cs="Times New Roman"/>
                      <w:color w:val="000000" w:themeColor="text1"/>
                      <w:sz w:val="18"/>
                      <w:szCs w:val="18"/>
                      <w:highlight w:val="none"/>
                      <w:lang w:val="en-US" w:eastAsia="zh-CN"/>
                      <w14:textFill>
                        <w14:solidFill>
                          <w14:schemeClr w14:val="tx1"/>
                        </w14:solidFill>
                      </w14:textFill>
                    </w:rPr>
                    <w:t>（C331结构性金属制品制造先进值2.0</w:t>
                  </w: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m</w:t>
                  </w:r>
                  <w:r>
                    <w:rPr>
                      <w:rFonts w:hint="default" w:ascii="Times New Roman" w:hAnsi="Times New Roman" w:cs="Times New Roman"/>
                      <w:color w:val="000000" w:themeColor="text1"/>
                      <w:kern w:val="2"/>
                      <w:sz w:val="18"/>
                      <w:szCs w:val="18"/>
                      <w:highlight w:val="none"/>
                      <w:vertAlign w:val="superscript"/>
                      <w:lang w:val="en-US" w:eastAsia="zh-CN" w:bidi="ar-SA"/>
                      <w14:textFill>
                        <w14:solidFill>
                          <w14:schemeClr w14:val="tx1"/>
                        </w14:solidFill>
                      </w14:textFill>
                    </w:rPr>
                    <w:t>3</w:t>
                  </w: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/t</w:t>
                  </w:r>
                  <w:r>
                    <w:rPr>
                      <w:rFonts w:hint="eastAsia" w:cs="Times New Roman"/>
                      <w:color w:val="000000" w:themeColor="text1"/>
                      <w:sz w:val="18"/>
                      <w:szCs w:val="18"/>
                      <w:highlight w:val="none"/>
                      <w:lang w:val="en-US" w:eastAsia="zh-CN"/>
                      <w14:textFill>
                        <w14:solidFill>
                          <w14:schemeClr w14:val="tx1"/>
                        </w14:solidFill>
                      </w14:textFill>
                    </w:rPr>
                    <w:t>）</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8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rightChars="0" w:firstLine="0" w:firstLineChars="0"/>
                    <w:jc w:val="center"/>
                    <w:textAlignment w:val="auto"/>
                    <w:rPr>
                      <w:rFonts w:hint="default" w:ascii="Times New Roman" w:hAnsi="Times New Roman" w:eastAsia="宋体" w:cs="Times New Roman"/>
                      <w:bCs/>
                      <w:color w:val="000000" w:themeColor="text1"/>
                      <w:sz w:val="18"/>
                      <w:szCs w:val="18"/>
                      <w:highlight w:val="none"/>
                      <w14:textFill>
                        <w14:solidFill>
                          <w14:schemeClr w14:val="tx1"/>
                        </w14:solidFill>
                      </w14:textFill>
                    </w:rPr>
                  </w:pPr>
                  <w:r>
                    <w:rPr>
                      <w:rFonts w:hint="default" w:ascii="Times New Roman" w:hAnsi="Times New Roman" w:eastAsia="宋体" w:cs="Times New Roman"/>
                      <w:bCs/>
                      <w:color w:val="000000" w:themeColor="text1"/>
                      <w:sz w:val="18"/>
                      <w:szCs w:val="18"/>
                      <w:highlight w:val="none"/>
                      <w14:textFill>
                        <w14:solidFill>
                          <w14:schemeClr w14:val="tx1"/>
                        </w14:solidFill>
                      </w14:textFill>
                    </w:rPr>
                    <w:t>土地资源</w:t>
                  </w:r>
                </w:p>
              </w:tc>
              <w:tc>
                <w:tcPr>
                  <w:tcW w:w="2965" w:type="pct"/>
                  <w:gridSpan w:val="2"/>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right="0" w:rightChars="0" w:firstLine="0" w:firstLineChars="0"/>
                    <w:jc w:val="both"/>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禁止在国土空间规划确定的禁止开垦的范围内从事土地开发活动。</w:t>
                  </w:r>
                </w:p>
              </w:tc>
              <w:tc>
                <w:tcPr>
                  <w:tcW w:w="1649"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right="0" w:rightChars="0" w:firstLine="0" w:firstLineChars="0"/>
                    <w:jc w:val="both"/>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项目选址位于</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新乡市新乡县小冀镇青龙大道39号</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，租赁现有厂房建设，不涉及土地开垦。</w:t>
                  </w:r>
                </w:p>
              </w:tc>
            </w:tr>
          </w:tbl>
          <w:p>
            <w:pPr>
              <w:pStyle w:val="2"/>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fldChar w:fldCharType="begin"/>
            </w:r>
            <w:r>
              <w:rPr>
                <w:rFonts w:hint="default" w:ascii="Times New Roman" w:hAnsi="Times New Roman" w:cs="Times New Roman"/>
                <w:color w:val="000000" w:themeColor="text1"/>
                <w:lang w:eastAsia="zh-CN"/>
                <w14:textFill>
                  <w14:solidFill>
                    <w14:schemeClr w14:val="tx1"/>
                  </w14:solidFill>
                </w14:textFill>
              </w:rPr>
              <w:instrText xml:space="preserve"> = 2 \* GB3 \* MERGEFORMAT </w:instrText>
            </w:r>
            <w:r>
              <w:rPr>
                <w:rFonts w:hint="default" w:ascii="Times New Roman" w:hAnsi="Times New Roman" w:cs="Times New Roman"/>
                <w:color w:val="000000" w:themeColor="text1"/>
                <w:lang w:eastAsia="zh-CN"/>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②</w:t>
            </w:r>
            <w:r>
              <w:rPr>
                <w:rFonts w:hint="default" w:ascii="Times New Roman" w:hAnsi="Times New Roman" w:cs="Times New Roman"/>
                <w:color w:val="000000" w:themeColor="text1"/>
                <w:lang w:eastAsia="zh-CN"/>
                <w14:textFill>
                  <w14:solidFill>
                    <w14:schemeClr w14:val="tx1"/>
                  </w14:solidFill>
                </w14:textFill>
              </w:rPr>
              <w:fldChar w:fldCharType="end"/>
            </w:r>
            <w:r>
              <w:rPr>
                <w:rFonts w:hint="default" w:ascii="Times New Roman" w:hAnsi="Times New Roman" w:cs="Times New Roman"/>
                <w:color w:val="000000" w:themeColor="text1"/>
                <w:lang w:eastAsia="zh-CN"/>
                <w14:textFill>
                  <w14:solidFill>
                    <w14:schemeClr w14:val="tx1"/>
                  </w14:solidFill>
                </w14:textFill>
              </w:rPr>
              <w:t>与《新乡市“三线一单”生态环境准入清单》（试行）对照情况</w:t>
            </w:r>
          </w:p>
          <w:p>
            <w:pPr>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根据新乡市生态环境局关于发布《新乡市“三线一单”生态环境准入清单》（试行）的函，本项目与《新乡市“三线一单”生态环境准入清单》（试行）对照情况如下：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与新乡市生态环境总体准入要求对照</w:t>
            </w:r>
          </w:p>
          <w:tbl>
            <w:tblPr>
              <w:tblStyle w:val="21"/>
              <w:tblW w:w="4999" w:type="pct"/>
              <w:jc w:val="center"/>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Layout w:type="fixed"/>
              <w:tblCellMar>
                <w:top w:w="0" w:type="dxa"/>
                <w:left w:w="108" w:type="dxa"/>
                <w:bottom w:w="0" w:type="dxa"/>
                <w:right w:w="108" w:type="dxa"/>
              </w:tblCellMar>
            </w:tblPr>
            <w:tblGrid>
              <w:gridCol w:w="640"/>
              <w:gridCol w:w="4080"/>
              <w:gridCol w:w="2066"/>
            </w:tblGrid>
            <w:tr>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397" w:hRule="atLeast"/>
                <w:jc w:val="center"/>
              </w:trPr>
              <w:tc>
                <w:tcPr>
                  <w:tcW w:w="471" w:type="pct"/>
                  <w:tcBorders>
                    <w:tl2br w:val="nil"/>
                    <w:tr2bl w:val="nil"/>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right="0" w:rightChars="0" w:firstLine="0" w:firstLineChars="0"/>
                    <w:jc w:val="center"/>
                    <w:textAlignment w:val="center"/>
                    <w:rPr>
                      <w:rFonts w:hint="default" w:ascii="Times New Roman" w:hAnsi="Times New Roman" w:eastAsia="宋体" w:cs="Times New Roman"/>
                      <w:i w:val="0"/>
                      <w:iCs w:val="0"/>
                      <w:color w:val="000000" w:themeColor="text1"/>
                      <w:sz w:val="18"/>
                      <w:szCs w:val="18"/>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维度</w:t>
                  </w:r>
                </w:p>
              </w:tc>
              <w:tc>
                <w:tcPr>
                  <w:tcW w:w="3006" w:type="pct"/>
                  <w:tcBorders>
                    <w:tl2br w:val="nil"/>
                    <w:tr2bl w:val="nil"/>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right="0" w:rightChars="0" w:firstLine="0" w:firstLineChars="0"/>
                    <w:jc w:val="center"/>
                    <w:textAlignment w:val="center"/>
                    <w:rPr>
                      <w:rFonts w:hint="default" w:ascii="Times New Roman" w:hAnsi="Times New Roman" w:eastAsia="宋体" w:cs="Times New Roman"/>
                      <w:i w:val="0"/>
                      <w:iCs w:val="0"/>
                      <w:color w:val="000000" w:themeColor="text1"/>
                      <w:sz w:val="18"/>
                      <w:szCs w:val="18"/>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管控要求</w:t>
                  </w:r>
                </w:p>
              </w:tc>
              <w:tc>
                <w:tcPr>
                  <w:tcW w:w="1522" w:type="pct"/>
                  <w:tcBorders>
                    <w:tl2br w:val="nil"/>
                    <w:tr2bl w:val="nil"/>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right="0" w:rightChars="0"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本项目情况</w:t>
                  </w:r>
                </w:p>
              </w:tc>
            </w:tr>
            <w:tr>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397" w:hRule="atLeast"/>
                <w:jc w:val="center"/>
              </w:trPr>
              <w:tc>
                <w:tcPr>
                  <w:tcW w:w="471" w:type="pct"/>
                  <w:tcBorders>
                    <w:tl2br w:val="nil"/>
                    <w:tr2bl w:val="nil"/>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right="0" w:rightChars="0"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空间布局约束</w:t>
                  </w:r>
                </w:p>
              </w:tc>
              <w:tc>
                <w:tcPr>
                  <w:tcW w:w="3006" w:type="pct"/>
                  <w:tcBorders>
                    <w:tl2br w:val="nil"/>
                    <w:tr2bl w:val="nil"/>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right="0" w:rightChars="0" w:firstLine="0" w:firstLineChars="0"/>
                    <w:jc w:val="both"/>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1、</w:t>
                  </w: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在自然保护区的核心区和缓冲区内，不得建设任何生产设施。在自然保护区的实验区内，不得建设污染环境、破坏资源或者景观的生产设施；建设其他项目，其污染物排放不得超过国家和地方规定的污染物排放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right="0" w:rightChars="0" w:firstLine="0" w:firstLineChars="0"/>
                    <w:jc w:val="both"/>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2.在风景名胜区内禁止进行下列活动：（一）开山、采石、开矿、开荒、修坟立碑等破坏景观、植被和地形地貌的活动；（二）修建储存爆炸性、易燃性、放射性、毒害性、腐蚀性物品的设施；（三）在景物或者设施上刻划、涂污；（四）乱扔垃圾。</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right="0" w:rightChars="0" w:firstLine="0" w:firstLineChars="0"/>
                    <w:jc w:val="both"/>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3.饮用水地表水源各级保护区必须遵守下列规定：一、禁止一切破坏水环境生态平衡的活动以及破坏水源林、护岸林、与水源保护相关植被的活动；二、禁止向水域倾倒工业废渣、城市垃圾、粪便及其它废弃物；三、运输有毒有害物质、油类、粪便的船舶和车辆一般不准进入保护区，必须进入者应事先申请并经有关部门批准、登记并设置防渗、防溢、防漏设施；四、禁止使用剧毒和高残留农药，不得滥用化肥，不得使用炸药、毒品捕杀鱼类。</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right="0" w:rightChars="0" w:firstLine="0" w:firstLineChars="0"/>
                    <w:jc w:val="both"/>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一级保护区内禁止新建、扩建与供水设施和保护水源无关的建设项目；禁止向水域排放污水，已设置的排污口必须拆除；不得设置与供水需要无关的码头，禁止停靠船舶；禁止堆置和存放工业废渣、城市垃圾、粪便和其他废弃物；禁止设置油库；禁止从事种植、放养禽畜，严格控制网箱养殖活动；禁止可能污染水源的旅游活动和其他活动。</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right="0" w:rightChars="0" w:firstLine="0" w:firstLineChars="0"/>
                    <w:jc w:val="both"/>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二级保护区内不准新建、扩建向水体排放污染物的建设项目。改建项目必须削减污染物排放量；原有排污口必须削减污水排放量，保证保护区内水质满足规定的水质标准；禁止设立装卸垃圾、粪便、油类和有毒物品的码头。</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right="0" w:rightChars="0" w:firstLine="0" w:firstLineChars="0"/>
                    <w:jc w:val="both"/>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饮用水地下水源各级保护区必须遵守下列规定：</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right="0" w:rightChars="0" w:firstLine="0" w:firstLineChars="0"/>
                    <w:jc w:val="both"/>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一、禁止利用渗坑、渗井、裂隙、溶洞等排放污水和其它有害废弃物；二、禁止利用透水层孔隙、裂隙、溶洞及废弃矿坑储存石油、天然气、放射性物质、有毒有害化工原料、农药等；三、实行人工回灌地下水时不得污染当地地下水源。一级保护区内禁止建设与取水设施无关的建筑物；禁止从事农牧业活动；禁止倾倒、堆放工业废渣及城市垃圾、粪便和其它有害废弃物；禁止输送污水的渠道、管道及输油管道通过本区；禁止建设油库；禁止建立墓地。潜水含水层地下水水源地二级保护区内禁止建设化工、电镀、皮革、造纸、制浆、冶炼、放射性、印染、染料、炼焦、炼油及其它有严重污染的企业，已建成的要限期治理，转产或搬迁；禁止设置城市垃圾、粪便和易溶、有毒有害废弃物堆放场和转运站，已有的上述场站要限期搬迁；禁止利用未经净化的污水灌溉农田，已有的污灌农田要限期改用清水灌溉；化工原料、矿物油类及有毒有害矿产品的堆放场所必须有防雨、防渗措施。承压含水层地下水水源地二级保护区内禁止承压水和潜水的混合开采，作好潜水的止水措施。</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right="0" w:rightChars="0" w:firstLine="0" w:firstLineChars="0"/>
                    <w:jc w:val="both"/>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9.严格控制新建、扩建钢铁冶炼、水泥、有色金属冶炼、平板玻璃、化工、建筑陶瓷、耐火材料、砖瓦、矿山开采等行业的高排放、高污染项目，促进传统煤化工、水泥行业绿色转型、智能升级。城市建成区内人口密集区、环境脆弱敏感区周边的钢铁冶炼、水泥、有色金属冶炼、平板玻璃、化工、建筑陶瓷、耐火材料、砖瓦、矿山开采等行业中的高排放、高污染项目，应当限期搬迁、升级改造或者转型、退出。新建、改建、扩建“两高”项目须符合生态环境保护法律法规和相关法定规划，满足重点污染物排放总量控制、碳排放达峰目标、生态环境准入清单、相关规划环评和相应行业建设项目环境准入条件、环评文件审批原则要求。石化、现代煤化工项目应纳入国家产业规划。新建、扩建石化、化工、焦化、有色金属冶炼、平板玻璃项目应布设在依法合规设立并经规划环评的产业园区。严格控制新增燃煤项目建设，燃煤发电项目严格按照政府工作部署落实。</w:t>
                  </w:r>
                </w:p>
              </w:tc>
              <w:tc>
                <w:tcPr>
                  <w:tcW w:w="1522" w:type="pct"/>
                  <w:tcBorders>
                    <w:tl2br w:val="nil"/>
                    <w:tr2bl w:val="nil"/>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right="0" w:rightChars="0" w:firstLine="0" w:firstLineChars="0"/>
                    <w:jc w:val="both"/>
                    <w:textAlignment w:val="center"/>
                    <w:rPr>
                      <w:rFonts w:hint="default" w:ascii="Times New Roman" w:hAnsi="Times New Roman" w:eastAsia="宋体" w:cs="Times New Roman"/>
                      <w:i w:val="0"/>
                      <w:iCs w:val="0"/>
                      <w:color w:val="000000" w:themeColor="text1"/>
                      <w:kern w:val="0"/>
                      <w:sz w:val="18"/>
                      <w:szCs w:val="18"/>
                      <w:highlight w:val="cyan"/>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1、根据现场勘查，项目选址不在</w:t>
                  </w: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自然保护区的核心区和缓冲区内</w:t>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w:t>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br w:type="textWrapping"/>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2、项目选址位于</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新乡市新乡县小冀镇青龙大道39号</w:t>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，根据现场勘查，周边不存在</w:t>
                  </w: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风景名胜区</w:t>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w:t>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br w:type="textWrapping"/>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3、</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距离项目最近地表水为距离本项目最近的地表水体为南侧2800m的人民胜利渠；距离项目最近的饮用水源保护区为东北侧新乡县翟坡镇水厂地下水井群（共3眼井），项目选址距离其一级保护区边界距离约4.5km，不在其保护区范围内；项目</w:t>
                  </w:r>
                  <w:r>
                    <w:rPr>
                      <w:rFonts w:hint="eastAsia" w:cs="Times New Roman"/>
                      <w:color w:val="000000" w:themeColor="text1"/>
                      <w:sz w:val="18"/>
                      <w:szCs w:val="18"/>
                      <w:highlight w:val="none"/>
                      <w:lang w:val="en-US" w:eastAsia="zh-CN"/>
                      <w14:textFill>
                        <w14:solidFill>
                          <w14:schemeClr w14:val="tx1"/>
                        </w14:solidFill>
                      </w14:textFill>
                    </w:rPr>
                    <w:t>属于</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C3311金属结构制造和C3393锻件及粉末冶金制品制造项目</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r>
                    <w:rPr>
                      <w:rFonts w:hint="eastAsia" w:cs="Times New Roman"/>
                      <w:color w:val="000000" w:themeColor="text1"/>
                      <w:sz w:val="18"/>
                      <w:szCs w:val="18"/>
                      <w:highlight w:val="none"/>
                      <w:lang w:val="en-US" w:eastAsia="zh-CN"/>
                      <w14:textFill>
                        <w14:solidFill>
                          <w14:schemeClr w14:val="tx1"/>
                        </w14:solidFill>
                      </w14:textFill>
                    </w:rPr>
                    <w:t>生活污水</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通过化粪池施处理后，通过区域污水管网排入污水处理厂进一步处理</w:t>
                  </w:r>
                  <w:r>
                    <w:rPr>
                      <w:rFonts w:hint="eastAsia" w:cs="Times New Roman"/>
                      <w:color w:val="000000" w:themeColor="text1"/>
                      <w:sz w:val="18"/>
                      <w:szCs w:val="18"/>
                      <w:highlight w:val="none"/>
                      <w:lang w:val="en-US" w:eastAsia="zh-CN"/>
                      <w14:textFill>
                        <w14:solidFill>
                          <w14:schemeClr w14:val="tx1"/>
                        </w14:solidFill>
                      </w14:textFill>
                    </w:rPr>
                    <w:t>，酸洗工序冲洗废水经自建污水处理设施处理后，清水回用于清洗工序，浓水经高效蒸发后，残渣作为危险固废处理，</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不会对周围地表水体造成较大影响；</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br w:type="textWrapping"/>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9、项目属于新建</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金属结构制造项目</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，选址位于</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新乡市新乡县小冀镇青龙大道39号</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，不属于钢铁冶炼、水泥、有色金属冶炼、平板玻璃、化工、建筑陶瓷、耐火材料、砖瓦、矿山开采等行业的高排放、高污染项目。</w:t>
                  </w:r>
                </w:p>
              </w:tc>
            </w:tr>
            <w:tr>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397" w:hRule="atLeast"/>
                <w:jc w:val="center"/>
              </w:trPr>
              <w:tc>
                <w:tcPr>
                  <w:tcW w:w="471" w:type="pct"/>
                  <w:tcBorders>
                    <w:tl2br w:val="nil"/>
                    <w:tr2bl w:val="nil"/>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right="0" w:rightChars="0"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污染物排放管控</w:t>
                  </w:r>
                </w:p>
              </w:tc>
              <w:tc>
                <w:tcPr>
                  <w:tcW w:w="3006" w:type="pct"/>
                  <w:tcBorders>
                    <w:tl2br w:val="nil"/>
                    <w:tr2bl w:val="nil"/>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1.新、改、扩建项目主要污染物排放要求满足当地总量减排要求。</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2.卫河、共产主义渠、文岩渠保持Ⅴ类指标，黄庄河、西柳青河达到Ⅳ类指标，天然渠、人民胜利渠达到Ⅲ类指标；城市集中式饮用水水源地取水水质达标率达到100%；地下水质量考核点位水质级别保持稳定；确保完成国家水质考核目标。全市建成区全面消除黑臭水体，县（市）建成区基本完成黑臭水体整治任务。重点治理市域内卫河、共产主义渠、东孟姜女河等海河流域河流，以及西柳青河、天然渠、文岩渠等黄河流域河流，全面开展清河行动、实施河道清淤、规范入河排污口管理，统筹推进水污染综合整治及水生态保护修复，提升河流自净能力，建立生态调水长效机制，保障河流水质稳定达标。禁止以任何方式直接向水功能区要求为Ⅱ类的水体和地表水型集中式生活饮用水水源保护区内的水体排放污水；污水排入黄河干流、黄河一级支流和涉及Ⅲ类水功能区要求的其它水体时，执行一级标准；污水排入除上述水体以外的其它河流、湖泊、水库、运河、渠道、湿地、坑塘、蓄滞洪区等地表水体时，执行二级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4.新建项目审批实施“增产不増污”或“增产减污”。全省新建、改建、扩建重点行业重金属污染物排放项目，通过“以新带老”治理、淘汰落后产能、区域替代曾“等量置换”或“减量置换”措施，实现所在区域重点重金属污染排放总量零增长或进一步削减。</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6.新建“两高”项目应按照《关于加强重点行业建设项目区域削减措施监督管理的通知》（环办环评〔2020〕36号）要求，依据区域环境质量改善目标，制定配套区域污染物削减方案，采取有效的污染物区域削减措施，腾出足够的环境容量。国家大气污染防治重点区域内新建耗煤项目还应严格按规定采取煤炭消费减量替代措施，不得使用高污染燃料作为煤炭减量替代措施。</w:t>
                  </w:r>
                </w:p>
              </w:tc>
              <w:tc>
                <w:tcPr>
                  <w:tcW w:w="1522" w:type="pct"/>
                  <w:tcBorders>
                    <w:tl2br w:val="nil"/>
                    <w:tr2bl w:val="nil"/>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leftChars="0" w:right="0" w:rightChars="0" w:firstLine="0" w:firstLineChars="0"/>
                    <w:jc w:val="both"/>
                    <w:textAlignment w:val="center"/>
                    <w:rPr>
                      <w:rFonts w:hint="default" w:ascii="Times New Roman" w:hAnsi="Times New Roman" w:eastAsia="宋体" w:cs="Times New Roman"/>
                      <w:i w:val="0"/>
                      <w:iCs w:val="0"/>
                      <w:color w:val="000000" w:themeColor="text1"/>
                      <w:kern w:val="0"/>
                      <w:sz w:val="18"/>
                      <w:szCs w:val="18"/>
                      <w:highlight w:val="cyan"/>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1、项目</w:t>
                  </w:r>
                  <w:r>
                    <w:rPr>
                      <w:rFonts w:hint="eastAsia" w:cs="Times New Roman"/>
                      <w:i w:val="0"/>
                      <w:iCs w:val="0"/>
                      <w:color w:val="000000" w:themeColor="text1"/>
                      <w:kern w:val="0"/>
                      <w:sz w:val="18"/>
                      <w:szCs w:val="18"/>
                      <w:highlight w:val="none"/>
                      <w:u w:val="none"/>
                      <w:lang w:val="en-US" w:eastAsia="zh-CN" w:bidi="ar"/>
                      <w14:textFill>
                        <w14:solidFill>
                          <w14:schemeClr w14:val="tx1"/>
                        </w14:solidFill>
                      </w14:textFill>
                    </w:rPr>
                    <w:t>属于</w:t>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扩建项目，新增排放的污染物将按照《新乡市建设项目新增总量指标替代管理指导意见（试行）》的要求进行倍量消减替代。</w:t>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br w:type="textWrapping"/>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2、</w:t>
                  </w: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项目酸洗工序冲洗废水经自建污水处理设施（采用“隔油沉淀+调节+气浮+pH调节（调酸）+芬顿氧化+中和（调碱）+混凝沉淀+中和+水解酸化+MBR（微滤）+RO+高效蒸发器”工艺）处理，清水回用于清洗工序，浓水经高效蒸发后，残渣作为危险固废处理；生活污水经化粪池处理后，</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通过区域污水管网排入新乡县综合污水处理厂进一步处理</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，不会对周围地表水体造成较大影响；</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br w:type="textWrapping"/>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4、项目新增</w:t>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污染物将按照《新乡市建设项目新增总量指标替代管理指导意见（试行）》的要求进行倍量消减替代。</w:t>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br w:type="textWrapping"/>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6、</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经对</w:t>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照《</w:t>
                  </w:r>
                  <w:r>
                    <w:rPr>
                      <w:rFonts w:hint="eastAsia"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关于印发河南省“两高”项目管理名录（2023年修订）的通知</w:t>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w:t>
                  </w:r>
                  <w:r>
                    <w:rPr>
                      <w:rFonts w:hint="eastAsia"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（豫发改环资（2023）38号）</w:t>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，本项目不属于“两高”类项目</w:t>
                  </w:r>
                </w:p>
              </w:tc>
            </w:tr>
            <w:tr>
              <w:tblPrEx>
                <w:tblBorders>
                  <w:top w:val="single" w:color="000000" w:sz="8" w:space="0"/>
                  <w:left w:val="none" w:color="auto" w:sz="0" w:space="0"/>
                  <w:bottom w:val="single" w:color="000000" w:sz="8" w:space="0"/>
                  <w:right w:val="none" w:color="auto" w:sz="0" w:space="0"/>
                  <w:insideH w:val="single" w:color="000000" w:sz="8" w:space="0"/>
                  <w:insideV w:val="single" w:color="000000" w:sz="8" w:space="0"/>
                </w:tblBorders>
                <w:tblCellMar>
                  <w:top w:w="0" w:type="dxa"/>
                  <w:left w:w="108" w:type="dxa"/>
                  <w:bottom w:w="0" w:type="dxa"/>
                  <w:right w:w="108" w:type="dxa"/>
                </w:tblCellMar>
              </w:tblPrEx>
              <w:trPr>
                <w:trHeight w:val="397" w:hRule="atLeast"/>
                <w:jc w:val="center"/>
              </w:trPr>
              <w:tc>
                <w:tcPr>
                  <w:tcW w:w="471" w:type="pct"/>
                  <w:tcBorders>
                    <w:tl2br w:val="nil"/>
                    <w:tr2bl w:val="nil"/>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right="0" w:rightChars="0"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资源开发效率要求</w:t>
                  </w:r>
                </w:p>
              </w:tc>
              <w:tc>
                <w:tcPr>
                  <w:tcW w:w="3006" w:type="pct"/>
                  <w:tcBorders>
                    <w:tl2br w:val="nil"/>
                    <w:tr2bl w:val="nil"/>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1.“十四五”期间按照政府目标控制能耗增量指标。鼓励使用清洁燃料，重点区域建设项目原则上不新建燃煤自备锅炉。</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2</w:t>
                  </w: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.开展高耗水工业行业节水技术改造，大力推广工业水循环利用，推进节水型企业、节水型工业园区建设。</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4.按照合理有序使用地表水、控制使用地下水、积极利用非常规水源的要求，做好区域水资源统筹调配，逐步降低区域内的水资源开发利用强度，退减被挤占的生态用水，2030年全市浅层地下水开采控制在57390万立方米。</w:t>
                  </w:r>
                </w:p>
              </w:tc>
              <w:tc>
                <w:tcPr>
                  <w:tcW w:w="1522" w:type="pct"/>
                  <w:tcBorders>
                    <w:tl2br w:val="nil"/>
                    <w:tr2bl w:val="nil"/>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leftChars="0" w:right="0" w:rightChars="0" w:firstLine="0" w:firstLineChars="0"/>
                    <w:jc w:val="both"/>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1、项目新增2台燃气加热炉所用能源为管道天然气，属于清洁能源。</w:t>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br w:type="textWrapping"/>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2、</w:t>
                  </w: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项目酸洗工序</w:t>
                  </w:r>
                  <w:r>
                    <w:rPr>
                      <w:rFonts w:hint="eastAsia" w:cs="Times New Roman"/>
                      <w:b w:val="0"/>
                      <w:bCs w:val="0"/>
                      <w:color w:val="000000" w:themeColor="text1"/>
                      <w:sz w:val="18"/>
                      <w:szCs w:val="18"/>
                      <w:highlight w:val="none"/>
                      <w:lang w:val="en-US" w:eastAsia="zh-CN"/>
                      <w14:textFill>
                        <w14:solidFill>
                          <w14:schemeClr w14:val="tx1"/>
                        </w14:solidFill>
                      </w14:textFill>
                    </w:rPr>
                    <w:t>生产</w:t>
                  </w: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废水经自建污水处理设施（采用“隔油沉淀+调节+气浮+pH调节（调酸）+芬顿氧化+中和（调碱）+混凝沉淀+中和+水解酸化+MBR（微滤）+RO+高效蒸发器”工艺）处理，清水回用于清洗工序，浓水经高效蒸发后，残渣作为危险固废处理；生活污水经化粪池处理后，</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通过区域污水管网排入新乡县综合污水处理厂进一步处理</w:t>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w:t>
                  </w:r>
                  <w:r>
                    <w:rPr>
                      <w:rFonts w:hint="eastAsia"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建成后全厂</w:t>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用水量共计</w:t>
                  </w:r>
                  <w:r>
                    <w:rPr>
                      <w:rFonts w:hint="eastAsia" w:cs="Times New Roman"/>
                      <w:i w:val="0"/>
                      <w:iCs w:val="0"/>
                      <w:color w:val="000000" w:themeColor="text1"/>
                      <w:kern w:val="0"/>
                      <w:sz w:val="18"/>
                      <w:szCs w:val="18"/>
                      <w:highlight w:val="none"/>
                      <w:u w:val="none"/>
                      <w:lang w:val="en-US" w:eastAsia="zh-CN" w:bidi="ar"/>
                      <w14:textFill>
                        <w14:solidFill>
                          <w14:schemeClr w14:val="tx1"/>
                        </w14:solidFill>
                      </w14:textFill>
                    </w:rPr>
                    <w:t>4.0659</w:t>
                  </w:r>
                  <w:r>
                    <w:rPr>
                      <w:rFonts w:hint="eastAsia"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m</w:t>
                  </w:r>
                  <w:r>
                    <w:rPr>
                      <w:rFonts w:hint="eastAsia" w:ascii="Times New Roman" w:hAnsi="Times New Roman" w:cs="Times New Roman"/>
                      <w:i w:val="0"/>
                      <w:iCs w:val="0"/>
                      <w:color w:val="000000" w:themeColor="text1"/>
                      <w:kern w:val="0"/>
                      <w:sz w:val="18"/>
                      <w:szCs w:val="18"/>
                      <w:highlight w:val="none"/>
                      <w:u w:val="none"/>
                      <w:vertAlign w:val="superscript"/>
                      <w:lang w:val="en-US" w:eastAsia="zh-CN" w:bidi="ar"/>
                      <w14:textFill>
                        <w14:solidFill>
                          <w14:schemeClr w14:val="tx1"/>
                        </w14:solidFill>
                      </w14:textFill>
                    </w:rPr>
                    <w:t>3</w:t>
                  </w:r>
                  <w:r>
                    <w:rPr>
                      <w:rFonts w:hint="eastAsia"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/d</w:t>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，不属于高耗水项目。</w:t>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br w:type="textWrapping"/>
                  </w: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4、项目用水均通过新乡县市政供水管线提供。</w:t>
                  </w:r>
                </w:p>
              </w:tc>
            </w:tr>
          </w:tbl>
          <w:p>
            <w:pPr>
              <w:pStyle w:val="10"/>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rPr>
                <w:rFonts w:hint="default" w:ascii="Times New Roman" w:hAnsi="Times New Roman" w:eastAsia="宋体" w:cs="Times New Roman"/>
                <w:color w:val="000000" w:themeColor="text1"/>
                <w:kern w:val="0"/>
                <w:szCs w:val="21"/>
                <w:highlight w:val="cyan"/>
                <w:lang w:eastAsia="zh-CN"/>
                <w14:textFill>
                  <w14:solidFill>
                    <w14:schemeClr w14:val="tx1"/>
                  </w14:solidFill>
                </w14:textFill>
              </w:rPr>
            </w:pPr>
            <w:r>
              <w:rPr>
                <w:rFonts w:hint="default" w:ascii="Times New Roman" w:hAnsi="Times New Roman" w:cs="Times New Roman"/>
                <w:color w:val="000000" w:themeColor="text1"/>
                <w:kern w:val="0"/>
                <w:szCs w:val="21"/>
                <w:highlight w:val="none"/>
                <w:lang w:eastAsia="zh-CN"/>
                <w14:textFill>
                  <w14:solidFill>
                    <w14:schemeClr w14:val="tx1"/>
                  </w14:solidFill>
                </w14:textFill>
              </w:rPr>
              <w:t xml:space="preserve"> </w:t>
            </w:r>
            <w:r>
              <w:rPr>
                <w:rFonts w:hint="default" w:ascii="Times New Roman" w:hAnsi="Times New Roman" w:cs="Times New Roman"/>
                <w:color w:val="000000" w:themeColor="text1"/>
                <w:kern w:val="0"/>
                <w:szCs w:val="21"/>
                <w:highlight w:val="none"/>
                <w:lang w:eastAsia="zh-CN"/>
                <w14:textFill>
                  <w14:solidFill>
                    <w14:schemeClr w14:val="tx1"/>
                  </w14:solidFill>
                </w14:textFill>
              </w:rPr>
              <w:br w:type="textWrapping"/>
            </w:r>
            <w:r>
              <w:rPr>
                <w:rFonts w:hint="default" w:ascii="Times New Roman" w:hAnsi="Times New Roman" w:cs="Times New Roman"/>
                <w:color w:val="000000" w:themeColor="text1"/>
                <w:kern w:val="0"/>
                <w:szCs w:val="21"/>
                <w:highlight w:val="none"/>
                <w:lang w:eastAsia="zh-CN"/>
                <w14:textFill>
                  <w14:solidFill>
                    <w14:schemeClr w14:val="tx1"/>
                  </w14:solidFill>
                </w14:textFill>
              </w:rPr>
              <w:br w:type="textWrapping"/>
            </w:r>
            <w:r>
              <w:rPr>
                <w:rFonts w:hint="default" w:ascii="Times New Roman" w:hAnsi="Times New Roman" w:cs="Times New Roman"/>
                <w:color w:val="000000" w:themeColor="text1"/>
                <w:kern w:val="0"/>
                <w:szCs w:val="21"/>
                <w:highlight w:val="cyan"/>
                <w:lang w:eastAsia="zh-CN"/>
                <w14:textFill>
                  <w14:solidFill>
                    <w14:schemeClr w14:val="tx1"/>
                  </w14:solidFill>
                </w14:textFill>
              </w:rPr>
              <w:br w:type="textWrapping"/>
            </w:r>
          </w:p>
        </w:tc>
      </w:tr>
    </w:tbl>
    <w:p>
      <w:pPr>
        <w:spacing w:line="360" w:lineRule="auto"/>
        <w:outlineLvl w:val="0"/>
        <w:rPr>
          <w:rFonts w:hint="default" w:ascii="Times New Roman" w:hAnsi="Times New Roman" w:eastAsia="黑体" w:cs="Times New Roman"/>
          <w:color w:val="000000" w:themeColor="text1"/>
          <w:sz w:val="30"/>
          <w:highlight w:val="cyan"/>
          <w14:textFill>
            <w14:solidFill>
              <w14:schemeClr w14:val="tx1"/>
            </w14:solidFill>
          </w14:textFill>
        </w:rPr>
        <w:sectPr>
          <w:pgSz w:w="11906" w:h="16838"/>
          <w:pgMar w:top="1803" w:right="1440" w:bottom="1803" w:left="1440" w:header="851" w:footer="1077" w:gutter="0"/>
          <w:pgBorders>
            <w:top w:val="none" w:sz="0" w:space="0"/>
            <w:left w:val="none" w:sz="0" w:space="0"/>
            <w:bottom w:val="none" w:sz="0" w:space="0"/>
            <w:right w:val="none" w:sz="0" w:space="0"/>
          </w:pgBorders>
          <w:pgNumType w:fmt="decimal"/>
          <w:cols w:space="0" w:num="1"/>
          <w:rtlGutter w:val="0"/>
          <w:docGrid w:linePitch="312" w:charSpace="0"/>
        </w:sect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52" w:type="dxa"/>
          </w:tcPr>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项目与河南省生态环境准入清单对照情况</w:t>
            </w:r>
          </w:p>
          <w:tbl>
            <w:tblPr>
              <w:tblStyle w:val="21"/>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02"/>
              <w:gridCol w:w="872"/>
              <w:gridCol w:w="465"/>
              <w:gridCol w:w="675"/>
              <w:gridCol w:w="741"/>
              <w:gridCol w:w="1110"/>
              <w:gridCol w:w="1050"/>
              <w:gridCol w:w="4725"/>
              <w:gridCol w:w="289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35" w:type="pct"/>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none"/>
                      <w14:textFill>
                        <w14:solidFill>
                          <w14:schemeClr w14:val="tx1"/>
                        </w14:solidFill>
                      </w14:textFill>
                    </w:rPr>
                  </w:pPr>
                  <w:r>
                    <w:rPr>
                      <w:rFonts w:hint="default" w:ascii="Times New Roman" w:hAnsi="Times New Roman" w:cs="Times New Roman"/>
                      <w:b w:val="0"/>
                      <w:bCs w:val="0"/>
                      <w:color w:val="000000" w:themeColor="text1"/>
                      <w:sz w:val="18"/>
                      <w:szCs w:val="18"/>
                      <w:highlight w:val="none"/>
                      <w14:textFill>
                        <w14:solidFill>
                          <w14:schemeClr w14:val="tx1"/>
                        </w14:solidFill>
                      </w14:textFill>
                    </w:rPr>
                    <w:t>环境管控单元编码</w:t>
                  </w:r>
                </w:p>
              </w:tc>
              <w:tc>
                <w:tcPr>
                  <w:tcW w:w="324" w:type="pct"/>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none"/>
                      <w14:textFill>
                        <w14:solidFill>
                          <w14:schemeClr w14:val="tx1"/>
                        </w14:solidFill>
                      </w14:textFill>
                    </w:rPr>
                  </w:pPr>
                  <w:r>
                    <w:rPr>
                      <w:rFonts w:hint="default" w:ascii="Times New Roman" w:hAnsi="Times New Roman" w:cs="Times New Roman"/>
                      <w:b w:val="0"/>
                      <w:bCs w:val="0"/>
                      <w:color w:val="000000" w:themeColor="text1"/>
                      <w:sz w:val="18"/>
                      <w:szCs w:val="18"/>
                      <w:highlight w:val="none"/>
                      <w14:textFill>
                        <w14:solidFill>
                          <w14:schemeClr w14:val="tx1"/>
                        </w14:solidFill>
                      </w14:textFill>
                    </w:rPr>
                    <w:t>环境管控单元名称</w:t>
                  </w:r>
                </w:p>
              </w:tc>
              <w:tc>
                <w:tcPr>
                  <w:tcW w:w="173" w:type="pct"/>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t>行政区划</w:t>
                  </w:r>
                </w:p>
              </w:tc>
              <w:tc>
                <w:tcPr>
                  <w:tcW w:w="251" w:type="pct"/>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none"/>
                      <w14:textFill>
                        <w14:solidFill>
                          <w14:schemeClr w14:val="tx1"/>
                        </w14:solidFill>
                      </w14:textFill>
                    </w:rPr>
                  </w:pPr>
                  <w:r>
                    <w:rPr>
                      <w:rFonts w:hint="default" w:ascii="Times New Roman" w:hAnsi="Times New Roman" w:cs="Times New Roman"/>
                      <w:b w:val="0"/>
                      <w:bCs w:val="0"/>
                      <w:color w:val="000000" w:themeColor="text1"/>
                      <w:sz w:val="18"/>
                      <w:szCs w:val="18"/>
                      <w:highlight w:val="none"/>
                      <w14:textFill>
                        <w14:solidFill>
                          <w14:schemeClr w14:val="tx1"/>
                        </w14:solidFill>
                      </w14:textFill>
                    </w:rPr>
                    <w:t>管控单元分类</w:t>
                  </w:r>
                </w:p>
              </w:tc>
              <w:tc>
                <w:tcPr>
                  <w:tcW w:w="275" w:type="pct"/>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none"/>
                      <w14:textFill>
                        <w14:solidFill>
                          <w14:schemeClr w14:val="tx1"/>
                        </w14:solidFill>
                      </w14:textFill>
                    </w:rPr>
                  </w:pPr>
                  <w:r>
                    <w:rPr>
                      <w:rFonts w:hint="default" w:ascii="Times New Roman" w:hAnsi="Times New Roman" w:cs="Times New Roman"/>
                      <w:b w:val="0"/>
                      <w:bCs w:val="0"/>
                      <w:color w:val="000000" w:themeColor="text1"/>
                      <w:sz w:val="18"/>
                      <w:szCs w:val="18"/>
                      <w:highlight w:val="none"/>
                      <w14:textFill>
                        <w14:solidFill>
                          <w14:schemeClr w14:val="tx1"/>
                        </w14:solidFill>
                      </w14:textFill>
                    </w:rPr>
                    <w:t>环境要素类别</w:t>
                  </w:r>
                </w:p>
              </w:tc>
              <w:tc>
                <w:tcPr>
                  <w:tcW w:w="413" w:type="pct"/>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none"/>
                      <w14:textFill>
                        <w14:solidFill>
                          <w14:schemeClr w14:val="tx1"/>
                        </w14:solidFill>
                      </w14:textFill>
                    </w:rPr>
                  </w:pPr>
                  <w:r>
                    <w:rPr>
                      <w:rFonts w:hint="default" w:ascii="Times New Roman" w:hAnsi="Times New Roman" w:cs="Times New Roman"/>
                      <w:b w:val="0"/>
                      <w:bCs w:val="0"/>
                      <w:color w:val="000000" w:themeColor="text1"/>
                      <w:sz w:val="18"/>
                      <w:szCs w:val="18"/>
                      <w:highlight w:val="none"/>
                      <w14:textFill>
                        <w14:solidFill>
                          <w14:schemeClr w14:val="tx1"/>
                        </w14:solidFill>
                      </w14:textFill>
                    </w:rPr>
                    <w:t>现状与问题</w:t>
                  </w:r>
                </w:p>
              </w:tc>
              <w:tc>
                <w:tcPr>
                  <w:tcW w:w="2149" w:type="pct"/>
                  <w:gridSpan w:val="2"/>
                  <w:tcBorders>
                    <w:right w:val="single" w:color="000000" w:sz="4" w:space="0"/>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none"/>
                      <w14:textFill>
                        <w14:solidFill>
                          <w14:schemeClr w14:val="tx1"/>
                        </w14:solidFill>
                      </w14:textFill>
                    </w:rPr>
                  </w:pPr>
                  <w:r>
                    <w:rPr>
                      <w:rFonts w:hint="default" w:ascii="Times New Roman" w:hAnsi="Times New Roman" w:cs="Times New Roman"/>
                      <w:b w:val="0"/>
                      <w:bCs w:val="0"/>
                      <w:color w:val="000000" w:themeColor="text1"/>
                      <w:sz w:val="18"/>
                      <w:szCs w:val="18"/>
                      <w:highlight w:val="none"/>
                      <w14:textFill>
                        <w14:solidFill>
                          <w14:schemeClr w14:val="tx1"/>
                        </w14:solidFill>
                      </w14:textFill>
                    </w:rPr>
                    <w:t>管控要求</w:t>
                  </w:r>
                </w:p>
              </w:tc>
              <w:tc>
                <w:tcPr>
                  <w:tcW w:w="1076" w:type="pct"/>
                  <w:tcBorders>
                    <w:left w:val="single" w:color="000000" w:sz="4" w:space="0"/>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t>本项目情况</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35" w:type="pct"/>
                  <w:vMerge w:val="restart"/>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ZH41072120004</w:t>
                  </w:r>
                </w:p>
              </w:tc>
              <w:tc>
                <w:tcPr>
                  <w:tcW w:w="324" w:type="pct"/>
                  <w:vMerge w:val="restart"/>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新乡县大气高排放区</w:t>
                  </w:r>
                </w:p>
              </w:tc>
              <w:tc>
                <w:tcPr>
                  <w:tcW w:w="173" w:type="pct"/>
                  <w:vMerge w:val="restart"/>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河南省新乡市新乡县小冀镇</w:t>
                  </w:r>
                </w:p>
              </w:tc>
              <w:tc>
                <w:tcPr>
                  <w:tcW w:w="251" w:type="pct"/>
                  <w:vMerge w:val="restart"/>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重点管控单元4</w:t>
                  </w:r>
                </w:p>
              </w:tc>
              <w:tc>
                <w:tcPr>
                  <w:tcW w:w="275" w:type="pct"/>
                  <w:vMerge w:val="restart"/>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大气高排放区、大气布局敏感区、大气弱扩散区、水环境生活污染重点管控区、建设用地重点管控区</w:t>
                  </w:r>
                </w:p>
              </w:tc>
              <w:tc>
                <w:tcPr>
                  <w:tcW w:w="413" w:type="pct"/>
                  <w:vMerge w:val="restart"/>
                  <w:tcBorders>
                    <w:tl2br w:val="nil"/>
                    <w:tr2bl w:val="nil"/>
                  </w:tcBorders>
                  <w:vAlign w:val="center"/>
                </w:tcPr>
                <w:p>
                  <w:pPr>
                    <w:pStyle w:val="57"/>
                    <w:keepNext w:val="0"/>
                    <w:keepLines w:val="0"/>
                    <w:pageBreakBefore w:val="0"/>
                    <w:framePr w:hSpace="0" w:wrap="auto" w:vAnchor="margin" w:hAnchor="text" w:yAlign="inline"/>
                    <w:kinsoku/>
                    <w:wordWrap/>
                    <w:overflowPunct/>
                    <w:topLinePunct w:val="0"/>
                    <w:autoSpaceDE/>
                    <w:autoSpaceDN/>
                    <w:bidi w:val="0"/>
                    <w:adjustRightInd/>
                    <w:snapToGrid/>
                    <w:spacing w:line="26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单元特点：位于新乡县中心城区以北。区域有涉重企业、建设用地重点监管单位、高关注、填埋场地块。</w:t>
                  </w:r>
                </w:p>
                <w:p>
                  <w:pPr>
                    <w:pStyle w:val="55"/>
                    <w:keepNext w:val="0"/>
                    <w:keepLines w:val="0"/>
                    <w:pageBreakBefore w:val="0"/>
                    <w:kinsoku/>
                    <w:wordWrap/>
                    <w:overflowPunct/>
                    <w:topLinePunct w:val="0"/>
                    <w:autoSpaceDE/>
                    <w:autoSpaceDN/>
                    <w:bidi w:val="0"/>
                    <w:adjustRightInd/>
                    <w:snapToGrid/>
                    <w:spacing w:line="260" w:lineRule="exact"/>
                    <w:ind w:firstLine="0" w:firstLineChars="0"/>
                    <w:textAlignment w:val="auto"/>
                    <w:rPr>
                      <w:rFonts w:hint="default" w:ascii="Times New Roman" w:hAnsi="Times New Roman" w:cs="Times New Roman"/>
                      <w:b w:val="0"/>
                      <w:bCs w:val="0"/>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主要环境问题：区域大气污染物NOx、PM</w:t>
                  </w:r>
                  <w:r>
                    <w:rPr>
                      <w:rFonts w:hint="default" w:ascii="Times New Roman" w:hAnsi="Times New Roman" w:cs="Times New Roman"/>
                      <w:color w:val="000000" w:themeColor="text1"/>
                      <w:sz w:val="18"/>
                      <w:szCs w:val="18"/>
                      <w:highlight w:val="none"/>
                      <w:vertAlign w:val="subscript"/>
                      <w14:textFill>
                        <w14:solidFill>
                          <w14:schemeClr w14:val="tx1"/>
                        </w14:solidFill>
                      </w14:textFill>
                    </w:rPr>
                    <w:t>2.5</w:t>
                  </w:r>
                  <w:r>
                    <w:rPr>
                      <w:rFonts w:hint="default" w:ascii="Times New Roman" w:hAnsi="Times New Roman" w:cs="Times New Roman"/>
                      <w:color w:val="000000" w:themeColor="text1"/>
                      <w:sz w:val="18"/>
                      <w:szCs w:val="18"/>
                      <w:highlight w:val="none"/>
                      <w14:textFill>
                        <w14:solidFill>
                          <w14:schemeClr w14:val="tx1"/>
                        </w14:solidFill>
                      </w14:textFill>
                    </w:rPr>
                    <w:t>、VOCs存在超标。污水管网系统有待完善。</w:t>
                  </w:r>
                </w:p>
              </w:tc>
              <w:tc>
                <w:tcPr>
                  <w:tcW w:w="390" w:type="pct"/>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空间布局约束</w:t>
                  </w:r>
                </w:p>
              </w:tc>
              <w:tc>
                <w:tcPr>
                  <w:tcW w:w="1758" w:type="pct"/>
                  <w:tcBorders>
                    <w:right w:val="single" w:color="000000" w:sz="4" w:space="0"/>
                    <w:tl2br w:val="nil"/>
                    <w:tr2bl w:val="nil"/>
                  </w:tcBorders>
                  <w:vAlign w:val="center"/>
                </w:tcPr>
                <w:p>
                  <w:pPr>
                    <w:pStyle w:val="57"/>
                    <w:keepNext w:val="0"/>
                    <w:keepLines w:val="0"/>
                    <w:pageBreakBefore w:val="0"/>
                    <w:framePr w:hSpace="0" w:wrap="auto" w:vAnchor="margin" w:hAnchor="text" w:yAlign="inline"/>
                    <w:kinsoku/>
                    <w:wordWrap/>
                    <w:overflowPunct/>
                    <w:topLinePunct w:val="0"/>
                    <w:autoSpaceDE/>
                    <w:autoSpaceDN/>
                    <w:bidi w:val="0"/>
                    <w:adjustRightInd/>
                    <w:snapToGrid/>
                    <w:spacing w:line="260" w:lineRule="exact"/>
                    <w:ind w:firstLine="0" w:firstLineChars="0"/>
                    <w:jc w:val="both"/>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1、淘汰不符合国家产业政策的涉重行业企业生产工艺装备。鼓励产能严重过剩行业的涉重金属排放企业主动退出市场。</w:t>
                  </w:r>
                </w:p>
                <w:p>
                  <w:pPr>
                    <w:pStyle w:val="55"/>
                    <w:keepNext w:val="0"/>
                    <w:keepLines w:val="0"/>
                    <w:pageBreakBefore w:val="0"/>
                    <w:kinsoku/>
                    <w:wordWrap/>
                    <w:overflowPunct/>
                    <w:topLinePunct w:val="0"/>
                    <w:autoSpaceDE/>
                    <w:autoSpaceDN/>
                    <w:bidi w:val="0"/>
                    <w:adjustRightInd/>
                    <w:snapToGrid/>
                    <w:spacing w:line="260" w:lineRule="exact"/>
                    <w:ind w:firstLine="0" w:firstLineChars="0"/>
                    <w:jc w:val="both"/>
                    <w:textAlignment w:val="auto"/>
                    <w:rPr>
                      <w:rFonts w:hint="default" w:ascii="Times New Roman" w:hAnsi="Times New Roman" w:eastAsia="宋体" w:cs="Times New Roman"/>
                      <w:b w:val="0"/>
                      <w:bCs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2、制定“散乱污”企业及集群整治标准，列入关停取缔类的，基本做到“两断三清”；列入整合搬迁类的，要按照产业发展规模化、现代化的原则，搬迁至产业集聚区并实施升级改造；列入升级改造类的，树立行业标杆，实施清洁生产技术改造，全面提升污染治理水平。</w:t>
                  </w:r>
                </w:p>
              </w:tc>
              <w:tc>
                <w:tcPr>
                  <w:tcW w:w="1076" w:type="pct"/>
                  <w:tcBorders>
                    <w:left w:val="single" w:color="000000" w:sz="4" w:space="0"/>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left"/>
                    <w:textAlignment w:val="auto"/>
                    <w:rPr>
                      <w:rFonts w:hint="default" w:ascii="Times New Roman" w:hAnsi="Times New Roman"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项目属于</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C3311金属结构制造和C3393锻件及粉末冶金制品制造项目</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，生产过程中不涉及重金属排放。</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35" w:type="pct"/>
                  <w:vMerge w:val="continue"/>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cyan"/>
                      <w14:textFill>
                        <w14:solidFill>
                          <w14:schemeClr w14:val="tx1"/>
                        </w14:solidFill>
                      </w14:textFill>
                    </w:rPr>
                  </w:pPr>
                </w:p>
              </w:tc>
              <w:tc>
                <w:tcPr>
                  <w:tcW w:w="324" w:type="pct"/>
                  <w:vMerge w:val="continue"/>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none"/>
                      <w14:textFill>
                        <w14:solidFill>
                          <w14:schemeClr w14:val="tx1"/>
                        </w14:solidFill>
                      </w14:textFill>
                    </w:rPr>
                  </w:pPr>
                </w:p>
              </w:tc>
              <w:tc>
                <w:tcPr>
                  <w:tcW w:w="173" w:type="pct"/>
                  <w:vMerge w:val="continue"/>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none"/>
                      <w14:textFill>
                        <w14:solidFill>
                          <w14:schemeClr w14:val="tx1"/>
                        </w14:solidFill>
                      </w14:textFill>
                    </w:rPr>
                  </w:pPr>
                </w:p>
              </w:tc>
              <w:tc>
                <w:tcPr>
                  <w:tcW w:w="251" w:type="pct"/>
                  <w:vMerge w:val="continue"/>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none"/>
                      <w14:textFill>
                        <w14:solidFill>
                          <w14:schemeClr w14:val="tx1"/>
                        </w14:solidFill>
                      </w14:textFill>
                    </w:rPr>
                  </w:pPr>
                </w:p>
              </w:tc>
              <w:tc>
                <w:tcPr>
                  <w:tcW w:w="275" w:type="pct"/>
                  <w:vMerge w:val="continue"/>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none"/>
                      <w14:textFill>
                        <w14:solidFill>
                          <w14:schemeClr w14:val="tx1"/>
                        </w14:solidFill>
                      </w14:textFill>
                    </w:rPr>
                  </w:pPr>
                </w:p>
              </w:tc>
              <w:tc>
                <w:tcPr>
                  <w:tcW w:w="413" w:type="pct"/>
                  <w:vMerge w:val="continue"/>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textAlignment w:val="auto"/>
                    <w:rPr>
                      <w:rFonts w:hint="default" w:ascii="Times New Roman" w:hAnsi="Times New Roman" w:cs="Times New Roman"/>
                      <w:b w:val="0"/>
                      <w:bCs w:val="0"/>
                      <w:color w:val="000000" w:themeColor="text1"/>
                      <w:sz w:val="18"/>
                      <w:szCs w:val="18"/>
                      <w:highlight w:val="none"/>
                      <w14:textFill>
                        <w14:solidFill>
                          <w14:schemeClr w14:val="tx1"/>
                        </w14:solidFill>
                      </w14:textFill>
                    </w:rPr>
                  </w:pPr>
                </w:p>
              </w:tc>
              <w:tc>
                <w:tcPr>
                  <w:tcW w:w="390" w:type="pct"/>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污染物排放管控</w:t>
                  </w:r>
                </w:p>
              </w:tc>
              <w:tc>
                <w:tcPr>
                  <w:tcW w:w="1758" w:type="pct"/>
                  <w:tcBorders>
                    <w:right w:val="single" w:color="000000" w:sz="4" w:space="0"/>
                    <w:tl2br w:val="nil"/>
                    <w:tr2bl w:val="nil"/>
                  </w:tcBorders>
                  <w:vAlign w:val="center"/>
                </w:tcPr>
                <w:p>
                  <w:pPr>
                    <w:pStyle w:val="57"/>
                    <w:keepNext w:val="0"/>
                    <w:keepLines w:val="0"/>
                    <w:pageBreakBefore w:val="0"/>
                    <w:framePr w:hSpace="0" w:wrap="auto" w:vAnchor="margin" w:hAnchor="text" w:yAlign="inline"/>
                    <w:kinsoku/>
                    <w:wordWrap/>
                    <w:overflowPunct/>
                    <w:topLinePunct w:val="0"/>
                    <w:autoSpaceDE/>
                    <w:autoSpaceDN/>
                    <w:bidi w:val="0"/>
                    <w:adjustRightInd/>
                    <w:snapToGrid/>
                    <w:spacing w:line="260" w:lineRule="exact"/>
                    <w:ind w:firstLine="0" w:firstLineChars="0"/>
                    <w:jc w:val="both"/>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1、禁止含重金属废水进入城市生活污水处理厂。</w:t>
                  </w:r>
                </w:p>
                <w:p>
                  <w:pPr>
                    <w:pStyle w:val="57"/>
                    <w:keepNext w:val="0"/>
                    <w:keepLines w:val="0"/>
                    <w:pageBreakBefore w:val="0"/>
                    <w:framePr w:hSpace="0" w:wrap="auto" w:vAnchor="margin" w:hAnchor="text" w:yAlign="inline"/>
                    <w:kinsoku/>
                    <w:wordWrap/>
                    <w:overflowPunct/>
                    <w:topLinePunct w:val="0"/>
                    <w:autoSpaceDE/>
                    <w:autoSpaceDN/>
                    <w:bidi w:val="0"/>
                    <w:adjustRightInd/>
                    <w:snapToGrid/>
                    <w:spacing w:line="260" w:lineRule="exact"/>
                    <w:ind w:firstLine="0" w:firstLineChars="0"/>
                    <w:jc w:val="both"/>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2、禁止填埋场渗滤液直排或超标排放。</w:t>
                  </w:r>
                </w:p>
                <w:p>
                  <w:pPr>
                    <w:pStyle w:val="57"/>
                    <w:keepNext w:val="0"/>
                    <w:keepLines w:val="0"/>
                    <w:pageBreakBefore w:val="0"/>
                    <w:kinsoku/>
                    <w:wordWrap/>
                    <w:overflowPunct/>
                    <w:topLinePunct w:val="0"/>
                    <w:autoSpaceDE/>
                    <w:autoSpaceDN/>
                    <w:bidi w:val="0"/>
                    <w:adjustRightInd/>
                    <w:snapToGrid/>
                    <w:spacing w:line="260" w:lineRule="exact"/>
                    <w:ind w:firstLine="0" w:firstLineChars="0"/>
                    <w:jc w:val="both"/>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3、推进城中村、老旧城区和城乡结合部污水处理配套管网建设和雨污分流系统改造，实现污水全收集、全处理。</w:t>
                  </w:r>
                </w:p>
                <w:p>
                  <w:pPr>
                    <w:pStyle w:val="55"/>
                    <w:keepNext w:val="0"/>
                    <w:keepLines w:val="0"/>
                    <w:pageBreakBefore w:val="0"/>
                    <w:kinsoku/>
                    <w:wordWrap/>
                    <w:overflowPunct/>
                    <w:topLinePunct w:val="0"/>
                    <w:autoSpaceDE/>
                    <w:autoSpaceDN/>
                    <w:bidi w:val="0"/>
                    <w:adjustRightInd/>
                    <w:snapToGrid/>
                    <w:spacing w:line="260" w:lineRule="exact"/>
                    <w:ind w:firstLine="0" w:firstLineChars="0"/>
                    <w:jc w:val="both"/>
                    <w:textAlignment w:val="auto"/>
                    <w:rPr>
                      <w:rFonts w:hint="default" w:ascii="Times New Roman" w:hAnsi="Times New Roman" w:cs="Times New Roman"/>
                      <w:b w:val="0"/>
                      <w:bCs w:val="0"/>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4、加快城市建成区排水管网清污分流、污水处理厂提质增效，新建或扩建城镇污水处理厂必须达到或优于《地表水环境质量标准》V类排放标准</w:t>
                  </w:r>
                  <w:r>
                    <w:rPr>
                      <w:rFonts w:hint="default" w:ascii="Times New Roman" w:hAnsi="Times New Roman" w:cs="Times New Roman"/>
                      <w:bCs/>
                      <w:color w:val="000000" w:themeColor="text1"/>
                      <w:sz w:val="18"/>
                      <w:szCs w:val="18"/>
                      <w:highlight w:val="none"/>
                      <w14:textFill>
                        <w14:solidFill>
                          <w14:schemeClr w14:val="tx1"/>
                        </w14:solidFill>
                      </w14:textFill>
                    </w:rPr>
                    <w:t>（</w:t>
                  </w:r>
                  <w:r>
                    <w:rPr>
                      <w:rFonts w:hint="default" w:ascii="Times New Roman" w:hAnsi="Times New Roman" w:cs="Times New Roman"/>
                      <w:color w:val="000000" w:themeColor="text1"/>
                      <w:sz w:val="18"/>
                      <w:szCs w:val="18"/>
                      <w:highlight w:val="none"/>
                      <w14:textFill>
                        <w14:solidFill>
                          <w14:schemeClr w14:val="tx1"/>
                        </w14:solidFill>
                      </w14:textFill>
                    </w:rPr>
                    <w:t>总氮除外，总氮达到《城镇污水处理厂污染物排放标准》（GB18918-2002）一级A标准）。</w:t>
                  </w:r>
                </w:p>
              </w:tc>
              <w:tc>
                <w:tcPr>
                  <w:tcW w:w="1076" w:type="pct"/>
                  <w:tcBorders>
                    <w:left w:val="single" w:color="000000" w:sz="4" w:space="0"/>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left"/>
                    <w:textAlignment w:val="auto"/>
                    <w:rPr>
                      <w:rFonts w:hint="default" w:ascii="Times New Roman" w:hAnsi="Times New Roman" w:eastAsia="宋体" w:cs="Times New Roman"/>
                      <w:b w:val="0"/>
                      <w:bCs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项目酸洗工序冲洗废水经自建污水处理设施（采用“隔油沉淀+调节+气浮+pH调节（调酸）+芬顿氧化+中和（调碱）+混凝沉淀+中和+水解酸化+MBR（微滤）+RO+高效蒸发器”工艺）处理，清水回用于清洗工序，浓水经高效蒸发后，残渣作为危险固废处理；生活污水经化粪池处理后，</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通过区域污水管网排入新乡县综合污水处理厂进一步处理。本项目外排废水主要为生活污水，</w:t>
                  </w: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不涉及重金属废水排放</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35" w:type="pct"/>
                  <w:vMerge w:val="continue"/>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cyan"/>
                      <w14:textFill>
                        <w14:solidFill>
                          <w14:schemeClr w14:val="tx1"/>
                        </w14:solidFill>
                      </w14:textFill>
                    </w:rPr>
                  </w:pPr>
                </w:p>
              </w:tc>
              <w:tc>
                <w:tcPr>
                  <w:tcW w:w="324" w:type="pct"/>
                  <w:vMerge w:val="continue"/>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cyan"/>
                      <w14:textFill>
                        <w14:solidFill>
                          <w14:schemeClr w14:val="tx1"/>
                        </w14:solidFill>
                      </w14:textFill>
                    </w:rPr>
                  </w:pPr>
                </w:p>
              </w:tc>
              <w:tc>
                <w:tcPr>
                  <w:tcW w:w="173" w:type="pct"/>
                  <w:vMerge w:val="continue"/>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cyan"/>
                      <w14:textFill>
                        <w14:solidFill>
                          <w14:schemeClr w14:val="tx1"/>
                        </w14:solidFill>
                      </w14:textFill>
                    </w:rPr>
                  </w:pPr>
                </w:p>
              </w:tc>
              <w:tc>
                <w:tcPr>
                  <w:tcW w:w="251" w:type="pct"/>
                  <w:vMerge w:val="continue"/>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cyan"/>
                      <w14:textFill>
                        <w14:solidFill>
                          <w14:schemeClr w14:val="tx1"/>
                        </w14:solidFill>
                      </w14:textFill>
                    </w:rPr>
                  </w:pPr>
                </w:p>
              </w:tc>
              <w:tc>
                <w:tcPr>
                  <w:tcW w:w="275" w:type="pct"/>
                  <w:vMerge w:val="continue"/>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cyan"/>
                      <w14:textFill>
                        <w14:solidFill>
                          <w14:schemeClr w14:val="tx1"/>
                        </w14:solidFill>
                      </w14:textFill>
                    </w:rPr>
                  </w:pPr>
                </w:p>
              </w:tc>
              <w:tc>
                <w:tcPr>
                  <w:tcW w:w="413" w:type="pct"/>
                  <w:vMerge w:val="continue"/>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textAlignment w:val="auto"/>
                    <w:rPr>
                      <w:rFonts w:hint="default" w:ascii="Times New Roman" w:hAnsi="Times New Roman" w:cs="Times New Roman"/>
                      <w:b w:val="0"/>
                      <w:bCs w:val="0"/>
                      <w:color w:val="000000" w:themeColor="text1"/>
                      <w:sz w:val="18"/>
                      <w:szCs w:val="18"/>
                      <w:highlight w:val="cyan"/>
                      <w14:textFill>
                        <w14:solidFill>
                          <w14:schemeClr w14:val="tx1"/>
                        </w14:solidFill>
                      </w14:textFill>
                    </w:rPr>
                  </w:pPr>
                </w:p>
              </w:tc>
              <w:tc>
                <w:tcPr>
                  <w:tcW w:w="390" w:type="pct"/>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cya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环境风险防控</w:t>
                  </w:r>
                </w:p>
              </w:tc>
              <w:tc>
                <w:tcPr>
                  <w:tcW w:w="1758" w:type="pct"/>
                  <w:tcBorders>
                    <w:right w:val="single" w:color="000000" w:sz="4" w:space="0"/>
                    <w:tl2br w:val="nil"/>
                    <w:tr2bl w:val="nil"/>
                  </w:tcBorders>
                  <w:vAlign w:val="center"/>
                </w:tcPr>
                <w:p>
                  <w:pPr>
                    <w:pStyle w:val="57"/>
                    <w:keepNext w:val="0"/>
                    <w:keepLines w:val="0"/>
                    <w:pageBreakBefore w:val="0"/>
                    <w:framePr w:hSpace="0" w:wrap="auto" w:vAnchor="margin" w:hAnchor="text" w:yAlign="inline"/>
                    <w:kinsoku/>
                    <w:wordWrap/>
                    <w:overflowPunct/>
                    <w:topLinePunct w:val="0"/>
                    <w:autoSpaceDE/>
                    <w:autoSpaceDN/>
                    <w:bidi w:val="0"/>
                    <w:adjustRightInd/>
                    <w:snapToGrid/>
                    <w:spacing w:line="260" w:lineRule="exact"/>
                    <w:ind w:firstLine="0" w:firstLineChars="0"/>
                    <w:jc w:val="both"/>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1、有色金属冶炼、铅酸蓄电池、石油加工、化工、电镀、制革和危险化学品生产、储存、使用等企业在拆除生产设施设备、污染治理设施时，要事先制定残留污染物清理和安全处置方案。</w:t>
                  </w:r>
                </w:p>
                <w:p>
                  <w:pPr>
                    <w:pStyle w:val="55"/>
                    <w:keepNext w:val="0"/>
                    <w:keepLines w:val="0"/>
                    <w:pageBreakBefore w:val="0"/>
                    <w:kinsoku/>
                    <w:wordWrap/>
                    <w:overflowPunct/>
                    <w:topLinePunct w:val="0"/>
                    <w:autoSpaceDE/>
                    <w:autoSpaceDN/>
                    <w:bidi w:val="0"/>
                    <w:adjustRightInd/>
                    <w:snapToGrid/>
                    <w:spacing w:line="260" w:lineRule="exact"/>
                    <w:ind w:firstLine="0" w:firstLineChars="0"/>
                    <w:jc w:val="both"/>
                    <w:textAlignment w:val="auto"/>
                    <w:rPr>
                      <w:rFonts w:hint="default" w:ascii="Times New Roman" w:hAnsi="Times New Roman" w:cs="Times New Roman"/>
                      <w:b w:val="0"/>
                      <w:bCs w:val="0"/>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2、高关注地块划分污染风险等级，纳入优先管控名录。</w:t>
                  </w:r>
                </w:p>
              </w:tc>
              <w:tc>
                <w:tcPr>
                  <w:tcW w:w="1076" w:type="pct"/>
                  <w:tcBorders>
                    <w:left w:val="single" w:color="000000" w:sz="4" w:space="0"/>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left"/>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本项目不涉及危险化学品使用，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35" w:type="pct"/>
                  <w:vMerge w:val="continue"/>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cyan"/>
                      <w14:textFill>
                        <w14:solidFill>
                          <w14:schemeClr w14:val="tx1"/>
                        </w14:solidFill>
                      </w14:textFill>
                    </w:rPr>
                  </w:pPr>
                </w:p>
              </w:tc>
              <w:tc>
                <w:tcPr>
                  <w:tcW w:w="324" w:type="pct"/>
                  <w:vMerge w:val="continue"/>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cyan"/>
                      <w14:textFill>
                        <w14:solidFill>
                          <w14:schemeClr w14:val="tx1"/>
                        </w14:solidFill>
                      </w14:textFill>
                    </w:rPr>
                  </w:pPr>
                </w:p>
              </w:tc>
              <w:tc>
                <w:tcPr>
                  <w:tcW w:w="173" w:type="pct"/>
                  <w:vMerge w:val="continue"/>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cyan"/>
                      <w14:textFill>
                        <w14:solidFill>
                          <w14:schemeClr w14:val="tx1"/>
                        </w14:solidFill>
                      </w14:textFill>
                    </w:rPr>
                  </w:pPr>
                </w:p>
              </w:tc>
              <w:tc>
                <w:tcPr>
                  <w:tcW w:w="251" w:type="pct"/>
                  <w:vMerge w:val="continue"/>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cyan"/>
                      <w14:textFill>
                        <w14:solidFill>
                          <w14:schemeClr w14:val="tx1"/>
                        </w14:solidFill>
                      </w14:textFill>
                    </w:rPr>
                  </w:pPr>
                </w:p>
              </w:tc>
              <w:tc>
                <w:tcPr>
                  <w:tcW w:w="275" w:type="pct"/>
                  <w:vMerge w:val="continue"/>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cyan"/>
                      <w14:textFill>
                        <w14:solidFill>
                          <w14:schemeClr w14:val="tx1"/>
                        </w14:solidFill>
                      </w14:textFill>
                    </w:rPr>
                  </w:pPr>
                </w:p>
              </w:tc>
              <w:tc>
                <w:tcPr>
                  <w:tcW w:w="413" w:type="pct"/>
                  <w:vMerge w:val="continue"/>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textAlignment w:val="auto"/>
                    <w:rPr>
                      <w:rFonts w:hint="default" w:ascii="Times New Roman" w:hAnsi="Times New Roman" w:cs="Times New Roman"/>
                      <w:b w:val="0"/>
                      <w:bCs w:val="0"/>
                      <w:color w:val="000000" w:themeColor="text1"/>
                      <w:sz w:val="18"/>
                      <w:szCs w:val="18"/>
                      <w:highlight w:val="cyan"/>
                      <w14:textFill>
                        <w14:solidFill>
                          <w14:schemeClr w14:val="tx1"/>
                        </w14:solidFill>
                      </w14:textFill>
                    </w:rPr>
                  </w:pPr>
                </w:p>
              </w:tc>
              <w:tc>
                <w:tcPr>
                  <w:tcW w:w="390" w:type="pct"/>
                  <w:tcBorders>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cya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资源利用效率要求</w:t>
                  </w:r>
                </w:p>
              </w:tc>
              <w:tc>
                <w:tcPr>
                  <w:tcW w:w="1758" w:type="pct"/>
                  <w:tcBorders>
                    <w:right w:val="single" w:color="000000" w:sz="4" w:space="0"/>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cs="Times New Roman"/>
                      <w:b w:val="0"/>
                      <w:bCs w:val="0"/>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w:t>
                  </w:r>
                </w:p>
              </w:tc>
              <w:tc>
                <w:tcPr>
                  <w:tcW w:w="1076" w:type="pct"/>
                  <w:tcBorders>
                    <w:left w:val="single" w:color="000000" w:sz="4" w:space="0"/>
                    <w:tl2br w:val="nil"/>
                    <w:tr2bl w:val="nil"/>
                  </w:tcBorders>
                  <w:vAlign w:val="center"/>
                </w:tcPr>
                <w:p>
                  <w:pPr>
                    <w:pStyle w:val="55"/>
                    <w:keepNext w:val="0"/>
                    <w:keepLines w:val="0"/>
                    <w:pageBreakBefore w:val="0"/>
                    <w:kinsoku/>
                    <w:wordWrap/>
                    <w:overflowPunct/>
                    <w:topLinePunct w:val="0"/>
                    <w:autoSpaceDE/>
                    <w:autoSpaceDN/>
                    <w:bidi w:val="0"/>
                    <w:adjustRightInd/>
                    <w:snapToGrid/>
                    <w:spacing w:line="26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w:t>
                  </w:r>
                </w:p>
              </w:tc>
            </w:tr>
          </w:tbl>
          <w:p>
            <w:pPr>
              <w:pStyle w:val="2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jc w:val="left"/>
              <w:textAlignment w:val="auto"/>
              <w:rPr>
                <w:rFonts w:hint="default" w:ascii="Times New Roman" w:hAnsi="Times New Roman" w:cs="Times New Roman"/>
                <w:color w:val="000000" w:themeColor="text1"/>
                <w:highlight w:val="cyan"/>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综上，本项目选址不在当地饮用水源、风景区、自然保护区等生态保护区内，不在环境功能区划等相关文件划定的生态保护红线范围内，满足生态保护红线要求，本项目符合生态环境分区管控要求。本项目利用现有厂区及厂房进行建设，不新增用地，项目用水由当地供水厂提供，用电由当地供电管网提供，加热炉所用天然气由新乡县欣鹏燃气有限公司提供，符合资源上线要求。</w:t>
            </w:r>
            <w:r>
              <w:rPr>
                <w:rFonts w:hint="default" w:ascii="Times New Roman" w:hAnsi="Times New Roman" w:cs="Times New Roman"/>
                <w:color w:val="000000" w:themeColor="text1"/>
                <w:sz w:val="21"/>
                <w:szCs w:val="21"/>
                <w:highlight w:val="none"/>
                <w:lang w:eastAsia="zh-CN"/>
                <w14:textFill>
                  <w14:solidFill>
                    <w14:schemeClr w14:val="tx1"/>
                  </w14:solidFill>
                </w14:textFill>
              </w:rPr>
              <w:t>对照《新乡市“三线一单”生态环境准入清单》（试行）和《河南省生态环境分区管控总体要求（试行）》，本项目符合生态环境准入清单要求。综上，本项目符合“三线一单”控制要求。</w:t>
            </w:r>
            <w:r>
              <w:rPr>
                <w:rFonts w:hint="default" w:ascii="Times New Roman" w:hAnsi="Times New Roman" w:eastAsia="宋体" w:cs="Times New Roman"/>
                <w:color w:val="000000" w:themeColor="text1"/>
                <w:sz w:val="21"/>
                <w:szCs w:val="21"/>
                <w:highlight w:val="cyan"/>
                <w:lang w:val="en-US" w:eastAsia="zh-CN"/>
                <w14:textFill>
                  <w14:solidFill>
                    <w14:schemeClr w14:val="tx1"/>
                  </w14:solidFill>
                </w14:textFill>
              </w:rPr>
              <w:br w:type="textWrapping"/>
            </w:r>
            <w:r>
              <w:rPr>
                <w:rFonts w:hint="default" w:ascii="Times New Roman" w:hAnsi="Times New Roman" w:eastAsia="宋体" w:cs="Times New Roman"/>
                <w:color w:val="000000" w:themeColor="text1"/>
                <w:sz w:val="21"/>
                <w:szCs w:val="21"/>
                <w:highlight w:val="cyan"/>
                <w:lang w:val="en-US" w:eastAsia="zh-CN"/>
                <w14:textFill>
                  <w14:solidFill>
                    <w14:schemeClr w14:val="tx1"/>
                  </w14:solidFill>
                </w14:textFill>
              </w:rPr>
              <w:br w:type="textWrapping"/>
            </w:r>
            <w:r>
              <w:rPr>
                <w:rFonts w:hint="default" w:ascii="Times New Roman" w:hAnsi="Times New Roman" w:eastAsia="宋体" w:cs="Times New Roman"/>
                <w:color w:val="000000" w:themeColor="text1"/>
                <w:sz w:val="21"/>
                <w:szCs w:val="21"/>
                <w:highlight w:val="cyan"/>
                <w:lang w:val="en-US" w:eastAsia="zh-CN"/>
                <w14:textFill>
                  <w14:solidFill>
                    <w14:schemeClr w14:val="tx1"/>
                  </w14:solidFill>
                </w14:textFill>
              </w:rPr>
              <w:br w:type="textWrapping"/>
            </w:r>
            <w:r>
              <w:rPr>
                <w:rFonts w:hint="default" w:ascii="Times New Roman" w:hAnsi="Times New Roman" w:eastAsia="宋体" w:cs="Times New Roman"/>
                <w:color w:val="000000" w:themeColor="text1"/>
                <w:sz w:val="21"/>
                <w:szCs w:val="21"/>
                <w:highlight w:val="cyan"/>
                <w:lang w:val="en-US" w:eastAsia="zh-CN"/>
                <w14:textFill>
                  <w14:solidFill>
                    <w14:schemeClr w14:val="tx1"/>
                  </w14:solidFill>
                </w14:textFill>
              </w:rPr>
              <w:br w:type="textWrapping"/>
            </w:r>
            <w:r>
              <w:rPr>
                <w:rFonts w:hint="default" w:ascii="Times New Roman" w:hAnsi="Times New Roman" w:eastAsia="宋体" w:cs="Times New Roman"/>
                <w:color w:val="000000" w:themeColor="text1"/>
                <w:sz w:val="21"/>
                <w:szCs w:val="21"/>
                <w:highlight w:val="cyan"/>
                <w:lang w:val="en-US" w:eastAsia="zh-CN"/>
                <w14:textFill>
                  <w14:solidFill>
                    <w14:schemeClr w14:val="tx1"/>
                  </w14:solidFill>
                </w14:textFill>
              </w:rPr>
              <w:br w:type="textWrapping"/>
            </w:r>
            <w:r>
              <w:rPr>
                <w:rFonts w:hint="default" w:ascii="Times New Roman" w:hAnsi="Times New Roman" w:eastAsia="宋体" w:cs="Times New Roman"/>
                <w:color w:val="000000" w:themeColor="text1"/>
                <w:sz w:val="21"/>
                <w:szCs w:val="21"/>
                <w:highlight w:val="cyan"/>
                <w:lang w:val="en-US" w:eastAsia="zh-CN"/>
                <w14:textFill>
                  <w14:solidFill>
                    <w14:schemeClr w14:val="tx1"/>
                  </w14:solidFill>
                </w14:textFill>
              </w:rPr>
              <w:br w:type="textWrapping"/>
            </w:r>
            <w:r>
              <w:rPr>
                <w:rFonts w:hint="default" w:ascii="Times New Roman" w:hAnsi="Times New Roman" w:eastAsia="宋体" w:cs="Times New Roman"/>
                <w:color w:val="000000" w:themeColor="text1"/>
                <w:sz w:val="21"/>
                <w:szCs w:val="21"/>
                <w:highlight w:val="cyan"/>
                <w:lang w:val="en-US" w:eastAsia="zh-CN"/>
                <w14:textFill>
                  <w14:solidFill>
                    <w14:schemeClr w14:val="tx1"/>
                  </w14:solidFill>
                </w14:textFill>
              </w:rPr>
              <w:br w:type="textWrapping"/>
            </w:r>
            <w:r>
              <w:rPr>
                <w:rFonts w:hint="default" w:ascii="Times New Roman" w:hAnsi="Times New Roman" w:eastAsia="宋体" w:cs="Times New Roman"/>
                <w:color w:val="000000" w:themeColor="text1"/>
                <w:sz w:val="21"/>
                <w:szCs w:val="21"/>
                <w:highlight w:val="cyan"/>
                <w:lang w:val="en-US" w:eastAsia="zh-CN"/>
                <w14:textFill>
                  <w14:solidFill>
                    <w14:schemeClr w14:val="tx1"/>
                  </w14:solidFill>
                </w14:textFill>
              </w:rPr>
              <w:br w:type="textWrapping"/>
            </w:r>
            <w:r>
              <w:rPr>
                <w:rFonts w:hint="default" w:ascii="Times New Roman" w:hAnsi="Times New Roman" w:eastAsia="宋体" w:cs="Times New Roman"/>
                <w:color w:val="000000" w:themeColor="text1"/>
                <w:sz w:val="21"/>
                <w:szCs w:val="21"/>
                <w:highlight w:val="cyan"/>
                <w:lang w:val="en-US" w:eastAsia="zh-CN"/>
                <w14:textFill>
                  <w14:solidFill>
                    <w14:schemeClr w14:val="tx1"/>
                  </w14:solidFill>
                </w14:textFill>
              </w:rPr>
              <w:br w:type="textWrapping"/>
            </w:r>
            <w:r>
              <w:rPr>
                <w:rFonts w:hint="default" w:ascii="Times New Roman" w:hAnsi="Times New Roman" w:eastAsia="宋体" w:cs="Times New Roman"/>
                <w:color w:val="000000" w:themeColor="text1"/>
                <w:sz w:val="21"/>
                <w:szCs w:val="21"/>
                <w:highlight w:val="cyan"/>
                <w:lang w:val="en-US" w:eastAsia="zh-CN"/>
                <w14:textFill>
                  <w14:solidFill>
                    <w14:schemeClr w14:val="tx1"/>
                  </w14:solidFill>
                </w14:textFill>
              </w:rPr>
              <w:br w:type="textWrapping"/>
            </w:r>
            <w:r>
              <w:rPr>
                <w:rFonts w:hint="default" w:ascii="Times New Roman" w:hAnsi="Times New Roman" w:eastAsia="宋体" w:cs="Times New Roman"/>
                <w:color w:val="000000" w:themeColor="text1"/>
                <w:sz w:val="21"/>
                <w:szCs w:val="21"/>
                <w:highlight w:val="cyan"/>
                <w:lang w:val="en-US" w:eastAsia="zh-CN"/>
                <w14:textFill>
                  <w14:solidFill>
                    <w14:schemeClr w14:val="tx1"/>
                  </w14:solidFill>
                </w14:textFill>
              </w:rPr>
              <w:br w:type="textWrapping"/>
            </w:r>
            <w:r>
              <w:rPr>
                <w:rFonts w:hint="default" w:ascii="Times New Roman" w:hAnsi="Times New Roman" w:eastAsia="宋体" w:cs="Times New Roman"/>
                <w:color w:val="000000" w:themeColor="text1"/>
                <w:sz w:val="21"/>
                <w:szCs w:val="21"/>
                <w:highlight w:val="cyan"/>
                <w:lang w:val="en-US" w:eastAsia="zh-CN"/>
                <w14:textFill>
                  <w14:solidFill>
                    <w14:schemeClr w14:val="tx1"/>
                  </w14:solidFill>
                </w14:textFill>
              </w:rPr>
              <w:br w:type="textWrapping"/>
            </w:r>
            <w:r>
              <w:rPr>
                <w:rFonts w:hint="default" w:ascii="Times New Roman" w:hAnsi="Times New Roman" w:eastAsia="宋体" w:cs="Times New Roman"/>
                <w:color w:val="000000" w:themeColor="text1"/>
                <w:sz w:val="21"/>
                <w:szCs w:val="21"/>
                <w:highlight w:val="cyan"/>
                <w:lang w:val="en-US" w:eastAsia="zh-CN"/>
                <w14:textFill>
                  <w14:solidFill>
                    <w14:schemeClr w14:val="tx1"/>
                  </w14:solidFill>
                </w14:textFill>
              </w:rPr>
              <w:br w:type="textWrapping"/>
            </w:r>
            <w:r>
              <w:rPr>
                <w:rFonts w:hint="default" w:ascii="Times New Roman" w:hAnsi="Times New Roman" w:eastAsia="宋体" w:cs="Times New Roman"/>
                <w:color w:val="000000" w:themeColor="text1"/>
                <w:sz w:val="21"/>
                <w:szCs w:val="21"/>
                <w:highlight w:val="cyan"/>
                <w:lang w:val="en-US" w:eastAsia="zh-CN"/>
                <w14:textFill>
                  <w14:solidFill>
                    <w14:schemeClr w14:val="tx1"/>
                  </w14:solidFill>
                </w14:textFill>
              </w:rPr>
              <w:br w:type="textWrapping"/>
            </w:r>
            <w:r>
              <w:rPr>
                <w:rFonts w:hint="default" w:ascii="Times New Roman" w:hAnsi="Times New Roman" w:eastAsia="宋体" w:cs="Times New Roman"/>
                <w:color w:val="000000" w:themeColor="text1"/>
                <w:sz w:val="21"/>
                <w:szCs w:val="21"/>
                <w:highlight w:val="cyan"/>
                <w:lang w:val="en-US" w:eastAsia="zh-CN"/>
                <w14:textFill>
                  <w14:solidFill>
                    <w14:schemeClr w14:val="tx1"/>
                  </w14:solidFill>
                </w14:textFill>
              </w:rPr>
              <w:br w:type="textWrapping"/>
            </w:r>
            <w:r>
              <w:rPr>
                <w:rFonts w:hint="default" w:ascii="Times New Roman" w:hAnsi="Times New Roman" w:eastAsia="宋体" w:cs="Times New Roman"/>
                <w:color w:val="000000" w:themeColor="text1"/>
                <w:sz w:val="21"/>
                <w:szCs w:val="21"/>
                <w:highlight w:val="cyan"/>
                <w:lang w:val="en-US" w:eastAsia="zh-CN"/>
                <w14:textFill>
                  <w14:solidFill>
                    <w14:schemeClr w14:val="tx1"/>
                  </w14:solidFill>
                </w14:textFill>
              </w:rPr>
              <w:br w:type="textWrapping"/>
            </w:r>
            <w:r>
              <w:rPr>
                <w:rFonts w:hint="default" w:ascii="Times New Roman" w:hAnsi="Times New Roman" w:eastAsia="宋体" w:cs="Times New Roman"/>
                <w:color w:val="000000" w:themeColor="text1"/>
                <w:sz w:val="21"/>
                <w:szCs w:val="21"/>
                <w:highlight w:val="cyan"/>
                <w:lang w:val="en-US" w:eastAsia="zh-CN"/>
                <w14:textFill>
                  <w14:solidFill>
                    <w14:schemeClr w14:val="tx1"/>
                  </w14:solidFill>
                </w14:textFill>
              </w:rPr>
              <w:br w:type="textWrapping"/>
            </w:r>
            <w:r>
              <w:rPr>
                <w:rFonts w:hint="default" w:ascii="Times New Roman" w:hAnsi="Times New Roman" w:eastAsia="宋体" w:cs="Times New Roman"/>
                <w:color w:val="000000" w:themeColor="text1"/>
                <w:sz w:val="21"/>
                <w:szCs w:val="21"/>
                <w:highlight w:val="cyan"/>
                <w:lang w:val="en-US" w:eastAsia="zh-CN"/>
                <w14:textFill>
                  <w14:solidFill>
                    <w14:schemeClr w14:val="tx1"/>
                  </w14:solidFill>
                </w14:textFill>
              </w:rPr>
              <w:br w:type="textWrapping"/>
            </w:r>
            <w:r>
              <w:rPr>
                <w:rFonts w:hint="default" w:ascii="Times New Roman" w:hAnsi="Times New Roman" w:eastAsia="宋体" w:cs="Times New Roman"/>
                <w:color w:val="000000" w:themeColor="text1"/>
                <w:sz w:val="21"/>
                <w:szCs w:val="21"/>
                <w:highlight w:val="cyan"/>
                <w:lang w:val="en-US" w:eastAsia="zh-CN"/>
                <w14:textFill>
                  <w14:solidFill>
                    <w14:schemeClr w14:val="tx1"/>
                  </w14:solidFill>
                </w14:textFill>
              </w:rPr>
              <w:br w:type="textWrapping"/>
            </w:r>
          </w:p>
        </w:tc>
      </w:tr>
    </w:tbl>
    <w:p>
      <w:pPr>
        <w:pStyle w:val="30"/>
        <w:rPr>
          <w:rFonts w:hint="default" w:ascii="Times New Roman" w:hAnsi="Times New Roman" w:cs="Times New Roman"/>
          <w:color w:val="000000" w:themeColor="text1"/>
          <w:highlight w:val="cyan"/>
          <w14:textFill>
            <w14:solidFill>
              <w14:schemeClr w14:val="tx1"/>
            </w14:solidFill>
          </w14:textFill>
        </w:rPr>
        <w:sectPr>
          <w:pgSz w:w="16838" w:h="11906" w:orient="landscape"/>
          <w:pgMar w:top="1803" w:right="1440" w:bottom="1803" w:left="1440" w:header="851" w:footer="1077" w:gutter="0"/>
          <w:pgBorders>
            <w:top w:val="none" w:sz="0" w:space="0"/>
            <w:left w:val="none" w:sz="0" w:space="0"/>
            <w:bottom w:val="none" w:sz="0" w:space="0"/>
            <w:right w:val="none" w:sz="0" w:space="0"/>
          </w:pgBorders>
          <w:pgNumType w:fmt="decimal"/>
          <w:cols w:space="720" w:num="1"/>
          <w:docGrid w:linePitch="312" w:charSpace="0"/>
        </w:sectPr>
      </w:pPr>
    </w:p>
    <w:p>
      <w:pPr>
        <w:pStyle w:val="16"/>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0"/>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pPr>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t>二、建设项目工程分析</w:t>
      </w:r>
    </w:p>
    <w:tbl>
      <w:tblPr>
        <w:tblStyle w:val="21"/>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45"/>
        <w:gridCol w:w="839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457" w:type="pct"/>
            <w:noWrap w:val="0"/>
            <w:vAlign w:val="center"/>
          </w:tcPr>
          <w:p>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320" w:lineRule="exact"/>
              <w:ind w:left="0" w:leftChars="0" w:firstLine="0" w:firstLineChars="0"/>
              <w:jc w:val="center"/>
              <w:textAlignment w:val="auto"/>
              <w:rPr>
                <w:rFonts w:hint="default" w:ascii="Times New Roman" w:hAnsi="Times New Roman" w:cs="Times New Roman"/>
                <w:color w:val="000000" w:themeColor="text1"/>
                <w:sz w:val="21"/>
                <w:szCs w:val="21"/>
                <w:highlight w:val="cya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建设内容</w:t>
            </w:r>
          </w:p>
        </w:tc>
        <w:tc>
          <w:tcPr>
            <w:tcW w:w="4542" w:type="pct"/>
            <w:noWrap w:val="0"/>
            <w:vAlign w:val="top"/>
          </w:tcPr>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textAlignment w:val="auto"/>
              <w:rPr>
                <w:rFonts w:hint="default" w:ascii="Times New Roman" w:hAnsi="Times New Roman" w:cs="Times New Roman"/>
                <w:b/>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bCs w:val="0"/>
                <w:color w:val="000000" w:themeColor="text1"/>
                <w:kern w:val="0"/>
                <w:sz w:val="21"/>
                <w:szCs w:val="21"/>
                <w:highlight w:val="none"/>
                <w:lang w:val="en-US" w:eastAsia="zh-CN"/>
                <w14:textFill>
                  <w14:solidFill>
                    <w14:schemeClr w14:val="tx1"/>
                  </w14:solidFill>
                </w14:textFill>
              </w:rPr>
              <w:t>1、项目概况</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bCs/>
                <w:color w:val="000000" w:themeColor="text1"/>
                <w:kern w:val="0"/>
                <w:sz w:val="21"/>
                <w:szCs w:val="21"/>
                <w:highlight w:val="cyan"/>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新乡中联石化封头锻压有限公司成立于1986年，厂址位于</w:t>
            </w: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新乡市新乡县小冀镇青龙大道39号</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该公司属于新乡中联集团下属子公司，新乡中联集团于2004年编制了环境影响报告书（批复文号：豫环监（2004）110号，验收文号：豫环保验（2006）82号），后经改制独立管理后，以新乡中联石化风头锻压有限公司运营管理。目前公司现有《新乡中联石化封头锻压有限公司蓄热式台车加热炉节能技术改造项目环境影响报告表》于2011年8月8日以“新环监（2011）196号”通过新乡市环境保护局审批，并于2012年12月31日以“新环验（2012）176号”通过新乡市环境保护局验收，公司于2020年5月22日办理排污许可证，</w:t>
            </w:r>
            <w:r>
              <w:rPr>
                <w:rFonts w:hint="eastAsia" w:cs="Times New Roman"/>
                <w:bCs/>
                <w:color w:val="000000" w:themeColor="text1"/>
                <w:kern w:val="0"/>
                <w:sz w:val="21"/>
                <w:szCs w:val="21"/>
                <w:highlight w:val="none"/>
                <w:lang w:val="en-US" w:eastAsia="zh-CN"/>
                <w14:textFill>
                  <w14:solidFill>
                    <w14:schemeClr w14:val="tx1"/>
                  </w14:solidFill>
                </w14:textFill>
              </w:rPr>
              <w:t>许可证</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编号：914107211731700675001Z。目前公司具备年产15000吨封头生产能力。</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封头是指用以封闭容器端部使其内外介质隔离的元件，又称端盖，是石油化工、原子能到食品制药诸多行业压力容器设备中不可缺少的重要部件。为满足市场需求，新乡中联石化封头锻压有限公司拟投资20000万元</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在现</w:t>
            </w:r>
            <w:r>
              <w:rPr>
                <w:rFonts w:hint="default" w:ascii="Times New Roman" w:hAnsi="Times New Roman" w:cs="Times New Roman"/>
                <w:bCs/>
                <w:color w:val="000000" w:themeColor="text1"/>
                <w:kern w:val="0"/>
                <w:szCs w:val="21"/>
                <w:lang w:val="en-US" w:eastAsia="zh-CN"/>
                <w14:textFill>
                  <w14:solidFill>
                    <w14:schemeClr w14:val="tx1"/>
                  </w14:solidFill>
                </w14:textFill>
              </w:rPr>
              <w:t>有工程</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基础上</w:t>
            </w: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利用厂区内现有闲置车间建设新乡中联石化封头锻压有限公司年产</w:t>
            </w:r>
            <w:r>
              <w:rPr>
                <w:rFonts w:hint="eastAsia" w:cs="Times New Roman"/>
                <w:bCs/>
                <w:color w:val="000000" w:themeColor="text1"/>
                <w:kern w:val="0"/>
                <w:sz w:val="21"/>
                <w:szCs w:val="21"/>
                <w:highlight w:val="none"/>
                <w:lang w:val="en-US" w:eastAsia="zh-CN"/>
                <w14:textFill>
                  <w14:solidFill>
                    <w14:schemeClr w14:val="tx1"/>
                  </w14:solidFill>
                </w14:textFill>
              </w:rPr>
              <w:t>26000吨</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世界级超重型封头生产线建设项目，本次扩建新增年产</w:t>
            </w:r>
            <w:r>
              <w:rPr>
                <w:rFonts w:hint="eastAsia" w:cs="Times New Roman"/>
                <w:bCs/>
                <w:color w:val="000000" w:themeColor="text1"/>
                <w:kern w:val="0"/>
                <w:sz w:val="21"/>
                <w:szCs w:val="21"/>
                <w:highlight w:val="none"/>
                <w:lang w:val="en-US" w:eastAsia="zh-CN"/>
                <w14:textFill>
                  <w14:solidFill>
                    <w14:schemeClr w14:val="tx1"/>
                  </w14:solidFill>
                </w14:textFill>
              </w:rPr>
              <w:t>26</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000吨封头生产能力，</w:t>
            </w:r>
            <w:r>
              <w:rPr>
                <w:rFonts w:hint="eastAsia" w:cs="Times New Roman"/>
                <w:bCs/>
                <w:color w:val="000000" w:themeColor="text1"/>
                <w:kern w:val="0"/>
                <w:sz w:val="21"/>
                <w:szCs w:val="21"/>
                <w:highlight w:val="none"/>
                <w:lang w:val="en-US" w:eastAsia="zh-CN"/>
                <w14:textFill>
                  <w14:solidFill>
                    <w14:schemeClr w14:val="tx1"/>
                  </w14:solidFill>
                </w14:textFill>
              </w:rPr>
              <w:t>同时新增1条酸洗生产线对现有工程和本次扩建工程制作的不锈钢类封头进行酸洗处理，</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建成后全厂具备年产</w:t>
            </w:r>
            <w:r>
              <w:rPr>
                <w:rFonts w:hint="eastAsia" w:cs="Times New Roman"/>
                <w:bCs/>
                <w:color w:val="000000" w:themeColor="text1"/>
                <w:kern w:val="0"/>
                <w:sz w:val="21"/>
                <w:szCs w:val="21"/>
                <w:highlight w:val="none"/>
                <w:lang w:val="en-US" w:eastAsia="zh-CN"/>
                <w14:textFill>
                  <w14:solidFill>
                    <w14:schemeClr w14:val="tx1"/>
                  </w14:solidFill>
                </w14:textFill>
              </w:rPr>
              <w:t>41</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000吨封头生产能力。</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本项目涉及的辐射检测设备需另行评价，辐射评价不在本次评价范围内。</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default" w:ascii="Times New Roman" w:hAnsi="Times New Roman" w:cs="Times New Roman"/>
                <w:b/>
                <w:color w:val="000000" w:themeColor="text1"/>
                <w:kern w:val="0"/>
                <w:szCs w:val="21"/>
                <w:highlight w:val="none"/>
                <w14:textFill>
                  <w14:solidFill>
                    <w14:schemeClr w14:val="tx1"/>
                  </w14:solidFill>
                </w14:textFill>
              </w:rPr>
            </w:pPr>
            <w:r>
              <w:rPr>
                <w:rFonts w:hint="default" w:ascii="Times New Roman" w:hAnsi="Times New Roman" w:cs="Times New Roman"/>
                <w:b/>
                <w:color w:val="000000" w:themeColor="text1"/>
                <w:kern w:val="0"/>
                <w:szCs w:val="21"/>
                <w:highlight w:val="none"/>
                <w:lang w:val="en-US" w:eastAsia="zh-CN"/>
                <w14:textFill>
                  <w14:solidFill>
                    <w14:schemeClr w14:val="tx1"/>
                  </w14:solidFill>
                </w14:textFill>
              </w:rPr>
              <w:t>2、</w:t>
            </w:r>
            <w:r>
              <w:rPr>
                <w:rFonts w:hint="default" w:ascii="Times New Roman" w:hAnsi="Times New Roman" w:cs="Times New Roman"/>
                <w:b/>
                <w:color w:val="000000" w:themeColor="text1"/>
                <w:kern w:val="0"/>
                <w:szCs w:val="21"/>
                <w:highlight w:val="none"/>
                <w14:textFill>
                  <w14:solidFill>
                    <w14:schemeClr w14:val="tx1"/>
                  </w14:solidFill>
                </w14:textFill>
              </w:rPr>
              <w:t>本项目建设内容</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bCs/>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kern w:val="0"/>
                <w:szCs w:val="21"/>
                <w:highlight w:val="none"/>
                <w:lang w:eastAsia="zh-CN"/>
                <w14:textFill>
                  <w14:solidFill>
                    <w14:schemeClr w14:val="tx1"/>
                  </w14:solidFill>
                </w14:textFill>
              </w:rPr>
              <w:t>本次工程</w:t>
            </w:r>
            <w:r>
              <w:rPr>
                <w:rFonts w:hint="default" w:ascii="Times New Roman" w:hAnsi="Times New Roman" w:cs="Times New Roman"/>
                <w:bCs/>
                <w:color w:val="000000" w:themeColor="text1"/>
                <w:kern w:val="0"/>
                <w:szCs w:val="21"/>
                <w:highlight w:val="none"/>
                <w14:textFill>
                  <w14:solidFill>
                    <w14:schemeClr w14:val="tx1"/>
                  </w14:solidFill>
                </w14:textFill>
              </w:rPr>
              <w:t>由主体工程、</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辅助工程、公用工程和</w:t>
            </w:r>
            <w:r>
              <w:rPr>
                <w:rFonts w:hint="default" w:ascii="Times New Roman" w:hAnsi="Times New Roman" w:cs="Times New Roman"/>
                <w:bCs/>
                <w:color w:val="000000" w:themeColor="text1"/>
                <w:kern w:val="0"/>
                <w:szCs w:val="21"/>
                <w:highlight w:val="none"/>
                <w14:textFill>
                  <w14:solidFill>
                    <w14:schemeClr w14:val="tx1"/>
                  </w14:solidFill>
                </w14:textFill>
              </w:rPr>
              <w:t>环保工程等内容组成。</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具体</w:t>
            </w:r>
            <w:r>
              <w:rPr>
                <w:rFonts w:hint="default" w:ascii="Times New Roman" w:hAnsi="Times New Roman" w:cs="Times New Roman"/>
                <w:bCs/>
                <w:color w:val="000000" w:themeColor="text1"/>
                <w:kern w:val="0"/>
                <w:szCs w:val="21"/>
                <w:highlight w:val="none"/>
                <w14:textFill>
                  <w14:solidFill>
                    <w14:schemeClr w14:val="tx1"/>
                  </w14:solidFill>
                </w14:textFill>
              </w:rPr>
              <w:t>组成见</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下表</w:t>
            </w:r>
            <w:r>
              <w:rPr>
                <w:rFonts w:hint="default" w:ascii="Times New Roman" w:hAnsi="Times New Roman" w:cs="Times New Roman"/>
                <w:bCs/>
                <w:color w:val="000000" w:themeColor="text1"/>
                <w:kern w:val="0"/>
                <w:szCs w:val="21"/>
                <w:highlight w:val="none"/>
                <w14:textFill>
                  <w14:solidFill>
                    <w14:schemeClr w14:val="tx1"/>
                  </w14:solidFill>
                </w14:textFill>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项目主要建设内容一览表</w:t>
            </w:r>
          </w:p>
          <w:tbl>
            <w:tblPr>
              <w:tblStyle w:val="21"/>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15"/>
              <w:gridCol w:w="1323"/>
              <w:gridCol w:w="1745"/>
              <w:gridCol w:w="3505"/>
              <w:gridCol w:w="98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类别</w:t>
                  </w:r>
                </w:p>
              </w:tc>
              <w:tc>
                <w:tcPr>
                  <w:tcW w:w="8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名称</w:t>
                  </w:r>
                </w:p>
              </w:tc>
              <w:tc>
                <w:tcPr>
                  <w:tcW w:w="321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建设内容</w:t>
                  </w:r>
                </w:p>
              </w:tc>
              <w:tc>
                <w:tcPr>
                  <w:tcW w:w="60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主体工程</w:t>
                  </w:r>
                </w:p>
              </w:tc>
              <w:tc>
                <w:tcPr>
                  <w:tcW w:w="8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1#</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生产车间</w:t>
                  </w:r>
                </w:p>
              </w:tc>
              <w:tc>
                <w:tcPr>
                  <w:tcW w:w="321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1座1层，钢结构，建筑面积12600平方米，主要包括原料区、下料区、热压成型区和冷压成型区；</w:t>
                  </w:r>
                </w:p>
              </w:tc>
              <w:tc>
                <w:tcPr>
                  <w:tcW w:w="60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利用现有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8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2#</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生产车间</w:t>
                  </w:r>
                </w:p>
              </w:tc>
              <w:tc>
                <w:tcPr>
                  <w:tcW w:w="321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1座1层，钢结构，建筑面积6300平方米，主要包括拼板焊接区、修整成型区、成品区和检验室</w:t>
                  </w:r>
                </w:p>
              </w:tc>
              <w:tc>
                <w:tcPr>
                  <w:tcW w:w="60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利用现有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8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3#</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生产车间</w:t>
                  </w:r>
                </w:p>
              </w:tc>
              <w:tc>
                <w:tcPr>
                  <w:tcW w:w="321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1座1层，钢结构，建筑面积3050平方米，主要特材拼板焊接区、危险固废暂存间、一般固废暂存区和预留区域</w:t>
                  </w:r>
                </w:p>
              </w:tc>
              <w:tc>
                <w:tcPr>
                  <w:tcW w:w="60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利用现有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8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4#酸洗车间</w:t>
                  </w:r>
                </w:p>
              </w:tc>
              <w:tc>
                <w:tcPr>
                  <w:tcW w:w="321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1座1层，钢结构，建筑面积2000平方米，主要建设1条封头酸洗生产线</w:t>
                  </w:r>
                  <w:r>
                    <w:rPr>
                      <w:rFonts w:hint="eastAsia" w:cs="Times New Roman"/>
                      <w:snapToGrid w:val="0"/>
                      <w:color w:val="000000" w:themeColor="text1"/>
                      <w:kern w:val="0"/>
                      <w:sz w:val="18"/>
                      <w:szCs w:val="18"/>
                      <w:highlight w:val="none"/>
                      <w:lang w:val="en-US" w:eastAsia="zh-CN"/>
                      <w14:textFill>
                        <w14:solidFill>
                          <w14:schemeClr w14:val="tx1"/>
                        </w14:solidFill>
                      </w14:textFill>
                    </w:rPr>
                    <w:t>，包括酸洗间、成品区、原料区、化学品存放间</w:t>
                  </w:r>
                </w:p>
              </w:tc>
              <w:tc>
                <w:tcPr>
                  <w:tcW w:w="60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利用现有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辅助工程</w:t>
                  </w:r>
                </w:p>
              </w:tc>
              <w:tc>
                <w:tcPr>
                  <w:tcW w:w="8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办公楼</w:t>
                  </w:r>
                </w:p>
              </w:tc>
              <w:tc>
                <w:tcPr>
                  <w:tcW w:w="321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1座3层，砖混，建筑面积600平方米，主要为日常办公及其他辅助设施</w:t>
                  </w:r>
                </w:p>
              </w:tc>
              <w:tc>
                <w:tcPr>
                  <w:tcW w:w="60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利用现有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公用工程</w:t>
                  </w:r>
                </w:p>
              </w:tc>
              <w:tc>
                <w:tcPr>
                  <w:tcW w:w="8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14:textFill>
                        <w14:solidFill>
                          <w14:schemeClr w14:val="tx1"/>
                        </w14:solidFill>
                      </w14:textFill>
                    </w:rPr>
                  </w:pPr>
                  <w:r>
                    <w:rPr>
                      <w:rFonts w:hint="default" w:ascii="Times New Roman" w:hAnsi="Times New Roman" w:cs="Times New Roman"/>
                      <w:snapToGrid w:val="0"/>
                      <w:color w:val="000000" w:themeColor="text1"/>
                      <w:sz w:val="18"/>
                      <w:szCs w:val="18"/>
                      <w:highlight w:val="none"/>
                      <w14:textFill>
                        <w14:solidFill>
                          <w14:schemeClr w14:val="tx1"/>
                        </w14:solidFill>
                      </w14:textFill>
                    </w:rPr>
                    <w:t>供水</w:t>
                  </w:r>
                </w:p>
              </w:tc>
              <w:tc>
                <w:tcPr>
                  <w:tcW w:w="321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市政供水管网</w:t>
                  </w:r>
                </w:p>
              </w:tc>
              <w:tc>
                <w:tcPr>
                  <w:tcW w:w="60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利用现有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809"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排水</w:t>
                  </w:r>
                </w:p>
              </w:tc>
              <w:tc>
                <w:tcPr>
                  <w:tcW w:w="321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生活污水利用厂区现有化粪池</w:t>
                  </w: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处理后，</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通过区域污水管网排入新乡县综合污水处理厂进一步处理</w:t>
                  </w:r>
                </w:p>
              </w:tc>
              <w:tc>
                <w:tcPr>
                  <w:tcW w:w="60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利用现有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80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321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eastAsia" w:cs="Times New Roman"/>
                      <w:snapToGrid w:val="0"/>
                      <w:color w:val="000000" w:themeColor="text1"/>
                      <w:kern w:val="0"/>
                      <w:sz w:val="18"/>
                      <w:szCs w:val="18"/>
                      <w:highlight w:val="none"/>
                      <w:lang w:eastAsia="zh-CN"/>
                      <w14:textFill>
                        <w14:solidFill>
                          <w14:schemeClr w14:val="tx1"/>
                        </w14:solidFill>
                      </w14:textFill>
                    </w:rPr>
                    <w:t>酸洗工序冲洗废水经自建</w:t>
                  </w: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1套</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自建污水处理设施处理，清水回用于</w:t>
                  </w:r>
                  <w:r>
                    <w:rPr>
                      <w:rFonts w:hint="eastAsia" w:cs="Times New Roman"/>
                      <w:snapToGrid w:val="0"/>
                      <w:color w:val="000000" w:themeColor="text1"/>
                      <w:kern w:val="0"/>
                      <w:sz w:val="18"/>
                      <w:szCs w:val="18"/>
                      <w:highlight w:val="none"/>
                      <w:lang w:eastAsia="zh-CN"/>
                      <w14:textFill>
                        <w14:solidFill>
                          <w14:schemeClr w14:val="tx1"/>
                        </w14:solidFill>
                      </w14:textFill>
                    </w:rPr>
                    <w:t>酸洗后冲洗环节，不外排，产生的</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浓水经高效蒸发后，残渣作为危险固废处理</w:t>
                  </w:r>
                </w:p>
              </w:tc>
              <w:tc>
                <w:tcPr>
                  <w:tcW w:w="60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eastAsia" w:cs="Times New Roman"/>
                      <w:color w:val="000000" w:themeColor="text1"/>
                      <w:sz w:val="18"/>
                      <w:szCs w:val="18"/>
                      <w:highlight w:val="none"/>
                      <w:lang w:eastAsia="zh-CN"/>
                      <w14:textFill>
                        <w14:solidFill>
                          <w14:schemeClr w14:val="tx1"/>
                        </w14:solidFill>
                      </w14:textFill>
                    </w:rPr>
                    <w:t>新建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cyan"/>
                      <w14:textFill>
                        <w14:solidFill>
                          <w14:schemeClr w14:val="tx1"/>
                        </w14:solidFill>
                      </w14:textFill>
                    </w:rPr>
                  </w:pPr>
                </w:p>
              </w:tc>
              <w:tc>
                <w:tcPr>
                  <w:tcW w:w="8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供电</w:t>
                  </w:r>
                </w:p>
              </w:tc>
              <w:tc>
                <w:tcPr>
                  <w:tcW w:w="321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市政供电管网</w:t>
                  </w:r>
                </w:p>
              </w:tc>
              <w:tc>
                <w:tcPr>
                  <w:tcW w:w="60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利用现有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8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供气</w:t>
                  </w:r>
                </w:p>
              </w:tc>
              <w:tc>
                <w:tcPr>
                  <w:tcW w:w="321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新乡县欣鹏燃气有限公司供气管线</w:t>
                  </w:r>
                </w:p>
              </w:tc>
              <w:tc>
                <w:tcPr>
                  <w:tcW w:w="60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利用现有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环保工程</w:t>
                  </w:r>
                </w:p>
              </w:tc>
              <w:tc>
                <w:tcPr>
                  <w:tcW w:w="809"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废气</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治理</w:t>
                  </w:r>
                </w:p>
              </w:tc>
              <w:tc>
                <w:tcPr>
                  <w:tcW w:w="106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t>加热炉燃气</w:t>
                  </w:r>
                </w:p>
              </w:tc>
              <w:tc>
                <w:tcPr>
                  <w:tcW w:w="214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sz w:val="18"/>
                      <w:szCs w:val="18"/>
                      <w:highlight w:val="none"/>
                      <w:vertAlign w:val="baseline"/>
                      <w:lang w:val="en-US" w:eastAsia="zh-CN"/>
                      <w14:textFill>
                        <w14:solidFill>
                          <w14:schemeClr w14:val="tx1"/>
                        </w14:solidFill>
                      </w14:textFill>
                    </w:rPr>
                    <w:t>加热燃气炉：选择性催化还原（SCR）脱硝装置</w:t>
                  </w:r>
                  <w:r>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t>+15m高排气筒（DA001）</w:t>
                  </w:r>
                </w:p>
              </w:tc>
              <w:tc>
                <w:tcPr>
                  <w:tcW w:w="60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t>利用现有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80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106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t>切割工序</w:t>
                  </w:r>
                </w:p>
              </w:tc>
              <w:tc>
                <w:tcPr>
                  <w:tcW w:w="214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t>切割工序：二次密闭间+负压集气+脉冲袋式除尘器+15m高排气筒（DA002）</w:t>
                  </w:r>
                </w:p>
              </w:tc>
              <w:tc>
                <w:tcPr>
                  <w:tcW w:w="60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t>新建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80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106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t>焊接工序</w:t>
                  </w:r>
                </w:p>
              </w:tc>
              <w:tc>
                <w:tcPr>
                  <w:tcW w:w="2142"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t>焊接、打磨工序：二次密闭间+负压集气装置+脉冲袋式除尘器+15m高排气筒（DA003）</w:t>
                  </w:r>
                </w:p>
              </w:tc>
              <w:tc>
                <w:tcPr>
                  <w:tcW w:w="604"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t>新建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80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106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t>打磨工序</w:t>
                  </w:r>
                </w:p>
              </w:tc>
              <w:tc>
                <w:tcPr>
                  <w:tcW w:w="214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pPr>
                </w:p>
              </w:tc>
              <w:tc>
                <w:tcPr>
                  <w:tcW w:w="60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80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106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pPr>
                  <w:r>
                    <w:rPr>
                      <w:rFonts w:hint="eastAsia" w:cs="Times New Roman"/>
                      <w:snapToGrid w:val="0"/>
                      <w:color w:val="000000" w:themeColor="text1"/>
                      <w:kern w:val="2"/>
                      <w:sz w:val="18"/>
                      <w:szCs w:val="18"/>
                      <w:highlight w:val="none"/>
                      <w:lang w:val="en-US" w:eastAsia="zh-CN" w:bidi="ar-SA"/>
                      <w14:textFill>
                        <w14:solidFill>
                          <w14:schemeClr w14:val="tx1"/>
                        </w14:solidFill>
                      </w14:textFill>
                    </w:rPr>
                    <w:t>酸洗废气</w:t>
                  </w:r>
                </w:p>
              </w:tc>
              <w:tc>
                <w:tcPr>
                  <w:tcW w:w="214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pPr>
                  <w:r>
                    <w:rPr>
                      <w:rFonts w:hint="eastAsia" w:cs="Times New Roman"/>
                      <w:snapToGrid w:val="0"/>
                      <w:color w:val="000000" w:themeColor="text1"/>
                      <w:kern w:val="2"/>
                      <w:sz w:val="18"/>
                      <w:szCs w:val="18"/>
                      <w:highlight w:val="none"/>
                      <w:lang w:val="en-US" w:eastAsia="zh-CN" w:bidi="ar-SA"/>
                      <w14:textFill>
                        <w14:solidFill>
                          <w14:schemeClr w14:val="tx1"/>
                        </w14:solidFill>
                      </w14:textFill>
                    </w:rPr>
                    <w:t>二次密闭间+1套两级酸雾喷淋塔+15m高排气筒</w:t>
                  </w:r>
                  <w:r>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t>（DA00</w:t>
                  </w:r>
                  <w:r>
                    <w:rPr>
                      <w:rFonts w:hint="eastAsia" w:cs="Times New Roman"/>
                      <w:snapToGrid w:val="0"/>
                      <w:color w:val="000000" w:themeColor="text1"/>
                      <w:kern w:val="2"/>
                      <w:sz w:val="18"/>
                      <w:szCs w:val="18"/>
                      <w:highlight w:val="none"/>
                      <w:lang w:val="en-US" w:eastAsia="zh-CN" w:bidi="ar-SA"/>
                      <w14:textFill>
                        <w14:solidFill>
                          <w14:schemeClr w14:val="tx1"/>
                        </w14:solidFill>
                      </w14:textFill>
                    </w:rPr>
                    <w:t>4</w:t>
                  </w:r>
                  <w:r>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t>）</w:t>
                  </w:r>
                </w:p>
              </w:tc>
              <w:tc>
                <w:tcPr>
                  <w:tcW w:w="60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2"/>
                      <w:sz w:val="18"/>
                      <w:szCs w:val="18"/>
                      <w:highlight w:val="none"/>
                      <w:lang w:val="en-US" w:eastAsia="zh-CN" w:bidi="ar-SA"/>
                      <w14:textFill>
                        <w14:solidFill>
                          <w14:schemeClr w14:val="tx1"/>
                        </w14:solidFill>
                      </w14:textFill>
                    </w:rPr>
                  </w:pPr>
                  <w:r>
                    <w:rPr>
                      <w:rFonts w:hint="eastAsia" w:cs="Times New Roman"/>
                      <w:snapToGrid w:val="0"/>
                      <w:color w:val="000000" w:themeColor="text1"/>
                      <w:kern w:val="2"/>
                      <w:sz w:val="18"/>
                      <w:szCs w:val="18"/>
                      <w:highlight w:val="none"/>
                      <w:lang w:val="en-US" w:eastAsia="zh-CN" w:bidi="ar-SA"/>
                      <w14:textFill>
                        <w14:solidFill>
                          <w14:schemeClr w14:val="tx1"/>
                        </w14:solidFill>
                      </w14:textFill>
                    </w:rPr>
                    <w:t>新建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cyan"/>
                      <w14:textFill>
                        <w14:solidFill>
                          <w14:schemeClr w14:val="tx1"/>
                        </w14:solidFill>
                      </w14:textFill>
                    </w:rPr>
                  </w:pPr>
                </w:p>
              </w:tc>
              <w:tc>
                <w:tcPr>
                  <w:tcW w:w="809"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废水治理</w:t>
                  </w:r>
                </w:p>
              </w:tc>
              <w:tc>
                <w:tcPr>
                  <w:tcW w:w="106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生活污水</w:t>
                  </w:r>
                </w:p>
              </w:tc>
              <w:tc>
                <w:tcPr>
                  <w:tcW w:w="214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现有厂区内现有</w:t>
                  </w: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1座10m</w:t>
                  </w:r>
                  <w:r>
                    <w:rPr>
                      <w:rFonts w:hint="default" w:ascii="Times New Roman" w:hAnsi="Times New Roman" w:cs="Times New Roman"/>
                      <w:snapToGrid w:val="0"/>
                      <w:color w:val="000000" w:themeColor="text1"/>
                      <w:kern w:val="0"/>
                      <w:sz w:val="18"/>
                      <w:szCs w:val="18"/>
                      <w:highlight w:val="none"/>
                      <w:vertAlign w:val="superscript"/>
                      <w:lang w:val="en-US" w:eastAsia="zh-CN"/>
                      <w14:textFill>
                        <w14:solidFill>
                          <w14:schemeClr w14:val="tx1"/>
                        </w14:solidFill>
                      </w14:textFill>
                    </w:rPr>
                    <w:t>3</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化粪池</w:t>
                  </w:r>
                </w:p>
              </w:tc>
              <w:tc>
                <w:tcPr>
                  <w:tcW w:w="60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利用现有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cyan"/>
                      <w14:textFill>
                        <w14:solidFill>
                          <w14:schemeClr w14:val="tx1"/>
                        </w14:solidFill>
                      </w14:textFill>
                    </w:rPr>
                  </w:pPr>
                </w:p>
              </w:tc>
              <w:tc>
                <w:tcPr>
                  <w:tcW w:w="80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p>
              </w:tc>
              <w:tc>
                <w:tcPr>
                  <w:tcW w:w="106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eastAsia" w:cs="Times New Roman"/>
                      <w:snapToGrid w:val="0"/>
                      <w:color w:val="000000" w:themeColor="text1"/>
                      <w:kern w:val="0"/>
                      <w:sz w:val="18"/>
                      <w:szCs w:val="18"/>
                      <w:highlight w:val="none"/>
                      <w:lang w:eastAsia="zh-CN"/>
                      <w14:textFill>
                        <w14:solidFill>
                          <w14:schemeClr w14:val="tx1"/>
                        </w14:solidFill>
                      </w14:textFill>
                    </w:rPr>
                    <w:t>酸洗工序冲洗废水</w:t>
                  </w:r>
                </w:p>
              </w:tc>
              <w:tc>
                <w:tcPr>
                  <w:tcW w:w="2142"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1套</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自建污水处理设施（采用“隔油沉淀+调节+气浮+pH调节（调酸）+芬顿氧化+中和（调碱）+混凝沉淀+中和+水解酸化+MBR（微滤）</w:t>
                  </w: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+RO+高效蒸发器</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”工艺</w:t>
                  </w:r>
                  <w:r>
                    <w:rPr>
                      <w:rFonts w:hint="eastAsia" w:cs="Times New Roman"/>
                      <w:snapToGrid w:val="0"/>
                      <w:color w:val="000000" w:themeColor="text1"/>
                      <w:kern w:val="0"/>
                      <w:sz w:val="18"/>
                      <w:szCs w:val="18"/>
                      <w:highlight w:val="none"/>
                      <w:lang w:eastAsia="zh-CN"/>
                      <w14:textFill>
                        <w14:solidFill>
                          <w14:schemeClr w14:val="tx1"/>
                        </w14:solidFill>
                      </w14:textFill>
                    </w:rPr>
                    <w:t>，</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处理规模</w:t>
                  </w:r>
                  <w:r>
                    <w:rPr>
                      <w:rFonts w:hint="eastAsia"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10m</w:t>
                  </w:r>
                  <w:r>
                    <w:rPr>
                      <w:rFonts w:hint="eastAsia" w:ascii="Times New Roman" w:hAnsi="Times New Roman" w:cs="Times New Roman"/>
                      <w:snapToGrid w:val="0"/>
                      <w:color w:val="000000" w:themeColor="text1"/>
                      <w:kern w:val="0"/>
                      <w:sz w:val="18"/>
                      <w:szCs w:val="18"/>
                      <w:highlight w:val="none"/>
                      <w:vertAlign w:val="superscript"/>
                      <w:lang w:val="en-US" w:eastAsia="zh-CN"/>
                      <w14:textFill>
                        <w14:solidFill>
                          <w14:schemeClr w14:val="tx1"/>
                        </w14:solidFill>
                      </w14:textFill>
                    </w:rPr>
                    <w:t>3</w:t>
                  </w:r>
                  <w:r>
                    <w:rPr>
                      <w:rFonts w:hint="eastAsia"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/d</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）处理，清水回用于清洗工序</w:t>
                  </w:r>
                  <w:r>
                    <w:rPr>
                      <w:rFonts w:hint="eastAsia" w:cs="Times New Roman"/>
                      <w:snapToGrid w:val="0"/>
                      <w:color w:val="000000" w:themeColor="text1"/>
                      <w:kern w:val="0"/>
                      <w:sz w:val="18"/>
                      <w:szCs w:val="18"/>
                      <w:highlight w:val="none"/>
                      <w:lang w:eastAsia="zh-CN"/>
                      <w14:textFill>
                        <w14:solidFill>
                          <w14:schemeClr w14:val="tx1"/>
                        </w14:solidFill>
                      </w14:textFill>
                    </w:rPr>
                    <w:t>，不外排。废水系统产生的</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浓水经高效蒸发后，残渣作为危险固废处理</w:t>
                  </w:r>
                </w:p>
              </w:tc>
              <w:tc>
                <w:tcPr>
                  <w:tcW w:w="604"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新建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cyan"/>
                      <w14:textFill>
                        <w14:solidFill>
                          <w14:schemeClr w14:val="tx1"/>
                        </w14:solidFill>
                      </w14:textFill>
                    </w:rPr>
                  </w:pPr>
                </w:p>
              </w:tc>
              <w:tc>
                <w:tcPr>
                  <w:tcW w:w="80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p>
              </w:tc>
              <w:tc>
                <w:tcPr>
                  <w:tcW w:w="106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eastAsia" w:cs="Times New Roman"/>
                      <w:snapToGrid w:val="0"/>
                      <w:color w:val="000000" w:themeColor="text1"/>
                      <w:kern w:val="0"/>
                      <w:sz w:val="18"/>
                      <w:szCs w:val="18"/>
                      <w:highlight w:val="none"/>
                      <w:lang w:eastAsia="zh-CN"/>
                      <w14:textFill>
                        <w14:solidFill>
                          <w14:schemeClr w14:val="tx1"/>
                        </w14:solidFill>
                      </w14:textFill>
                    </w:rPr>
                    <w:t>两级酸雾喷淋塔</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废水</w:t>
                  </w:r>
                </w:p>
              </w:tc>
              <w:tc>
                <w:tcPr>
                  <w:tcW w:w="214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p>
              </w:tc>
              <w:tc>
                <w:tcPr>
                  <w:tcW w:w="60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cyan"/>
                      <w14:textFill>
                        <w14:solidFill>
                          <w14:schemeClr w14:val="tx1"/>
                        </w14:solidFill>
                      </w14:textFill>
                    </w:rPr>
                  </w:pPr>
                </w:p>
              </w:tc>
              <w:tc>
                <w:tcPr>
                  <w:tcW w:w="809"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固废处置</w:t>
                  </w:r>
                </w:p>
              </w:tc>
              <w:tc>
                <w:tcPr>
                  <w:tcW w:w="106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eastAsia="zh-CN"/>
                      <w14:textFill>
                        <w14:solidFill>
                          <w14:schemeClr w14:val="tx1"/>
                        </w14:solidFill>
                      </w14:textFill>
                    </w:rPr>
                    <w:t>废边角料</w:t>
                  </w:r>
                </w:p>
              </w:tc>
              <w:tc>
                <w:tcPr>
                  <w:tcW w:w="2142"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both"/>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1处35m</w:t>
                  </w:r>
                  <w:r>
                    <w:rPr>
                      <w:rFonts w:hint="default" w:ascii="Times New Roman" w:hAnsi="Times New Roman" w:cs="Times New Roman"/>
                      <w:snapToGrid w:val="0"/>
                      <w:color w:val="000000" w:themeColor="text1"/>
                      <w:sz w:val="18"/>
                      <w:szCs w:val="18"/>
                      <w:highlight w:val="none"/>
                      <w:vertAlign w:val="superscript"/>
                      <w:lang w:val="en-US" w:eastAsia="zh-CN"/>
                      <w14:textFill>
                        <w14:solidFill>
                          <w14:schemeClr w14:val="tx1"/>
                        </w14:solidFill>
                      </w14:textFill>
                    </w:rPr>
                    <w:t>2</w:t>
                  </w: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一般固废暂存区域暂存，定期外售</w:t>
                  </w:r>
                </w:p>
              </w:tc>
              <w:tc>
                <w:tcPr>
                  <w:tcW w:w="604"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新建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cyan"/>
                      <w14:textFill>
                        <w14:solidFill>
                          <w14:schemeClr w14:val="tx1"/>
                        </w14:solidFill>
                      </w14:textFill>
                    </w:rPr>
                  </w:pPr>
                </w:p>
              </w:tc>
              <w:tc>
                <w:tcPr>
                  <w:tcW w:w="80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p>
              </w:tc>
              <w:tc>
                <w:tcPr>
                  <w:tcW w:w="106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eastAsia="zh-CN"/>
                      <w14:textFill>
                        <w14:solidFill>
                          <w14:schemeClr w14:val="tx1"/>
                        </w14:solidFill>
                      </w14:textFill>
                    </w:rPr>
                    <w:t>废包装材料</w:t>
                  </w:r>
                </w:p>
              </w:tc>
              <w:tc>
                <w:tcPr>
                  <w:tcW w:w="214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both"/>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p>
              </w:tc>
              <w:tc>
                <w:tcPr>
                  <w:tcW w:w="60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cyan"/>
                      <w14:textFill>
                        <w14:solidFill>
                          <w14:schemeClr w14:val="tx1"/>
                        </w14:solidFill>
                      </w14:textFill>
                    </w:rPr>
                  </w:pPr>
                </w:p>
              </w:tc>
              <w:tc>
                <w:tcPr>
                  <w:tcW w:w="80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p>
              </w:tc>
              <w:tc>
                <w:tcPr>
                  <w:tcW w:w="106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袋式除尘器集尘</w:t>
                  </w:r>
                </w:p>
              </w:tc>
              <w:tc>
                <w:tcPr>
                  <w:tcW w:w="214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both"/>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p>
              </w:tc>
              <w:tc>
                <w:tcPr>
                  <w:tcW w:w="60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cyan"/>
                      <w14:textFill>
                        <w14:solidFill>
                          <w14:schemeClr w14:val="tx1"/>
                        </w14:solidFill>
                      </w14:textFill>
                    </w:rPr>
                  </w:pPr>
                </w:p>
              </w:tc>
              <w:tc>
                <w:tcPr>
                  <w:tcW w:w="80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p>
              </w:tc>
              <w:tc>
                <w:tcPr>
                  <w:tcW w:w="106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eastAsia="zh-CN"/>
                      <w14:textFill>
                        <w14:solidFill>
                          <w14:schemeClr w14:val="tx1"/>
                        </w14:solidFill>
                      </w14:textFill>
                    </w:rPr>
                    <w:t>生活垃圾</w:t>
                  </w:r>
                </w:p>
              </w:tc>
              <w:tc>
                <w:tcPr>
                  <w:tcW w:w="214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both"/>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垃圾收集箱若干，定期交由环卫部门清运</w:t>
                  </w:r>
                </w:p>
              </w:tc>
              <w:tc>
                <w:tcPr>
                  <w:tcW w:w="60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cyan"/>
                      <w14:textFill>
                        <w14:solidFill>
                          <w14:schemeClr w14:val="tx1"/>
                        </w14:solidFill>
                      </w14:textFill>
                    </w:rPr>
                  </w:pPr>
                </w:p>
              </w:tc>
              <w:tc>
                <w:tcPr>
                  <w:tcW w:w="80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p>
              </w:tc>
              <w:tc>
                <w:tcPr>
                  <w:tcW w:w="106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eastAsia="zh-CN"/>
                      <w14:textFill>
                        <w14:solidFill>
                          <w14:schemeClr w14:val="tx1"/>
                        </w14:solidFill>
                      </w14:textFill>
                    </w:rPr>
                    <w:t>废水处理措施产生的污泥</w:t>
                  </w:r>
                </w:p>
              </w:tc>
              <w:tc>
                <w:tcPr>
                  <w:tcW w:w="2142"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both"/>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1间15m</w:t>
                  </w:r>
                  <w:r>
                    <w:rPr>
                      <w:rFonts w:hint="default" w:ascii="Times New Roman" w:hAnsi="Times New Roman" w:cs="Times New Roman"/>
                      <w:snapToGrid w:val="0"/>
                      <w:color w:val="000000" w:themeColor="text1"/>
                      <w:sz w:val="18"/>
                      <w:szCs w:val="18"/>
                      <w:highlight w:val="none"/>
                      <w:vertAlign w:val="superscript"/>
                      <w:lang w:val="en-US" w:eastAsia="zh-CN"/>
                      <w14:textFill>
                        <w14:solidFill>
                          <w14:schemeClr w14:val="tx1"/>
                        </w14:solidFill>
                      </w14:textFill>
                    </w:rPr>
                    <w:t>2</w:t>
                  </w: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危险固废暂存间暂存，定期委托有资质危废单位回收处理</w:t>
                  </w:r>
                </w:p>
              </w:tc>
              <w:tc>
                <w:tcPr>
                  <w:tcW w:w="604"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新建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cyan"/>
                      <w14:textFill>
                        <w14:solidFill>
                          <w14:schemeClr w14:val="tx1"/>
                        </w14:solidFill>
                      </w14:textFill>
                    </w:rPr>
                  </w:pPr>
                </w:p>
              </w:tc>
              <w:tc>
                <w:tcPr>
                  <w:tcW w:w="80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p>
              </w:tc>
              <w:tc>
                <w:tcPr>
                  <w:tcW w:w="106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RO过滤更换的过滤膜</w:t>
                  </w:r>
                </w:p>
              </w:tc>
              <w:tc>
                <w:tcPr>
                  <w:tcW w:w="214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both"/>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p>
              </w:tc>
              <w:tc>
                <w:tcPr>
                  <w:tcW w:w="60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cyan"/>
                      <w14:textFill>
                        <w14:solidFill>
                          <w14:schemeClr w14:val="tx1"/>
                        </w14:solidFill>
                      </w14:textFill>
                    </w:rPr>
                  </w:pPr>
                </w:p>
              </w:tc>
              <w:tc>
                <w:tcPr>
                  <w:tcW w:w="80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p>
              </w:tc>
              <w:tc>
                <w:tcPr>
                  <w:tcW w:w="106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高效蒸发残渣</w:t>
                  </w:r>
                </w:p>
              </w:tc>
              <w:tc>
                <w:tcPr>
                  <w:tcW w:w="214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both"/>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p>
              </w:tc>
              <w:tc>
                <w:tcPr>
                  <w:tcW w:w="60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cyan"/>
                      <w14:textFill>
                        <w14:solidFill>
                          <w14:schemeClr w14:val="tx1"/>
                        </w14:solidFill>
                      </w14:textFill>
                    </w:rPr>
                  </w:pPr>
                </w:p>
              </w:tc>
              <w:tc>
                <w:tcPr>
                  <w:tcW w:w="80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p>
              </w:tc>
              <w:tc>
                <w:tcPr>
                  <w:tcW w:w="106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eastAsia="zh-CN"/>
                      <w14:textFill>
                        <w14:solidFill>
                          <w14:schemeClr w14:val="tx1"/>
                        </w14:solidFill>
                      </w14:textFill>
                    </w:rPr>
                    <w:t>废润滑油</w:t>
                  </w:r>
                </w:p>
              </w:tc>
              <w:tc>
                <w:tcPr>
                  <w:tcW w:w="214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both"/>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p>
              </w:tc>
              <w:tc>
                <w:tcPr>
                  <w:tcW w:w="60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cyan"/>
                      <w14:textFill>
                        <w14:solidFill>
                          <w14:schemeClr w14:val="tx1"/>
                        </w14:solidFill>
                      </w14:textFill>
                    </w:rPr>
                  </w:pPr>
                </w:p>
              </w:tc>
              <w:tc>
                <w:tcPr>
                  <w:tcW w:w="80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cyan"/>
                      <w:lang w:eastAsia="zh-CN"/>
                      <w14:textFill>
                        <w14:solidFill>
                          <w14:schemeClr w14:val="tx1"/>
                        </w14:solidFill>
                      </w14:textFill>
                    </w:rPr>
                  </w:pPr>
                </w:p>
              </w:tc>
              <w:tc>
                <w:tcPr>
                  <w:tcW w:w="106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eastAsia="zh-CN"/>
                      <w14:textFill>
                        <w14:solidFill>
                          <w14:schemeClr w14:val="tx1"/>
                        </w14:solidFill>
                      </w14:textFill>
                    </w:rPr>
                    <w:t>废液压油</w:t>
                  </w:r>
                </w:p>
              </w:tc>
              <w:tc>
                <w:tcPr>
                  <w:tcW w:w="214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both"/>
                    <w:textAlignment w:val="auto"/>
                    <w:rPr>
                      <w:rFonts w:hint="default" w:ascii="Times New Roman" w:hAnsi="Times New Roman" w:cs="Times New Roman"/>
                      <w:snapToGrid w:val="0"/>
                      <w:color w:val="000000" w:themeColor="text1"/>
                      <w:sz w:val="18"/>
                      <w:szCs w:val="18"/>
                      <w:highlight w:val="cyan"/>
                      <w:lang w:val="en-US" w:eastAsia="zh-CN"/>
                      <w14:textFill>
                        <w14:solidFill>
                          <w14:schemeClr w14:val="tx1"/>
                        </w14:solidFill>
                      </w14:textFill>
                    </w:rPr>
                  </w:pPr>
                </w:p>
              </w:tc>
              <w:tc>
                <w:tcPr>
                  <w:tcW w:w="60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cyan"/>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cyan"/>
                      <w14:textFill>
                        <w14:solidFill>
                          <w14:schemeClr w14:val="tx1"/>
                        </w14:solidFill>
                      </w14:textFill>
                    </w:rPr>
                  </w:pPr>
                </w:p>
              </w:tc>
              <w:tc>
                <w:tcPr>
                  <w:tcW w:w="8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噪声</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治理</w:t>
                  </w:r>
                </w:p>
              </w:tc>
              <w:tc>
                <w:tcPr>
                  <w:tcW w:w="321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both"/>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优先选用低噪声设备，</w:t>
                  </w: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合理布局、</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设置减振基础</w:t>
                  </w: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安装</w:t>
                  </w: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隔声等</w:t>
                  </w:r>
                </w:p>
              </w:tc>
              <w:tc>
                <w:tcPr>
                  <w:tcW w:w="60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新建</w:t>
                  </w:r>
                </w:p>
              </w:tc>
            </w:tr>
          </w:tbl>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本次扩建依托工程内容一览表</w:t>
            </w:r>
          </w:p>
          <w:tbl>
            <w:tblPr>
              <w:tblStyle w:val="21"/>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15"/>
              <w:gridCol w:w="1299"/>
              <w:gridCol w:w="5266"/>
              <w:gridCol w:w="99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类别</w:t>
                  </w:r>
                </w:p>
              </w:tc>
              <w:tc>
                <w:tcPr>
                  <w:tcW w:w="79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名称</w:t>
                  </w:r>
                </w:p>
              </w:tc>
              <w:tc>
                <w:tcPr>
                  <w:tcW w:w="321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建设内容</w:t>
                  </w:r>
                </w:p>
              </w:tc>
              <w:tc>
                <w:tcPr>
                  <w:tcW w:w="6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依托工程</w:t>
                  </w:r>
                </w:p>
              </w:tc>
              <w:tc>
                <w:tcPr>
                  <w:tcW w:w="79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1#</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生产车间</w:t>
                  </w:r>
                </w:p>
              </w:tc>
              <w:tc>
                <w:tcPr>
                  <w:tcW w:w="321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厂区现有生产车间，建筑面积12600平方米，该车间目前为空车间，能够满足本次扩建工程新增设备安置</w:t>
                  </w:r>
                  <w:r>
                    <w:rPr>
                      <w:rFonts w:hint="eastAsia" w:cs="Times New Roman"/>
                      <w:snapToGrid w:val="0"/>
                      <w:color w:val="000000" w:themeColor="text1"/>
                      <w:kern w:val="0"/>
                      <w:sz w:val="18"/>
                      <w:szCs w:val="18"/>
                      <w:highlight w:val="none"/>
                      <w:lang w:val="en-US" w:eastAsia="zh-CN"/>
                      <w14:textFill>
                        <w14:solidFill>
                          <w14:schemeClr w14:val="tx1"/>
                        </w14:solidFill>
                      </w14:textFill>
                    </w:rPr>
                    <w:t>需求</w:t>
                  </w:r>
                </w:p>
              </w:tc>
              <w:tc>
                <w:tcPr>
                  <w:tcW w:w="6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依托可行</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79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2#</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生产车间</w:t>
                  </w:r>
                </w:p>
              </w:tc>
              <w:tc>
                <w:tcPr>
                  <w:tcW w:w="321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厂区现有生产车间，建筑面积6300平方米，该车间目前为空车间，能够满足本次扩建工程新增设备安置</w:t>
                  </w:r>
                  <w:r>
                    <w:rPr>
                      <w:rFonts w:hint="eastAsia" w:cs="Times New Roman"/>
                      <w:snapToGrid w:val="0"/>
                      <w:color w:val="000000" w:themeColor="text1"/>
                      <w:kern w:val="0"/>
                      <w:sz w:val="18"/>
                      <w:szCs w:val="18"/>
                      <w:highlight w:val="none"/>
                      <w:lang w:val="en-US" w:eastAsia="zh-CN"/>
                      <w14:textFill>
                        <w14:solidFill>
                          <w14:schemeClr w14:val="tx1"/>
                        </w14:solidFill>
                      </w14:textFill>
                    </w:rPr>
                    <w:t>需求</w:t>
                  </w:r>
                </w:p>
              </w:tc>
              <w:tc>
                <w:tcPr>
                  <w:tcW w:w="6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依托可行</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79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3#</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生产车间</w:t>
                  </w:r>
                </w:p>
              </w:tc>
              <w:tc>
                <w:tcPr>
                  <w:tcW w:w="321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厂区现有生产车间，建筑面积3050平方米，该车间目前为空车间，能够满足本次扩建工程新增设备安置</w:t>
                  </w:r>
                  <w:r>
                    <w:rPr>
                      <w:rFonts w:hint="eastAsia" w:cs="Times New Roman"/>
                      <w:snapToGrid w:val="0"/>
                      <w:color w:val="000000" w:themeColor="text1"/>
                      <w:kern w:val="0"/>
                      <w:sz w:val="18"/>
                      <w:szCs w:val="18"/>
                      <w:highlight w:val="none"/>
                      <w:lang w:val="en-US" w:eastAsia="zh-CN"/>
                      <w14:textFill>
                        <w14:solidFill>
                          <w14:schemeClr w14:val="tx1"/>
                        </w14:solidFill>
                      </w14:textFill>
                    </w:rPr>
                    <w:t>需求</w:t>
                  </w:r>
                </w:p>
              </w:tc>
              <w:tc>
                <w:tcPr>
                  <w:tcW w:w="6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依托可行</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1299"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4#酸洗车间</w:t>
                  </w:r>
                </w:p>
              </w:tc>
              <w:tc>
                <w:tcPr>
                  <w:tcW w:w="5265"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厂区现有生产车间，建筑面积2000平方米，该车间目前为空车间，能够满足本次扩建工程新增设备安置</w:t>
                  </w:r>
                  <w:r>
                    <w:rPr>
                      <w:rFonts w:hint="eastAsia" w:cs="Times New Roman"/>
                      <w:snapToGrid w:val="0"/>
                      <w:color w:val="000000" w:themeColor="text1"/>
                      <w:kern w:val="0"/>
                      <w:sz w:val="18"/>
                      <w:szCs w:val="18"/>
                      <w:highlight w:val="none"/>
                      <w:lang w:val="en-US" w:eastAsia="zh-CN"/>
                      <w14:textFill>
                        <w14:solidFill>
                          <w14:schemeClr w14:val="tx1"/>
                        </w14:solidFill>
                      </w14:textFill>
                    </w:rPr>
                    <w:t>需求</w:t>
                  </w:r>
                </w:p>
              </w:tc>
              <w:tc>
                <w:tcPr>
                  <w:tcW w:w="6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依托可行</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79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sz w:val="18"/>
                      <w:szCs w:val="18"/>
                      <w:highlight w:val="none"/>
                      <w14:textFill>
                        <w14:solidFill>
                          <w14:schemeClr w14:val="tx1"/>
                        </w14:solidFill>
                      </w14:textFill>
                    </w:rPr>
                    <w:t>供水</w:t>
                  </w:r>
                </w:p>
              </w:tc>
              <w:tc>
                <w:tcPr>
                  <w:tcW w:w="321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现有工程用水主要为生活用水，新鲜水用量为</w:t>
                  </w:r>
                  <w:r>
                    <w:rPr>
                      <w:rFonts w:hint="eastAsia" w:cs="Times New Roman"/>
                      <w:color w:val="000000" w:themeColor="text1"/>
                      <w:sz w:val="18"/>
                      <w:szCs w:val="18"/>
                      <w:highlight w:val="none"/>
                      <w:lang w:val="en-US" w:eastAsia="zh-CN"/>
                      <w14:textFill>
                        <w14:solidFill>
                          <w14:schemeClr w14:val="tx1"/>
                        </w14:solidFill>
                      </w14:textFill>
                    </w:rPr>
                    <w:t>1.6</w:t>
                  </w:r>
                  <w:r>
                    <w:rPr>
                      <w:rFonts w:hint="default" w:ascii="Times New Roman" w:hAnsi="Times New Roman" w:cs="Times New Roman"/>
                      <w:color w:val="000000" w:themeColor="text1"/>
                      <w:sz w:val="18"/>
                      <w:szCs w:val="18"/>
                      <w:highlight w:val="none"/>
                      <w:lang w:eastAsia="zh-CN"/>
                      <w14:textFill>
                        <w14:solidFill>
                          <w14:schemeClr w14:val="tx1"/>
                        </w14:solidFill>
                      </w14:textFill>
                    </w:rPr>
                    <w:t>m</w:t>
                  </w:r>
                  <w:r>
                    <w:rPr>
                      <w:rFonts w:hint="default" w:ascii="Times New Roman" w:hAnsi="Times New Roman" w:cs="Times New Roman"/>
                      <w:color w:val="000000" w:themeColor="text1"/>
                      <w:sz w:val="18"/>
                      <w:szCs w:val="18"/>
                      <w:highlight w:val="none"/>
                      <w:vertAlign w:val="superscript"/>
                      <w:lang w:eastAsia="zh-CN"/>
                      <w14:textFill>
                        <w14:solidFill>
                          <w14:schemeClr w14:val="tx1"/>
                        </w14:solidFill>
                      </w14:textFill>
                    </w:rPr>
                    <w:t>3</w:t>
                  </w:r>
                  <w:r>
                    <w:rPr>
                      <w:rFonts w:hint="default" w:ascii="Times New Roman" w:hAnsi="Times New Roman" w:cs="Times New Roman"/>
                      <w:color w:val="000000" w:themeColor="text1"/>
                      <w:sz w:val="18"/>
                      <w:szCs w:val="18"/>
                      <w:highlight w:val="none"/>
                      <w:lang w:eastAsia="zh-CN"/>
                      <w14:textFill>
                        <w14:solidFill>
                          <w14:schemeClr w14:val="tx1"/>
                        </w14:solidFill>
                      </w14:textFill>
                    </w:rPr>
                    <w:t>/d；本次扩建工程新增用水主要为生活用水和酸洗工序冲洗用水，新增用水量为</w:t>
                  </w:r>
                  <w:r>
                    <w:rPr>
                      <w:rFonts w:hint="eastAsia" w:cs="Times New Roman"/>
                      <w:color w:val="000000" w:themeColor="text1"/>
                      <w:sz w:val="18"/>
                      <w:szCs w:val="18"/>
                      <w:highlight w:val="none"/>
                      <w:lang w:val="en-US" w:eastAsia="zh-CN"/>
                      <w14:textFill>
                        <w14:solidFill>
                          <w14:schemeClr w14:val="tx1"/>
                        </w14:solidFill>
                      </w14:textFill>
                    </w:rPr>
                    <w:t>2.4659</w:t>
                  </w:r>
                  <w:r>
                    <w:rPr>
                      <w:rFonts w:hint="default" w:ascii="Times New Roman" w:hAnsi="Times New Roman" w:cs="Times New Roman"/>
                      <w:color w:val="000000" w:themeColor="text1"/>
                      <w:sz w:val="18"/>
                      <w:szCs w:val="18"/>
                      <w:highlight w:val="none"/>
                      <w:lang w:eastAsia="zh-CN"/>
                      <w14:textFill>
                        <w14:solidFill>
                          <w14:schemeClr w14:val="tx1"/>
                        </w14:solidFill>
                      </w14:textFill>
                    </w:rPr>
                    <w:t>m</w:t>
                  </w:r>
                  <w:r>
                    <w:rPr>
                      <w:rFonts w:hint="default" w:ascii="Times New Roman" w:hAnsi="Times New Roman" w:cs="Times New Roman"/>
                      <w:color w:val="000000" w:themeColor="text1"/>
                      <w:sz w:val="18"/>
                      <w:szCs w:val="18"/>
                      <w:highlight w:val="none"/>
                      <w:vertAlign w:val="superscript"/>
                      <w:lang w:eastAsia="zh-CN"/>
                      <w14:textFill>
                        <w14:solidFill>
                          <w14:schemeClr w14:val="tx1"/>
                        </w14:solidFill>
                      </w14:textFill>
                    </w:rPr>
                    <w:t>3</w:t>
                  </w:r>
                  <w:r>
                    <w:rPr>
                      <w:rFonts w:hint="default" w:ascii="Times New Roman" w:hAnsi="Times New Roman" w:cs="Times New Roman"/>
                      <w:color w:val="000000" w:themeColor="text1"/>
                      <w:sz w:val="18"/>
                      <w:szCs w:val="18"/>
                      <w:highlight w:val="none"/>
                      <w:lang w:eastAsia="zh-CN"/>
                      <w14:textFill>
                        <w14:solidFill>
                          <w14:schemeClr w14:val="tx1"/>
                        </w14:solidFill>
                      </w14:textFill>
                    </w:rPr>
                    <w:t>/d，均依托厂区现有供水管线提供，目前现有供水能力为250m</w:t>
                  </w:r>
                  <w:r>
                    <w:rPr>
                      <w:rFonts w:hint="default" w:ascii="Times New Roman" w:hAnsi="Times New Roman" w:cs="Times New Roman"/>
                      <w:color w:val="000000" w:themeColor="text1"/>
                      <w:sz w:val="18"/>
                      <w:szCs w:val="18"/>
                      <w:highlight w:val="none"/>
                      <w:vertAlign w:val="superscript"/>
                      <w:lang w:eastAsia="zh-CN"/>
                      <w14:textFill>
                        <w14:solidFill>
                          <w14:schemeClr w14:val="tx1"/>
                        </w14:solidFill>
                      </w14:textFill>
                    </w:rPr>
                    <w:t>3</w:t>
                  </w:r>
                  <w:r>
                    <w:rPr>
                      <w:rFonts w:hint="default" w:ascii="Times New Roman" w:hAnsi="Times New Roman" w:cs="Times New Roman"/>
                      <w:color w:val="000000" w:themeColor="text1"/>
                      <w:sz w:val="18"/>
                      <w:szCs w:val="18"/>
                      <w:highlight w:val="none"/>
                      <w:lang w:eastAsia="zh-CN"/>
                      <w14:textFill>
                        <w14:solidFill>
                          <w14:schemeClr w14:val="tx1"/>
                        </w14:solidFill>
                      </w14:textFill>
                    </w:rPr>
                    <w:t>/d，通过新乡县小冀镇市政供水管线提供，本次扩建后全厂新鲜水量为</w:t>
                  </w:r>
                  <w:r>
                    <w:rPr>
                      <w:rFonts w:hint="eastAsia" w:cs="Times New Roman"/>
                      <w:color w:val="000000" w:themeColor="text1"/>
                      <w:sz w:val="18"/>
                      <w:szCs w:val="18"/>
                      <w:highlight w:val="none"/>
                      <w:lang w:val="en-US" w:eastAsia="zh-CN"/>
                      <w14:textFill>
                        <w14:solidFill>
                          <w14:schemeClr w14:val="tx1"/>
                        </w14:solidFill>
                      </w14:textFill>
                    </w:rPr>
                    <w:t>4.0659</w:t>
                  </w:r>
                  <w:r>
                    <w:rPr>
                      <w:rFonts w:hint="default" w:ascii="Times New Roman" w:hAnsi="Times New Roman" w:cs="Times New Roman"/>
                      <w:color w:val="000000" w:themeColor="text1"/>
                      <w:sz w:val="18"/>
                      <w:szCs w:val="18"/>
                      <w:highlight w:val="none"/>
                      <w:lang w:eastAsia="zh-CN"/>
                      <w14:textFill>
                        <w14:solidFill>
                          <w14:schemeClr w14:val="tx1"/>
                        </w14:solidFill>
                      </w14:textFill>
                    </w:rPr>
                    <w:t>m</w:t>
                  </w:r>
                  <w:r>
                    <w:rPr>
                      <w:rFonts w:hint="default" w:ascii="Times New Roman" w:hAnsi="Times New Roman" w:cs="Times New Roman"/>
                      <w:color w:val="000000" w:themeColor="text1"/>
                      <w:sz w:val="18"/>
                      <w:szCs w:val="18"/>
                      <w:highlight w:val="none"/>
                      <w:vertAlign w:val="superscript"/>
                      <w:lang w:eastAsia="zh-CN"/>
                      <w14:textFill>
                        <w14:solidFill>
                          <w14:schemeClr w14:val="tx1"/>
                        </w14:solidFill>
                      </w14:textFill>
                    </w:rPr>
                    <w:t>3</w:t>
                  </w:r>
                  <w:r>
                    <w:rPr>
                      <w:rFonts w:hint="default" w:ascii="Times New Roman" w:hAnsi="Times New Roman" w:cs="Times New Roman"/>
                      <w:color w:val="000000" w:themeColor="text1"/>
                      <w:sz w:val="18"/>
                      <w:szCs w:val="18"/>
                      <w:highlight w:val="none"/>
                      <w:lang w:eastAsia="zh-CN"/>
                      <w14:textFill>
                        <w14:solidFill>
                          <w14:schemeClr w14:val="tx1"/>
                        </w14:solidFill>
                      </w14:textFill>
                    </w:rPr>
                    <w:t>/d，可以满足拟建工程的用水需求</w:t>
                  </w:r>
                </w:p>
              </w:tc>
              <w:tc>
                <w:tcPr>
                  <w:tcW w:w="6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依托可行</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cyan"/>
                      <w14:textFill>
                        <w14:solidFill>
                          <w14:schemeClr w14:val="tx1"/>
                        </w14:solidFill>
                      </w14:textFill>
                    </w:rPr>
                  </w:pPr>
                </w:p>
              </w:tc>
              <w:tc>
                <w:tcPr>
                  <w:tcW w:w="79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供电</w:t>
                  </w:r>
                </w:p>
              </w:tc>
              <w:tc>
                <w:tcPr>
                  <w:tcW w:w="321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工程厂区现有</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2座10/0.38kv变电室，</w:t>
                  </w:r>
                  <w:r>
                    <w:rPr>
                      <w:rFonts w:hint="default" w:ascii="Times New Roman" w:hAnsi="Times New Roman" w:cs="Times New Roman"/>
                      <w:color w:val="000000" w:themeColor="text1"/>
                      <w:sz w:val="18"/>
                      <w:szCs w:val="18"/>
                      <w:highlight w:val="none"/>
                      <w:lang w:eastAsia="zh-CN"/>
                      <w14:textFill>
                        <w14:solidFill>
                          <w14:schemeClr w14:val="tx1"/>
                        </w14:solidFill>
                      </w14:textFill>
                    </w:rPr>
                    <w:t>用电由市政供电管网提供，能够满足</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本次扩建后全厂用电量需求</w:t>
                  </w:r>
                </w:p>
              </w:tc>
              <w:tc>
                <w:tcPr>
                  <w:tcW w:w="6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依托可行</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cyan"/>
                      <w14:textFill>
                        <w14:solidFill>
                          <w14:schemeClr w14:val="tx1"/>
                        </w14:solidFill>
                      </w14:textFill>
                    </w:rPr>
                  </w:pPr>
                </w:p>
              </w:tc>
              <w:tc>
                <w:tcPr>
                  <w:tcW w:w="79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供气</w:t>
                  </w:r>
                </w:p>
              </w:tc>
              <w:tc>
                <w:tcPr>
                  <w:tcW w:w="3219" w:type="pct"/>
                  <w:noWrap w:val="0"/>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0" w:firstLineChars="0"/>
                    <w:jc w:val="left"/>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lang w:val="en-US" w:eastAsia="zh-CN"/>
                      <w14:textFill>
                        <w14:solidFill>
                          <w14:schemeClr w14:val="tx1"/>
                        </w14:solidFill>
                      </w14:textFill>
                    </w:rPr>
                    <w:t>现有工程天然气消耗量为</w:t>
                  </w:r>
                  <w:r>
                    <w:rPr>
                      <w:rFonts w:hint="eastAsia" w:cs="Times New Roman"/>
                      <w:b w:val="0"/>
                      <w:bCs/>
                      <w:color w:val="000000" w:themeColor="text1"/>
                      <w:kern w:val="0"/>
                      <w:sz w:val="18"/>
                      <w:szCs w:val="18"/>
                      <w:highlight w:val="none"/>
                      <w:lang w:val="en-US" w:eastAsia="zh-CN"/>
                      <w14:textFill>
                        <w14:solidFill>
                          <w14:schemeClr w14:val="tx1"/>
                        </w14:solidFill>
                      </w14:textFill>
                    </w:rPr>
                    <w:t>910</w:t>
                  </w:r>
                  <w:r>
                    <w:rPr>
                      <w:rFonts w:hint="default" w:ascii="Times New Roman" w:hAnsi="Times New Roman" w:cs="Times New Roman"/>
                      <w:b w:val="0"/>
                      <w:bCs/>
                      <w:color w:val="000000" w:themeColor="text1"/>
                      <w:kern w:val="0"/>
                      <w:sz w:val="18"/>
                      <w:szCs w:val="18"/>
                      <w:highlight w:val="none"/>
                      <w:lang w:val="en-US" w:eastAsia="zh-CN"/>
                      <w14:textFill>
                        <w14:solidFill>
                          <w14:schemeClr w14:val="tx1"/>
                        </w14:solidFill>
                      </w14:textFill>
                    </w:rPr>
                    <w:t>m</w:t>
                  </w:r>
                  <w:r>
                    <w:rPr>
                      <w:rFonts w:hint="default" w:ascii="Times New Roman" w:hAnsi="Times New Roman" w:cs="Times New Roman"/>
                      <w:b w:val="0"/>
                      <w:bCs/>
                      <w:color w:val="000000" w:themeColor="text1"/>
                      <w:kern w:val="0"/>
                      <w:sz w:val="18"/>
                      <w:szCs w:val="18"/>
                      <w:highlight w:val="none"/>
                      <w:vertAlign w:val="superscript"/>
                      <w:lang w:val="en-US" w:eastAsia="zh-CN"/>
                      <w14:textFill>
                        <w14:solidFill>
                          <w14:schemeClr w14:val="tx1"/>
                        </w14:solidFill>
                      </w14:textFill>
                    </w:rPr>
                    <w:t>3</w:t>
                  </w:r>
                  <w:r>
                    <w:rPr>
                      <w:rFonts w:hint="default" w:ascii="Times New Roman" w:hAnsi="Times New Roman" w:cs="Times New Roman"/>
                      <w:b w:val="0"/>
                      <w:bCs/>
                      <w:color w:val="000000" w:themeColor="text1"/>
                      <w:kern w:val="0"/>
                      <w:sz w:val="18"/>
                      <w:szCs w:val="18"/>
                      <w:highlight w:val="none"/>
                      <w:lang w:val="en-US" w:eastAsia="zh-CN"/>
                      <w14:textFill>
                        <w14:solidFill>
                          <w14:schemeClr w14:val="tx1"/>
                        </w14:solidFill>
                      </w14:textFill>
                    </w:rPr>
                    <w:t>/</w:t>
                  </w:r>
                  <w:r>
                    <w:rPr>
                      <w:rFonts w:hint="eastAsia" w:cs="Times New Roman"/>
                      <w:b w:val="0"/>
                      <w:bCs/>
                      <w:color w:val="000000" w:themeColor="text1"/>
                      <w:kern w:val="0"/>
                      <w:sz w:val="18"/>
                      <w:szCs w:val="18"/>
                      <w:highlight w:val="none"/>
                      <w:lang w:val="en-US" w:eastAsia="zh-CN"/>
                      <w14:textFill>
                        <w14:solidFill>
                          <w14:schemeClr w14:val="tx1"/>
                        </w14:solidFill>
                      </w14:textFill>
                    </w:rPr>
                    <w:t>h</w:t>
                  </w:r>
                  <w:r>
                    <w:rPr>
                      <w:rFonts w:hint="default" w:ascii="Times New Roman" w:hAnsi="Times New Roman" w:cs="Times New Roman"/>
                      <w:b w:val="0"/>
                      <w:bCs/>
                      <w:color w:val="000000" w:themeColor="text1"/>
                      <w:kern w:val="0"/>
                      <w:sz w:val="18"/>
                      <w:szCs w:val="18"/>
                      <w:highlight w:val="none"/>
                      <w:lang w:val="en-US" w:eastAsia="zh-CN"/>
                      <w14:textFill>
                        <w14:solidFill>
                          <w14:schemeClr w14:val="tx1"/>
                        </w14:solidFill>
                      </w14:textFill>
                    </w:rPr>
                    <w:t>，本次扩建工程</w:t>
                  </w:r>
                  <w:r>
                    <w:rPr>
                      <w:rFonts w:hint="eastAsia" w:cs="Times New Roman"/>
                      <w:b w:val="0"/>
                      <w:bCs/>
                      <w:color w:val="000000" w:themeColor="text1"/>
                      <w:kern w:val="0"/>
                      <w:sz w:val="18"/>
                      <w:szCs w:val="18"/>
                      <w:highlight w:val="none"/>
                      <w:lang w:val="en-US" w:eastAsia="zh-CN"/>
                      <w14:textFill>
                        <w14:solidFill>
                          <w14:schemeClr w14:val="tx1"/>
                        </w14:solidFill>
                      </w14:textFill>
                    </w:rPr>
                    <w:t>新增</w:t>
                  </w:r>
                  <w:r>
                    <w:rPr>
                      <w:rFonts w:hint="default" w:ascii="Times New Roman" w:hAnsi="Times New Roman" w:cs="Times New Roman"/>
                      <w:b w:val="0"/>
                      <w:bCs/>
                      <w:color w:val="000000" w:themeColor="text1"/>
                      <w:kern w:val="0"/>
                      <w:sz w:val="18"/>
                      <w:szCs w:val="18"/>
                      <w:highlight w:val="none"/>
                      <w:lang w:val="en-US" w:eastAsia="zh-CN"/>
                      <w14:textFill>
                        <w14:solidFill>
                          <w14:schemeClr w14:val="tx1"/>
                        </w14:solidFill>
                      </w14:textFill>
                    </w:rPr>
                    <w:t>天然气消耗量为</w:t>
                  </w:r>
                  <w:r>
                    <w:rPr>
                      <w:rFonts w:hint="eastAsia" w:cs="Times New Roman"/>
                      <w:b w:val="0"/>
                      <w:bCs/>
                      <w:color w:val="000000" w:themeColor="text1"/>
                      <w:kern w:val="0"/>
                      <w:sz w:val="18"/>
                      <w:szCs w:val="18"/>
                      <w:highlight w:val="none"/>
                      <w:lang w:val="en-US" w:eastAsia="zh-CN"/>
                      <w14:textFill>
                        <w14:solidFill>
                          <w14:schemeClr w14:val="tx1"/>
                        </w14:solidFill>
                      </w14:textFill>
                    </w:rPr>
                    <w:t>450</w:t>
                  </w:r>
                  <w:r>
                    <w:rPr>
                      <w:rFonts w:hint="default" w:ascii="Times New Roman" w:hAnsi="Times New Roman" w:cs="Times New Roman"/>
                      <w:b w:val="0"/>
                      <w:bCs/>
                      <w:color w:val="000000" w:themeColor="text1"/>
                      <w:kern w:val="0"/>
                      <w:sz w:val="18"/>
                      <w:szCs w:val="18"/>
                      <w:highlight w:val="none"/>
                      <w:lang w:val="en-US" w:eastAsia="zh-CN"/>
                      <w14:textFill>
                        <w14:solidFill>
                          <w14:schemeClr w14:val="tx1"/>
                        </w14:solidFill>
                      </w14:textFill>
                    </w:rPr>
                    <w:t>m</w:t>
                  </w:r>
                  <w:r>
                    <w:rPr>
                      <w:rFonts w:hint="default" w:ascii="Times New Roman" w:hAnsi="Times New Roman" w:cs="Times New Roman"/>
                      <w:b w:val="0"/>
                      <w:bCs/>
                      <w:color w:val="000000" w:themeColor="text1"/>
                      <w:kern w:val="0"/>
                      <w:sz w:val="18"/>
                      <w:szCs w:val="18"/>
                      <w:highlight w:val="none"/>
                      <w:vertAlign w:val="superscript"/>
                      <w:lang w:val="en-US" w:eastAsia="zh-CN"/>
                      <w14:textFill>
                        <w14:solidFill>
                          <w14:schemeClr w14:val="tx1"/>
                        </w14:solidFill>
                      </w14:textFill>
                    </w:rPr>
                    <w:t>3</w:t>
                  </w:r>
                  <w:r>
                    <w:rPr>
                      <w:rFonts w:hint="default" w:ascii="Times New Roman" w:hAnsi="Times New Roman" w:cs="Times New Roman"/>
                      <w:b w:val="0"/>
                      <w:bCs/>
                      <w:color w:val="000000" w:themeColor="text1"/>
                      <w:kern w:val="0"/>
                      <w:sz w:val="18"/>
                      <w:szCs w:val="18"/>
                      <w:highlight w:val="none"/>
                      <w:lang w:val="en-US" w:eastAsia="zh-CN"/>
                      <w14:textFill>
                        <w14:solidFill>
                          <w14:schemeClr w14:val="tx1"/>
                        </w14:solidFill>
                      </w14:textFill>
                    </w:rPr>
                    <w:t>/</w:t>
                  </w:r>
                  <w:r>
                    <w:rPr>
                      <w:rFonts w:hint="eastAsia" w:cs="Times New Roman"/>
                      <w:b w:val="0"/>
                      <w:bCs/>
                      <w:color w:val="000000" w:themeColor="text1"/>
                      <w:kern w:val="0"/>
                      <w:sz w:val="18"/>
                      <w:szCs w:val="18"/>
                      <w:highlight w:val="none"/>
                      <w:lang w:val="en-US" w:eastAsia="zh-CN"/>
                      <w14:textFill>
                        <w14:solidFill>
                          <w14:schemeClr w14:val="tx1"/>
                        </w14:solidFill>
                      </w14:textFill>
                    </w:rPr>
                    <w:t>h，扩建后全厂天然气用量为1360</w:t>
                  </w:r>
                  <w:r>
                    <w:rPr>
                      <w:rFonts w:hint="default" w:ascii="Times New Roman" w:hAnsi="Times New Roman" w:cs="Times New Roman"/>
                      <w:b w:val="0"/>
                      <w:bCs/>
                      <w:color w:val="000000" w:themeColor="text1"/>
                      <w:kern w:val="0"/>
                      <w:sz w:val="18"/>
                      <w:szCs w:val="18"/>
                      <w:highlight w:val="none"/>
                      <w:lang w:val="en-US" w:eastAsia="zh-CN"/>
                      <w14:textFill>
                        <w14:solidFill>
                          <w14:schemeClr w14:val="tx1"/>
                        </w14:solidFill>
                      </w14:textFill>
                    </w:rPr>
                    <w:t>m</w:t>
                  </w:r>
                  <w:r>
                    <w:rPr>
                      <w:rFonts w:hint="default" w:ascii="Times New Roman" w:hAnsi="Times New Roman" w:cs="Times New Roman"/>
                      <w:b w:val="0"/>
                      <w:bCs/>
                      <w:color w:val="000000" w:themeColor="text1"/>
                      <w:kern w:val="0"/>
                      <w:sz w:val="18"/>
                      <w:szCs w:val="18"/>
                      <w:highlight w:val="none"/>
                      <w:vertAlign w:val="superscript"/>
                      <w:lang w:val="en-US" w:eastAsia="zh-CN"/>
                      <w14:textFill>
                        <w14:solidFill>
                          <w14:schemeClr w14:val="tx1"/>
                        </w14:solidFill>
                      </w14:textFill>
                    </w:rPr>
                    <w:t>3</w:t>
                  </w:r>
                  <w:r>
                    <w:rPr>
                      <w:rFonts w:hint="default" w:ascii="Times New Roman" w:hAnsi="Times New Roman" w:cs="Times New Roman"/>
                      <w:b w:val="0"/>
                      <w:bCs/>
                      <w:color w:val="000000" w:themeColor="text1"/>
                      <w:kern w:val="0"/>
                      <w:sz w:val="18"/>
                      <w:szCs w:val="18"/>
                      <w:highlight w:val="none"/>
                      <w:lang w:val="en-US" w:eastAsia="zh-CN"/>
                      <w14:textFill>
                        <w14:solidFill>
                          <w14:schemeClr w14:val="tx1"/>
                        </w14:solidFill>
                      </w14:textFill>
                    </w:rPr>
                    <w:t>/</w:t>
                  </w:r>
                  <w:r>
                    <w:rPr>
                      <w:rFonts w:hint="eastAsia" w:cs="Times New Roman"/>
                      <w:b w:val="0"/>
                      <w:bCs/>
                      <w:color w:val="000000" w:themeColor="text1"/>
                      <w:kern w:val="0"/>
                      <w:sz w:val="18"/>
                      <w:szCs w:val="18"/>
                      <w:highlight w:val="none"/>
                      <w:lang w:val="en-US" w:eastAsia="zh-CN"/>
                      <w14:textFill>
                        <w14:solidFill>
                          <w14:schemeClr w14:val="tx1"/>
                        </w14:solidFill>
                      </w14:textFill>
                    </w:rPr>
                    <w:t>h,</w:t>
                  </w:r>
                  <w:r>
                    <w:rPr>
                      <w:rFonts w:hint="default" w:ascii="Times New Roman" w:hAnsi="Times New Roman" w:cs="Times New Roman"/>
                      <w:b w:val="0"/>
                      <w:bCs/>
                      <w:color w:val="000000" w:themeColor="text1"/>
                      <w:kern w:val="0"/>
                      <w:sz w:val="18"/>
                      <w:szCs w:val="18"/>
                      <w:highlight w:val="none"/>
                      <w:lang w:val="en-US" w:eastAsia="zh-CN"/>
                      <w14:textFill>
                        <w14:solidFill>
                          <w14:schemeClr w14:val="tx1"/>
                        </w14:solidFill>
                      </w14:textFill>
                    </w:rPr>
                    <w:t>本次工程依托厂区内现有</w:t>
                  </w:r>
                  <w:r>
                    <w:rPr>
                      <w:rFonts w:hint="default" w:ascii="Times New Roman" w:hAnsi="Times New Roman" w:cs="Times New Roman"/>
                      <w:b w:val="0"/>
                      <w:bCs/>
                      <w:color w:val="000000" w:themeColor="text1"/>
                      <w:kern w:val="0"/>
                      <w:sz w:val="18"/>
                      <w:szCs w:val="18"/>
                      <w:highlight w:val="none"/>
                      <w:lang w:eastAsia="zh-CN"/>
                      <w14:textFill>
                        <w14:solidFill>
                          <w14:schemeClr w14:val="tx1"/>
                        </w14:solidFill>
                      </w14:textFill>
                    </w:rPr>
                    <w:t>天然气燃气管道供应，由新乡县欣鹏燃气有限公司提供，天然气来源为“西气东输”，目前</w:t>
                  </w:r>
                  <w:r>
                    <w:rPr>
                      <w:rFonts w:hint="eastAsia" w:cs="Times New Roman"/>
                      <w:b w:val="0"/>
                      <w:bCs/>
                      <w:color w:val="000000" w:themeColor="text1"/>
                      <w:kern w:val="0"/>
                      <w:sz w:val="18"/>
                      <w:szCs w:val="18"/>
                      <w:highlight w:val="none"/>
                      <w:lang w:eastAsia="zh-CN"/>
                      <w14:textFill>
                        <w14:solidFill>
                          <w14:schemeClr w14:val="tx1"/>
                        </w14:solidFill>
                      </w14:textFill>
                    </w:rPr>
                    <w:t>厂区内</w:t>
                  </w:r>
                  <w:r>
                    <w:rPr>
                      <w:rFonts w:hint="default" w:ascii="Times New Roman" w:hAnsi="Times New Roman" w:cs="Times New Roman"/>
                      <w:b w:val="0"/>
                      <w:bCs/>
                      <w:color w:val="000000" w:themeColor="text1"/>
                      <w:kern w:val="0"/>
                      <w:sz w:val="18"/>
                      <w:szCs w:val="18"/>
                      <w:highlight w:val="none"/>
                      <w:lang w:eastAsia="zh-CN"/>
                      <w14:textFill>
                        <w14:solidFill>
                          <w14:schemeClr w14:val="tx1"/>
                        </w14:solidFill>
                      </w14:textFill>
                    </w:rPr>
                    <w:t>管线最大供气能力可达</w:t>
                  </w:r>
                  <w:r>
                    <w:rPr>
                      <w:rFonts w:hint="default" w:ascii="Times New Roman" w:hAnsi="Times New Roman" w:cs="Times New Roman"/>
                      <w:b w:val="0"/>
                      <w:bCs/>
                      <w:color w:val="000000" w:themeColor="text1"/>
                      <w:kern w:val="0"/>
                      <w:sz w:val="18"/>
                      <w:szCs w:val="18"/>
                      <w:highlight w:val="none"/>
                      <w:lang w:val="en-US" w:eastAsia="zh-CN"/>
                      <w14:textFill>
                        <w14:solidFill>
                          <w14:schemeClr w14:val="tx1"/>
                        </w14:solidFill>
                      </w14:textFill>
                    </w:rPr>
                    <w:t>1500m</w:t>
                  </w:r>
                  <w:r>
                    <w:rPr>
                      <w:rFonts w:hint="default" w:ascii="Times New Roman" w:hAnsi="Times New Roman" w:cs="Times New Roman"/>
                      <w:b w:val="0"/>
                      <w:bCs/>
                      <w:color w:val="000000" w:themeColor="text1"/>
                      <w:kern w:val="0"/>
                      <w:sz w:val="18"/>
                      <w:szCs w:val="18"/>
                      <w:highlight w:val="none"/>
                      <w:vertAlign w:val="superscript"/>
                      <w:lang w:val="en-US" w:eastAsia="zh-CN"/>
                      <w14:textFill>
                        <w14:solidFill>
                          <w14:schemeClr w14:val="tx1"/>
                        </w14:solidFill>
                      </w14:textFill>
                    </w:rPr>
                    <w:t>3</w:t>
                  </w:r>
                  <w:r>
                    <w:rPr>
                      <w:rFonts w:hint="default" w:ascii="Times New Roman" w:hAnsi="Times New Roman" w:cs="Times New Roman"/>
                      <w:b w:val="0"/>
                      <w:bCs/>
                      <w:color w:val="000000" w:themeColor="text1"/>
                      <w:kern w:val="0"/>
                      <w:sz w:val="18"/>
                      <w:szCs w:val="18"/>
                      <w:highlight w:val="none"/>
                      <w:lang w:val="en-US" w:eastAsia="zh-CN"/>
                      <w14:textFill>
                        <w14:solidFill>
                          <w14:schemeClr w14:val="tx1"/>
                        </w14:solidFill>
                      </w14:textFill>
                    </w:rPr>
                    <w:t>/h，能够满足本次扩建工程生产需求</w:t>
                  </w:r>
                </w:p>
              </w:tc>
              <w:tc>
                <w:tcPr>
                  <w:tcW w:w="6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依托可行</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cyan"/>
                      <w14:textFill>
                        <w14:solidFill>
                          <w14:schemeClr w14:val="tx1"/>
                        </w14:solidFill>
                      </w14:textFill>
                    </w:rPr>
                  </w:pPr>
                </w:p>
              </w:tc>
              <w:tc>
                <w:tcPr>
                  <w:tcW w:w="79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废气治理</w:t>
                  </w:r>
                </w:p>
              </w:tc>
              <w:tc>
                <w:tcPr>
                  <w:tcW w:w="321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现有</w:t>
                  </w:r>
                  <w:r>
                    <w:rPr>
                      <w:rFonts w:hint="eastAsia" w:cs="Times New Roman"/>
                      <w:color w:val="000000" w:themeColor="text1"/>
                      <w:sz w:val="18"/>
                      <w:szCs w:val="18"/>
                      <w:highlight w:val="none"/>
                      <w:lang w:eastAsia="zh-CN"/>
                      <w14:textFill>
                        <w14:solidFill>
                          <w14:schemeClr w14:val="tx1"/>
                        </w14:solidFill>
                      </w14:textFill>
                    </w:rPr>
                    <w:t>工程</w:t>
                  </w:r>
                  <w:r>
                    <w:rPr>
                      <w:rFonts w:hint="default" w:ascii="Times New Roman" w:hAnsi="Times New Roman" w:cs="Times New Roman"/>
                      <w:color w:val="000000" w:themeColor="text1"/>
                      <w:sz w:val="18"/>
                      <w:szCs w:val="18"/>
                      <w:highlight w:val="none"/>
                      <w:lang w:eastAsia="zh-CN"/>
                      <w14:textFill>
                        <w14:solidFill>
                          <w14:schemeClr w14:val="tx1"/>
                        </w14:solidFill>
                      </w14:textFill>
                    </w:rPr>
                    <w:t>设置的1套选择性催化还原（SCR）脱硝装置最大废气处理量约为24000m</w:t>
                  </w:r>
                  <w:r>
                    <w:rPr>
                      <w:rFonts w:hint="default" w:ascii="Times New Roman" w:hAnsi="Times New Roman" w:cs="Times New Roman"/>
                      <w:color w:val="000000" w:themeColor="text1"/>
                      <w:sz w:val="18"/>
                      <w:szCs w:val="18"/>
                      <w:highlight w:val="none"/>
                      <w:vertAlign w:val="superscript"/>
                      <w:lang w:eastAsia="zh-CN"/>
                      <w14:textFill>
                        <w14:solidFill>
                          <w14:schemeClr w14:val="tx1"/>
                        </w14:solidFill>
                      </w14:textFill>
                    </w:rPr>
                    <w:t>3</w:t>
                  </w:r>
                  <w:r>
                    <w:rPr>
                      <w:rFonts w:hint="default" w:ascii="Times New Roman" w:hAnsi="Times New Roman" w:cs="Times New Roman"/>
                      <w:color w:val="000000" w:themeColor="text1"/>
                      <w:sz w:val="18"/>
                      <w:szCs w:val="18"/>
                      <w:highlight w:val="none"/>
                      <w:lang w:eastAsia="zh-CN"/>
                      <w14:textFill>
                        <w14:solidFill>
                          <w14:schemeClr w14:val="tx1"/>
                        </w14:solidFill>
                      </w14:textFill>
                    </w:rPr>
                    <w:t>/h，装置配套设置1台12000~25000m</w:t>
                  </w:r>
                  <w:r>
                    <w:rPr>
                      <w:rFonts w:hint="default" w:ascii="Times New Roman" w:hAnsi="Times New Roman" w:cs="Times New Roman"/>
                      <w:color w:val="000000" w:themeColor="text1"/>
                      <w:sz w:val="18"/>
                      <w:szCs w:val="18"/>
                      <w:highlight w:val="none"/>
                      <w:vertAlign w:val="superscript"/>
                      <w:lang w:eastAsia="zh-CN"/>
                      <w14:textFill>
                        <w14:solidFill>
                          <w14:schemeClr w14:val="tx1"/>
                        </w14:solidFill>
                      </w14:textFill>
                    </w:rPr>
                    <w:t>3</w:t>
                  </w:r>
                  <w:r>
                    <w:rPr>
                      <w:rFonts w:hint="default" w:ascii="Times New Roman" w:hAnsi="Times New Roman" w:cs="Times New Roman"/>
                      <w:color w:val="000000" w:themeColor="text1"/>
                      <w:sz w:val="18"/>
                      <w:szCs w:val="18"/>
                      <w:highlight w:val="none"/>
                      <w:lang w:eastAsia="zh-CN"/>
                      <w14:textFill>
                        <w14:solidFill>
                          <w14:schemeClr w14:val="tx1"/>
                        </w14:solidFill>
                      </w14:textFill>
                    </w:rPr>
                    <w:t>/h变频风机，</w:t>
                  </w:r>
                  <w:r>
                    <w:rPr>
                      <w:rFonts w:hint="eastAsia" w:cs="Times New Roman"/>
                      <w:color w:val="000000" w:themeColor="text1"/>
                      <w:sz w:val="18"/>
                      <w:szCs w:val="18"/>
                      <w:highlight w:val="none"/>
                      <w:lang w:eastAsia="zh-CN"/>
                      <w14:textFill>
                        <w14:solidFill>
                          <w14:schemeClr w14:val="tx1"/>
                        </w14:solidFill>
                      </w14:textFill>
                    </w:rPr>
                    <w:t>目前</w:t>
                  </w:r>
                  <w:r>
                    <w:rPr>
                      <w:rFonts w:hint="default" w:ascii="Times New Roman" w:hAnsi="Times New Roman" w:cs="Times New Roman"/>
                      <w:color w:val="000000" w:themeColor="text1"/>
                      <w:sz w:val="18"/>
                      <w:szCs w:val="18"/>
                      <w:highlight w:val="none"/>
                      <w:lang w:eastAsia="zh-CN"/>
                      <w14:textFill>
                        <w14:solidFill>
                          <w14:schemeClr w14:val="tx1"/>
                        </w14:solidFill>
                      </w14:textFill>
                    </w:rPr>
                    <w:t>现有工程燃气炉废气量最大约为14500m</w:t>
                  </w:r>
                  <w:r>
                    <w:rPr>
                      <w:rFonts w:hint="default" w:ascii="Times New Roman" w:hAnsi="Times New Roman" w:cs="Times New Roman"/>
                      <w:color w:val="000000" w:themeColor="text1"/>
                      <w:sz w:val="18"/>
                      <w:szCs w:val="18"/>
                      <w:highlight w:val="none"/>
                      <w:vertAlign w:val="superscript"/>
                      <w:lang w:eastAsia="zh-CN"/>
                      <w14:textFill>
                        <w14:solidFill>
                          <w14:schemeClr w14:val="tx1"/>
                        </w14:solidFill>
                      </w14:textFill>
                    </w:rPr>
                    <w:t>3</w:t>
                  </w:r>
                  <w:r>
                    <w:rPr>
                      <w:rFonts w:hint="default" w:ascii="Times New Roman" w:hAnsi="Times New Roman" w:cs="Times New Roman"/>
                      <w:color w:val="000000" w:themeColor="text1"/>
                      <w:sz w:val="18"/>
                      <w:szCs w:val="18"/>
                      <w:highlight w:val="none"/>
                      <w:lang w:eastAsia="zh-CN"/>
                      <w14:textFill>
                        <w14:solidFill>
                          <w14:schemeClr w14:val="tx1"/>
                        </w14:solidFill>
                      </w14:textFill>
                    </w:rPr>
                    <w:t>/h，因此尚预留9500m</w:t>
                  </w:r>
                  <w:r>
                    <w:rPr>
                      <w:rFonts w:hint="default" w:ascii="Times New Roman" w:hAnsi="Times New Roman" w:cs="Times New Roman"/>
                      <w:color w:val="000000" w:themeColor="text1"/>
                      <w:sz w:val="18"/>
                      <w:szCs w:val="18"/>
                      <w:highlight w:val="none"/>
                      <w:vertAlign w:val="superscript"/>
                      <w:lang w:eastAsia="zh-CN"/>
                      <w14:textFill>
                        <w14:solidFill>
                          <w14:schemeClr w14:val="tx1"/>
                        </w14:solidFill>
                      </w14:textFill>
                    </w:rPr>
                    <w:t>3</w:t>
                  </w:r>
                  <w:r>
                    <w:rPr>
                      <w:rFonts w:hint="default" w:ascii="Times New Roman" w:hAnsi="Times New Roman" w:cs="Times New Roman"/>
                      <w:color w:val="000000" w:themeColor="text1"/>
                      <w:sz w:val="18"/>
                      <w:szCs w:val="18"/>
                      <w:highlight w:val="none"/>
                      <w:lang w:eastAsia="zh-CN"/>
                      <w14:textFill>
                        <w14:solidFill>
                          <w14:schemeClr w14:val="tx1"/>
                        </w14:solidFill>
                      </w14:textFill>
                    </w:rPr>
                    <w:t>/h废气处理余量，本次扩建完成后新增废气量为6120m</w:t>
                  </w:r>
                  <w:r>
                    <w:rPr>
                      <w:rFonts w:hint="default" w:ascii="Times New Roman" w:hAnsi="Times New Roman" w:cs="Times New Roman"/>
                      <w:color w:val="000000" w:themeColor="text1"/>
                      <w:sz w:val="18"/>
                      <w:szCs w:val="18"/>
                      <w:highlight w:val="none"/>
                      <w:vertAlign w:val="superscript"/>
                      <w:lang w:eastAsia="zh-CN"/>
                      <w14:textFill>
                        <w14:solidFill>
                          <w14:schemeClr w14:val="tx1"/>
                        </w14:solidFill>
                      </w14:textFill>
                    </w:rPr>
                    <w:t>3</w:t>
                  </w:r>
                  <w:r>
                    <w:rPr>
                      <w:rFonts w:hint="default" w:ascii="Times New Roman" w:hAnsi="Times New Roman" w:cs="Times New Roman"/>
                      <w:color w:val="000000" w:themeColor="text1"/>
                      <w:sz w:val="18"/>
                      <w:szCs w:val="18"/>
                      <w:highlight w:val="none"/>
                      <w:lang w:eastAsia="zh-CN"/>
                      <w14:textFill>
                        <w14:solidFill>
                          <w14:schemeClr w14:val="tx1"/>
                        </w14:solidFill>
                      </w14:textFill>
                    </w:rPr>
                    <w:t>/h，因此现有工程设置的1套选择性催化还原（SCR）脱硝装置能满足本次工程燃气炉废气收集处理需求</w:t>
                  </w:r>
                </w:p>
              </w:tc>
              <w:tc>
                <w:tcPr>
                  <w:tcW w:w="6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依托可行</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snapToGrid w:val="0"/>
                      <w:color w:val="000000" w:themeColor="text1"/>
                      <w:kern w:val="0"/>
                      <w:sz w:val="18"/>
                      <w:szCs w:val="18"/>
                      <w:highlight w:val="cyan"/>
                      <w14:textFill>
                        <w14:solidFill>
                          <w14:schemeClr w14:val="tx1"/>
                        </w14:solidFill>
                      </w14:textFill>
                    </w:rPr>
                  </w:pPr>
                </w:p>
              </w:tc>
              <w:tc>
                <w:tcPr>
                  <w:tcW w:w="79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废水治理</w:t>
                  </w:r>
                </w:p>
              </w:tc>
              <w:tc>
                <w:tcPr>
                  <w:tcW w:w="321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left"/>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本次工程完成后全厂外排废水为生活污水，全厂废水排放量为</w:t>
                  </w: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1.92m</w:t>
                  </w:r>
                  <w:r>
                    <w:rPr>
                      <w:rFonts w:hint="default" w:ascii="Times New Roman" w:hAnsi="Times New Roman" w:cs="Times New Roman"/>
                      <w:snapToGrid w:val="0"/>
                      <w:color w:val="000000" w:themeColor="text1"/>
                      <w:kern w:val="0"/>
                      <w:sz w:val="18"/>
                      <w:szCs w:val="18"/>
                      <w:highlight w:val="none"/>
                      <w:vertAlign w:val="superscript"/>
                      <w:lang w:val="en-US" w:eastAsia="zh-CN"/>
                      <w14:textFill>
                        <w14:solidFill>
                          <w14:schemeClr w14:val="tx1"/>
                        </w14:solidFill>
                      </w14:textFill>
                    </w:rPr>
                    <w:t>3</w:t>
                  </w: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/d，厂区现有1座10m</w:t>
                  </w:r>
                  <w:r>
                    <w:rPr>
                      <w:rFonts w:hint="default" w:ascii="Times New Roman" w:hAnsi="Times New Roman" w:cs="Times New Roman"/>
                      <w:snapToGrid w:val="0"/>
                      <w:color w:val="000000" w:themeColor="text1"/>
                      <w:kern w:val="0"/>
                      <w:sz w:val="18"/>
                      <w:szCs w:val="18"/>
                      <w:highlight w:val="none"/>
                      <w:vertAlign w:val="superscript"/>
                      <w:lang w:val="en-US" w:eastAsia="zh-CN"/>
                      <w14:textFill>
                        <w14:solidFill>
                          <w14:schemeClr w14:val="tx1"/>
                        </w14:solidFill>
                      </w14:textFill>
                    </w:rPr>
                    <w:t>3</w:t>
                  </w: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化粪池，能够满足项目废水处理</w:t>
                  </w:r>
                </w:p>
              </w:tc>
              <w:tc>
                <w:tcPr>
                  <w:tcW w:w="6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依托可行</w:t>
                  </w:r>
                </w:p>
              </w:tc>
            </w:tr>
          </w:tbl>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textAlignment w:val="auto"/>
              <w:rPr>
                <w:rFonts w:hint="default" w:ascii="Times New Roman" w:hAnsi="Times New Roman" w:cs="Times New Roman"/>
                <w:b/>
                <w:color w:val="000000" w:themeColor="text1"/>
                <w:kern w:val="0"/>
                <w:szCs w:val="21"/>
                <w:highlight w:val="none"/>
                <w14:textFill>
                  <w14:solidFill>
                    <w14:schemeClr w14:val="tx1"/>
                  </w14:solidFill>
                </w14:textFill>
              </w:rPr>
            </w:pPr>
            <w:r>
              <w:rPr>
                <w:rFonts w:hint="default" w:ascii="Times New Roman" w:hAnsi="Times New Roman" w:cs="Times New Roman"/>
                <w:b/>
                <w:color w:val="000000" w:themeColor="text1"/>
                <w:kern w:val="0"/>
                <w:szCs w:val="21"/>
                <w:highlight w:val="none"/>
                <w:lang w:val="en-US" w:eastAsia="zh-CN"/>
                <w14:textFill>
                  <w14:solidFill>
                    <w14:schemeClr w14:val="tx1"/>
                  </w14:solidFill>
                </w14:textFill>
              </w:rPr>
              <w:t>3、</w:t>
            </w:r>
            <w:r>
              <w:rPr>
                <w:rFonts w:hint="default" w:ascii="Times New Roman" w:hAnsi="Times New Roman" w:cs="Times New Roman"/>
                <w:b/>
                <w:color w:val="000000" w:themeColor="text1"/>
                <w:kern w:val="0"/>
                <w:szCs w:val="21"/>
                <w:highlight w:val="none"/>
                <w14:textFill>
                  <w14:solidFill>
                    <w14:schemeClr w14:val="tx1"/>
                  </w14:solidFill>
                </w14:textFill>
              </w:rPr>
              <w:t>本项目主要产品方案及生产规模</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bCs/>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kern w:val="0"/>
                <w:szCs w:val="21"/>
                <w:highlight w:val="none"/>
                <w:lang w:eastAsia="zh-CN"/>
                <w14:textFill>
                  <w14:solidFill>
                    <w14:schemeClr w14:val="tx1"/>
                  </w14:solidFill>
                </w14:textFill>
              </w:rPr>
              <w:t>现有工程和本次扩建工程产品均为封头，主要为各类压力容器组成部件，</w:t>
            </w:r>
            <w:r>
              <w:rPr>
                <w:rFonts w:hint="default" w:ascii="Times New Roman" w:hAnsi="Times New Roman" w:cs="Times New Roman"/>
                <w:bCs/>
                <w:color w:val="000000" w:themeColor="text1"/>
                <w:kern w:val="0"/>
                <w:szCs w:val="21"/>
                <w:highlight w:val="none"/>
                <w14:textFill>
                  <w14:solidFill>
                    <w14:schemeClr w14:val="tx1"/>
                  </w14:solidFill>
                </w14:textFill>
              </w:rPr>
              <w:t>具体产品方案见</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下表</w:t>
            </w:r>
            <w:r>
              <w:rPr>
                <w:rFonts w:hint="default" w:ascii="Times New Roman" w:hAnsi="Times New Roman" w:cs="Times New Roman"/>
                <w:bCs/>
                <w:color w:val="000000" w:themeColor="text1"/>
                <w:kern w:val="0"/>
                <w:szCs w:val="21"/>
                <w:highlight w:val="none"/>
                <w14:textFill>
                  <w14:solidFill>
                    <w14:schemeClr w14:val="tx1"/>
                  </w14:solidFill>
                </w14:textFill>
              </w:rPr>
              <w:t>。</w:t>
            </w:r>
          </w:p>
          <w:p>
            <w:pPr>
              <w:pStyle w:val="20"/>
              <w:rPr>
                <w:rFonts w:hint="default" w:ascii="Times New Roman" w:hAnsi="Times New Roman" w:cs="Times New Roman"/>
                <w:bCs/>
                <w:color w:val="000000" w:themeColor="text1"/>
                <w:kern w:val="0"/>
                <w:szCs w:val="21"/>
                <w:highlight w:val="none"/>
                <w14:textFill>
                  <w14:solidFill>
                    <w14:schemeClr w14:val="tx1"/>
                  </w14:solidFill>
                </w14:textFill>
              </w:rPr>
            </w:pPr>
          </w:p>
          <w:p>
            <w:pPr>
              <w:pStyle w:val="20"/>
              <w:ind w:left="0" w:leftChars="0" w:firstLine="0" w:firstLineChars="0"/>
              <w:rPr>
                <w:rFonts w:hint="default"/>
                <w:color w:val="000000" w:themeColor="text1"/>
                <w14:textFill>
                  <w14:solidFill>
                    <w14:schemeClr w14:val="tx1"/>
                  </w14:solidFill>
                </w14:textFill>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项目产品方案及规模一览表</w:t>
            </w:r>
          </w:p>
          <w:tbl>
            <w:tblPr>
              <w:tblStyle w:val="21"/>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30"/>
              <w:gridCol w:w="1037"/>
              <w:gridCol w:w="1501"/>
              <w:gridCol w:w="1155"/>
              <w:gridCol w:w="1155"/>
              <w:gridCol w:w="1156"/>
              <w:gridCol w:w="154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385"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序号</w:t>
                  </w:r>
                </w:p>
              </w:tc>
              <w:tc>
                <w:tcPr>
                  <w:tcW w:w="634"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产品名称</w:t>
                  </w:r>
                </w:p>
              </w:tc>
              <w:tc>
                <w:tcPr>
                  <w:tcW w:w="917"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类别</w:t>
                  </w:r>
                </w:p>
              </w:tc>
              <w:tc>
                <w:tcPr>
                  <w:tcW w:w="2119"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年产量（t/a）</w:t>
                  </w:r>
                </w:p>
              </w:tc>
              <w:tc>
                <w:tcPr>
                  <w:tcW w:w="943"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38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63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917"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p>
              </w:tc>
              <w:tc>
                <w:tcPr>
                  <w:tcW w:w="70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扩建前</w:t>
                  </w:r>
                </w:p>
              </w:tc>
              <w:tc>
                <w:tcPr>
                  <w:tcW w:w="70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扩建后</w:t>
                  </w:r>
                </w:p>
              </w:tc>
              <w:tc>
                <w:tcPr>
                  <w:tcW w:w="70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变化量</w:t>
                  </w:r>
                </w:p>
              </w:tc>
              <w:tc>
                <w:tcPr>
                  <w:tcW w:w="943"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1</w:t>
                  </w:r>
                </w:p>
              </w:tc>
              <w:tc>
                <w:tcPr>
                  <w:tcW w:w="6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热压封头</w:t>
                  </w:r>
                </w:p>
              </w:tc>
              <w:tc>
                <w:tcPr>
                  <w:tcW w:w="91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HH、SHD</w:t>
                  </w:r>
                </w:p>
              </w:tc>
              <w:tc>
                <w:tcPr>
                  <w:tcW w:w="70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5000</w:t>
                  </w:r>
                </w:p>
              </w:tc>
              <w:tc>
                <w:tcPr>
                  <w:tcW w:w="70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bidi="ar-SA"/>
                      <w14:textFill>
                        <w14:solidFill>
                          <w14:schemeClr w14:val="tx1"/>
                        </w14:solidFill>
                      </w14:textFill>
                    </w:rPr>
                  </w:pPr>
                  <w:r>
                    <w:rPr>
                      <w:rFonts w:hint="eastAsia" w:cs="Times New Roman"/>
                      <w:snapToGrid w:val="0"/>
                      <w:color w:val="000000" w:themeColor="text1"/>
                      <w:kern w:val="0"/>
                      <w:sz w:val="18"/>
                      <w:szCs w:val="18"/>
                      <w:highlight w:val="none"/>
                      <w:lang w:val="en-US" w:eastAsia="zh-CN"/>
                      <w14:textFill>
                        <w14:solidFill>
                          <w14:schemeClr w14:val="tx1"/>
                        </w14:solidFill>
                      </w14:textFill>
                    </w:rPr>
                    <w:t>10000</w:t>
                  </w:r>
                </w:p>
              </w:tc>
              <w:tc>
                <w:tcPr>
                  <w:tcW w:w="70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w:t>
                  </w:r>
                  <w:r>
                    <w:rPr>
                      <w:rFonts w:hint="eastAsia" w:cs="Times New Roman"/>
                      <w:snapToGrid w:val="0"/>
                      <w:color w:val="000000" w:themeColor="text1"/>
                      <w:kern w:val="0"/>
                      <w:sz w:val="18"/>
                      <w:szCs w:val="18"/>
                      <w:highlight w:val="none"/>
                      <w:lang w:val="en-US" w:eastAsia="zh-CN"/>
                      <w14:textFill>
                        <w14:solidFill>
                          <w14:schemeClr w14:val="tx1"/>
                        </w14:solidFill>
                      </w14:textFill>
                    </w:rPr>
                    <w:t>5000</w:t>
                  </w:r>
                </w:p>
              </w:tc>
              <w:tc>
                <w:tcPr>
                  <w:tcW w:w="943"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18"/>
                      <w:szCs w:val="18"/>
                      <w:highlight w:val="none"/>
                      <w:lang w:eastAsia="zh-CN"/>
                      <w14:textFill>
                        <w14:solidFill>
                          <w14:schemeClr w14:val="tx1"/>
                        </w14:solidFill>
                      </w14:textFill>
                    </w:rPr>
                    <w:t>用于各种容器设备，如储罐、换热器、反应釜、锅炉等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2</w:t>
                  </w:r>
                </w:p>
              </w:tc>
              <w:tc>
                <w:tcPr>
                  <w:tcW w:w="6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冷压封头</w:t>
                  </w:r>
                </w:p>
              </w:tc>
              <w:tc>
                <w:tcPr>
                  <w:tcW w:w="91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HH、SHD、EHA</w:t>
                  </w:r>
                </w:p>
              </w:tc>
              <w:tc>
                <w:tcPr>
                  <w:tcW w:w="70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7500</w:t>
                  </w:r>
                </w:p>
              </w:tc>
              <w:tc>
                <w:tcPr>
                  <w:tcW w:w="70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bidi="ar-SA"/>
                      <w14:textFill>
                        <w14:solidFill>
                          <w14:schemeClr w14:val="tx1"/>
                        </w14:solidFill>
                      </w14:textFill>
                    </w:rPr>
                  </w:pPr>
                  <w:r>
                    <w:rPr>
                      <w:rFonts w:hint="eastAsia" w:cs="Times New Roman"/>
                      <w:snapToGrid w:val="0"/>
                      <w:color w:val="000000" w:themeColor="text1"/>
                      <w:kern w:val="0"/>
                      <w:sz w:val="18"/>
                      <w:szCs w:val="18"/>
                      <w:highlight w:val="none"/>
                      <w:lang w:val="en-US" w:eastAsia="zh-CN"/>
                      <w14:textFill>
                        <w14:solidFill>
                          <w14:schemeClr w14:val="tx1"/>
                        </w14:solidFill>
                      </w14:textFill>
                    </w:rPr>
                    <w:t>22500</w:t>
                  </w:r>
                </w:p>
              </w:tc>
              <w:tc>
                <w:tcPr>
                  <w:tcW w:w="70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w:t>
                  </w:r>
                  <w:r>
                    <w:rPr>
                      <w:rFonts w:hint="eastAsia" w:cs="Times New Roman"/>
                      <w:snapToGrid w:val="0"/>
                      <w:color w:val="000000" w:themeColor="text1"/>
                      <w:kern w:val="0"/>
                      <w:sz w:val="18"/>
                      <w:szCs w:val="18"/>
                      <w:highlight w:val="none"/>
                      <w:lang w:val="en-US" w:eastAsia="zh-CN"/>
                      <w14:textFill>
                        <w14:solidFill>
                          <w14:schemeClr w14:val="tx1"/>
                        </w14:solidFill>
                      </w14:textFill>
                    </w:rPr>
                    <w:t>15000</w:t>
                  </w:r>
                </w:p>
              </w:tc>
              <w:tc>
                <w:tcPr>
                  <w:tcW w:w="943"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3</w:t>
                  </w:r>
                </w:p>
              </w:tc>
              <w:tc>
                <w:tcPr>
                  <w:tcW w:w="6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旋压封头</w:t>
                  </w:r>
                </w:p>
              </w:tc>
              <w:tc>
                <w:tcPr>
                  <w:tcW w:w="91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WD、EHA</w:t>
                  </w:r>
                </w:p>
              </w:tc>
              <w:tc>
                <w:tcPr>
                  <w:tcW w:w="70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2500</w:t>
                  </w:r>
                </w:p>
              </w:tc>
              <w:tc>
                <w:tcPr>
                  <w:tcW w:w="70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bidi="ar-SA"/>
                      <w14:textFill>
                        <w14:solidFill>
                          <w14:schemeClr w14:val="tx1"/>
                        </w14:solidFill>
                      </w14:textFill>
                    </w:rPr>
                  </w:pPr>
                  <w:r>
                    <w:rPr>
                      <w:rFonts w:hint="eastAsia" w:cs="Times New Roman"/>
                      <w:snapToGrid w:val="0"/>
                      <w:color w:val="000000" w:themeColor="text1"/>
                      <w:kern w:val="0"/>
                      <w:sz w:val="18"/>
                      <w:szCs w:val="18"/>
                      <w:highlight w:val="none"/>
                      <w:lang w:val="en-US" w:eastAsia="zh-CN"/>
                      <w14:textFill>
                        <w14:solidFill>
                          <w14:schemeClr w14:val="tx1"/>
                        </w14:solidFill>
                      </w14:textFill>
                    </w:rPr>
                    <w:t>8500</w:t>
                  </w:r>
                </w:p>
              </w:tc>
              <w:tc>
                <w:tcPr>
                  <w:tcW w:w="70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w:t>
                  </w:r>
                  <w:r>
                    <w:rPr>
                      <w:rFonts w:hint="eastAsia" w:cs="Times New Roman"/>
                      <w:snapToGrid w:val="0"/>
                      <w:color w:val="000000" w:themeColor="text1"/>
                      <w:kern w:val="0"/>
                      <w:sz w:val="18"/>
                      <w:szCs w:val="18"/>
                      <w:highlight w:val="none"/>
                      <w:lang w:val="en-US" w:eastAsia="zh-CN"/>
                      <w14:textFill>
                        <w14:solidFill>
                          <w14:schemeClr w14:val="tx1"/>
                        </w14:solidFill>
                      </w14:textFill>
                    </w:rPr>
                    <w:t>6000</w:t>
                  </w:r>
                </w:p>
              </w:tc>
              <w:tc>
                <w:tcPr>
                  <w:tcW w:w="943"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1937"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合计</w:t>
                  </w:r>
                </w:p>
              </w:tc>
              <w:tc>
                <w:tcPr>
                  <w:tcW w:w="70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15000</w:t>
                  </w:r>
                </w:p>
              </w:tc>
              <w:tc>
                <w:tcPr>
                  <w:tcW w:w="70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eastAsia" w:cs="Times New Roman"/>
                      <w:snapToGrid w:val="0"/>
                      <w:color w:val="000000" w:themeColor="text1"/>
                      <w:kern w:val="0"/>
                      <w:sz w:val="18"/>
                      <w:szCs w:val="18"/>
                      <w:highlight w:val="none"/>
                      <w:lang w:val="en-US" w:eastAsia="zh-CN"/>
                      <w14:textFill>
                        <w14:solidFill>
                          <w14:schemeClr w14:val="tx1"/>
                        </w14:solidFill>
                      </w14:textFill>
                    </w:rPr>
                    <w:t>41000</w:t>
                  </w:r>
                </w:p>
              </w:tc>
              <w:tc>
                <w:tcPr>
                  <w:tcW w:w="70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eastAsia" w:cs="Times New Roman"/>
                      <w:snapToGrid w:val="0"/>
                      <w:color w:val="000000" w:themeColor="text1"/>
                      <w:kern w:val="0"/>
                      <w:sz w:val="18"/>
                      <w:szCs w:val="18"/>
                      <w:highlight w:val="none"/>
                      <w:lang w:val="en-US" w:eastAsia="zh-CN"/>
                      <w14:textFill>
                        <w14:solidFill>
                          <w14:schemeClr w14:val="tx1"/>
                        </w14:solidFill>
                      </w14:textFill>
                    </w:rPr>
                    <w:t>26</w:t>
                  </w: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000</w:t>
                  </w:r>
                </w:p>
              </w:tc>
              <w:tc>
                <w:tcPr>
                  <w:tcW w:w="943"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w:t>
                  </w:r>
                </w:p>
              </w:tc>
            </w:tr>
          </w:tbl>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textAlignment w:val="auto"/>
              <w:rPr>
                <w:rFonts w:hint="default" w:ascii="Times New Roman" w:hAnsi="Times New Roman" w:cs="Times New Roman"/>
                <w:b/>
                <w:color w:val="000000" w:themeColor="text1"/>
                <w:kern w:val="0"/>
                <w:szCs w:val="21"/>
                <w:highlight w:val="none"/>
                <w14:textFill>
                  <w14:solidFill>
                    <w14:schemeClr w14:val="tx1"/>
                  </w14:solidFill>
                </w14:textFill>
              </w:rPr>
            </w:pPr>
            <w:r>
              <w:rPr>
                <w:rFonts w:hint="default" w:ascii="Times New Roman" w:hAnsi="Times New Roman" w:cs="Times New Roman"/>
                <w:b/>
                <w:color w:val="000000" w:themeColor="text1"/>
                <w:kern w:val="0"/>
                <w:szCs w:val="21"/>
                <w:highlight w:val="none"/>
                <w:lang w:val="en-US" w:eastAsia="zh-CN"/>
                <w14:textFill>
                  <w14:solidFill>
                    <w14:schemeClr w14:val="tx1"/>
                  </w14:solidFill>
                </w14:textFill>
              </w:rPr>
              <w:t>4、</w:t>
            </w:r>
            <w:r>
              <w:rPr>
                <w:rFonts w:hint="default" w:ascii="Times New Roman" w:hAnsi="Times New Roman" w:cs="Times New Roman"/>
                <w:b/>
                <w:color w:val="000000" w:themeColor="text1"/>
                <w:kern w:val="0"/>
                <w:szCs w:val="21"/>
                <w:highlight w:val="none"/>
                <w14:textFill>
                  <w14:solidFill>
                    <w14:schemeClr w14:val="tx1"/>
                  </w14:solidFill>
                </w14:textFill>
              </w:rPr>
              <w:t>主要原辅材料</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bCs/>
                <w:color w:val="000000" w:themeColor="text1"/>
                <w:kern w:val="0"/>
                <w:szCs w:val="21"/>
                <w:highlight w:val="none"/>
                <w:lang w:eastAsia="zh-CN"/>
                <w14:textFill>
                  <w14:solidFill>
                    <w14:schemeClr w14:val="tx1"/>
                  </w14:solidFill>
                </w14:textFill>
              </w:rPr>
              <w:t>本次扩建工程所需主要原辅材料为各类钢板、焊材</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等</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，所需能源资源包括水、电和天然气，</w:t>
            </w:r>
            <w:r>
              <w:rPr>
                <w:rFonts w:hint="default" w:ascii="Times New Roman" w:hAnsi="Times New Roman" w:cs="Times New Roman"/>
                <w:bCs/>
                <w:color w:val="000000" w:themeColor="text1"/>
                <w:kern w:val="0"/>
                <w:szCs w:val="21"/>
                <w:highlight w:val="none"/>
                <w14:textFill>
                  <w14:solidFill>
                    <w14:schemeClr w14:val="tx1"/>
                  </w14:solidFill>
                </w14:textFill>
              </w:rPr>
              <w:t>主要原辅材料</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及能源资源</w:t>
            </w:r>
            <w:r>
              <w:rPr>
                <w:rFonts w:hint="default" w:ascii="Times New Roman" w:hAnsi="Times New Roman" w:cs="Times New Roman"/>
                <w:bCs/>
                <w:color w:val="000000" w:themeColor="text1"/>
                <w:kern w:val="0"/>
                <w:szCs w:val="21"/>
                <w:highlight w:val="none"/>
                <w14:textFill>
                  <w14:solidFill>
                    <w14:schemeClr w14:val="tx1"/>
                  </w14:solidFill>
                </w14:textFill>
              </w:rPr>
              <w:t>消耗见</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下表。</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主要原辅料及能源消耗</w:t>
            </w:r>
          </w:p>
          <w:tbl>
            <w:tblPr>
              <w:tblStyle w:val="21"/>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92"/>
              <w:gridCol w:w="1172"/>
              <w:gridCol w:w="1284"/>
              <w:gridCol w:w="800"/>
              <w:gridCol w:w="810"/>
              <w:gridCol w:w="902"/>
              <w:gridCol w:w="780"/>
              <w:gridCol w:w="183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362"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类别</w:t>
                  </w:r>
                </w:p>
              </w:tc>
              <w:tc>
                <w:tcPr>
                  <w:tcW w:w="716" w:type="pct"/>
                  <w:vMerge w:val="restart"/>
                  <w:tcBorders>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名称</w:t>
                  </w:r>
                </w:p>
              </w:tc>
              <w:tc>
                <w:tcPr>
                  <w:tcW w:w="785"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规格</w:t>
                  </w:r>
                </w:p>
              </w:tc>
              <w:tc>
                <w:tcPr>
                  <w:tcW w:w="1535" w:type="pct"/>
                  <w:gridSpan w:val="3"/>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年耗量</w:t>
                  </w:r>
                </w:p>
              </w:tc>
              <w:tc>
                <w:tcPr>
                  <w:tcW w:w="477"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单位</w:t>
                  </w:r>
                </w:p>
              </w:tc>
              <w:tc>
                <w:tcPr>
                  <w:tcW w:w="1122"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36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716" w:type="pct"/>
                  <w:vMerge w:val="continue"/>
                  <w:tcBorders>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785"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489"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扩建前</w:t>
                  </w:r>
                </w:p>
              </w:tc>
              <w:tc>
                <w:tcPr>
                  <w:tcW w:w="495"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扩建后</w:t>
                  </w:r>
                </w:p>
              </w:tc>
              <w:tc>
                <w:tcPr>
                  <w:tcW w:w="550"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变化量</w:t>
                  </w:r>
                </w:p>
              </w:tc>
              <w:tc>
                <w:tcPr>
                  <w:tcW w:w="47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12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2"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原辅材料</w:t>
                  </w:r>
                </w:p>
              </w:tc>
              <w:tc>
                <w:tcPr>
                  <w:tcW w:w="716" w:type="pct"/>
                  <w:tcBorders>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outlineLvl w:val="9"/>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碳钢钢板</w:t>
                  </w:r>
                </w:p>
              </w:tc>
              <w:tc>
                <w:tcPr>
                  <w:tcW w:w="78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厚度</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10~160mm</w:t>
                  </w:r>
                </w:p>
              </w:tc>
              <w:tc>
                <w:tcPr>
                  <w:tcW w:w="48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13680</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39180</w:t>
                  </w:r>
                </w:p>
              </w:tc>
              <w:tc>
                <w:tcPr>
                  <w:tcW w:w="9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+25500</w:t>
                  </w:r>
                </w:p>
              </w:tc>
              <w:tc>
                <w:tcPr>
                  <w:tcW w:w="47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112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主要原料，外购</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716" w:type="pct"/>
                  <w:tcBorders>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outlineLvl w:val="9"/>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不锈钢板</w:t>
                  </w:r>
                </w:p>
              </w:tc>
              <w:tc>
                <w:tcPr>
                  <w:tcW w:w="78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outlineLvl w:val="9"/>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厚度</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10~160mm</w:t>
                  </w:r>
                </w:p>
              </w:tc>
              <w:tc>
                <w:tcPr>
                  <w:tcW w:w="48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2110</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3910</w:t>
                  </w:r>
                </w:p>
              </w:tc>
              <w:tc>
                <w:tcPr>
                  <w:tcW w:w="9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+1800</w:t>
                  </w:r>
                </w:p>
              </w:tc>
              <w:tc>
                <w:tcPr>
                  <w:tcW w:w="47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112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主要原料，外购</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716" w:type="pct"/>
                  <w:tcBorders>
                    <w:top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药芯焊丝</w:t>
                  </w:r>
                </w:p>
              </w:tc>
              <w:tc>
                <w:tcPr>
                  <w:tcW w:w="78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15kg/盘</w:t>
                  </w:r>
                </w:p>
              </w:tc>
              <w:tc>
                <w:tcPr>
                  <w:tcW w:w="48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27</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47</w:t>
                  </w:r>
                </w:p>
              </w:tc>
              <w:tc>
                <w:tcPr>
                  <w:tcW w:w="9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+20</w:t>
                  </w:r>
                </w:p>
              </w:tc>
              <w:tc>
                <w:tcPr>
                  <w:tcW w:w="47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112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焊接原料</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716" w:type="pct"/>
                  <w:tcBorders>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焊剂</w:t>
                  </w:r>
                </w:p>
              </w:tc>
              <w:tc>
                <w:tcPr>
                  <w:tcW w:w="78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50kg/桶</w:t>
                  </w:r>
                </w:p>
              </w:tc>
              <w:tc>
                <w:tcPr>
                  <w:tcW w:w="48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10</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35</w:t>
                  </w:r>
                </w:p>
              </w:tc>
              <w:tc>
                <w:tcPr>
                  <w:tcW w:w="9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+25</w:t>
                  </w:r>
                </w:p>
              </w:tc>
              <w:tc>
                <w:tcPr>
                  <w:tcW w:w="47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112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焊接辅料，由大理石、石英、萤石等矿石和钛白粉、纤维素等化学物质组成</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716" w:type="pct"/>
                  <w:tcBorders>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氧气</w:t>
                  </w:r>
                </w:p>
              </w:tc>
              <w:tc>
                <w:tcPr>
                  <w:tcW w:w="78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200L钢瓶</w:t>
                  </w:r>
                </w:p>
              </w:tc>
              <w:tc>
                <w:tcPr>
                  <w:tcW w:w="48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3</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5</w:t>
                  </w:r>
                </w:p>
              </w:tc>
              <w:tc>
                <w:tcPr>
                  <w:tcW w:w="9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+2</w:t>
                  </w:r>
                </w:p>
              </w:tc>
              <w:tc>
                <w:tcPr>
                  <w:tcW w:w="47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L/a</w:t>
                  </w:r>
                </w:p>
              </w:tc>
              <w:tc>
                <w:tcPr>
                  <w:tcW w:w="112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磁力切割机辅料，日常储存12瓶</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trPr>
              <w:tc>
                <w:tcPr>
                  <w:tcW w:w="36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716" w:type="pct"/>
                  <w:tcBorders>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丙烷</w:t>
                  </w:r>
                </w:p>
              </w:tc>
              <w:tc>
                <w:tcPr>
                  <w:tcW w:w="78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30kg液化双阀钢瓶</w:t>
                  </w:r>
                </w:p>
              </w:tc>
              <w:tc>
                <w:tcPr>
                  <w:tcW w:w="48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40</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80</w:t>
                  </w:r>
                </w:p>
              </w:tc>
              <w:tc>
                <w:tcPr>
                  <w:tcW w:w="9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+40</w:t>
                  </w:r>
                </w:p>
              </w:tc>
              <w:tc>
                <w:tcPr>
                  <w:tcW w:w="47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112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磁力切割机燃料，日常储存12瓶</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716" w:type="pct"/>
                  <w:tcBorders>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二氧化碳</w:t>
                  </w:r>
                </w:p>
              </w:tc>
              <w:tc>
                <w:tcPr>
                  <w:tcW w:w="78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40L钢瓶</w:t>
                  </w:r>
                </w:p>
              </w:tc>
              <w:tc>
                <w:tcPr>
                  <w:tcW w:w="48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1000</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2080</w:t>
                  </w:r>
                </w:p>
              </w:tc>
              <w:tc>
                <w:tcPr>
                  <w:tcW w:w="9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+1080</w:t>
                  </w:r>
                </w:p>
              </w:tc>
              <w:tc>
                <w:tcPr>
                  <w:tcW w:w="47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L/a</w:t>
                  </w:r>
                </w:p>
              </w:tc>
              <w:tc>
                <w:tcPr>
                  <w:tcW w:w="112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焊接自保护气体</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trPr>
              <w:tc>
                <w:tcPr>
                  <w:tcW w:w="36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716" w:type="pct"/>
                  <w:tcBorders>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酸洗钝化膏</w:t>
                  </w:r>
                </w:p>
              </w:tc>
              <w:tc>
                <w:tcPr>
                  <w:tcW w:w="78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c>
                <w:tcPr>
                  <w:tcW w:w="48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7</w:t>
                  </w:r>
                </w:p>
              </w:tc>
              <w:tc>
                <w:tcPr>
                  <w:tcW w:w="9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+7</w:t>
                  </w:r>
                </w:p>
              </w:tc>
              <w:tc>
                <w:tcPr>
                  <w:tcW w:w="47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112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酸洗原料，外购</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716" w:type="pct"/>
                  <w:tcBorders>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液压油</w:t>
                  </w:r>
                </w:p>
              </w:tc>
              <w:tc>
                <w:tcPr>
                  <w:tcW w:w="78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c>
                <w:tcPr>
                  <w:tcW w:w="48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4</w:t>
                  </w:r>
                </w:p>
              </w:tc>
              <w:tc>
                <w:tcPr>
                  <w:tcW w:w="9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+2</w:t>
                  </w:r>
                </w:p>
              </w:tc>
              <w:tc>
                <w:tcPr>
                  <w:tcW w:w="47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112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716" w:type="pct"/>
                  <w:tcBorders>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润滑油</w:t>
                  </w:r>
                </w:p>
              </w:tc>
              <w:tc>
                <w:tcPr>
                  <w:tcW w:w="78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c>
                <w:tcPr>
                  <w:tcW w:w="48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0.5</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1.5</w:t>
                  </w:r>
                </w:p>
              </w:tc>
              <w:tc>
                <w:tcPr>
                  <w:tcW w:w="9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+1</w:t>
                  </w:r>
                </w:p>
              </w:tc>
              <w:tc>
                <w:tcPr>
                  <w:tcW w:w="47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112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716" w:type="pct"/>
                  <w:tcBorders>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氨水（25%）</w:t>
                  </w:r>
                </w:p>
              </w:tc>
              <w:tc>
                <w:tcPr>
                  <w:tcW w:w="78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10m</w:t>
                  </w:r>
                  <w:r>
                    <w:rPr>
                      <w:rFonts w:hint="default" w:ascii="Times New Roman" w:hAnsi="Times New Roman" w:cs="Times New Roman"/>
                      <w:color w:val="000000" w:themeColor="text1"/>
                      <w:sz w:val="18"/>
                      <w:szCs w:val="18"/>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储罐</w:t>
                  </w:r>
                </w:p>
              </w:tc>
              <w:tc>
                <w:tcPr>
                  <w:tcW w:w="48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2</w:t>
                  </w:r>
                </w:p>
              </w:tc>
              <w:tc>
                <w:tcPr>
                  <w:tcW w:w="9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+1</w:t>
                  </w:r>
                </w:p>
              </w:tc>
              <w:tc>
                <w:tcPr>
                  <w:tcW w:w="47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112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SCR脱硝还原剂</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trPr>
              <w:tc>
                <w:tcPr>
                  <w:tcW w:w="36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716" w:type="pct"/>
                  <w:tcBorders>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片碱</w:t>
                  </w:r>
                </w:p>
              </w:tc>
              <w:tc>
                <w:tcPr>
                  <w:tcW w:w="78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w:t>
                  </w:r>
                </w:p>
              </w:tc>
              <w:tc>
                <w:tcPr>
                  <w:tcW w:w="48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w:t>
                  </w:r>
                </w:p>
              </w:tc>
              <w:tc>
                <w:tcPr>
                  <w:tcW w:w="8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0.6</w:t>
                  </w:r>
                </w:p>
              </w:tc>
              <w:tc>
                <w:tcPr>
                  <w:tcW w:w="9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+0.6</w:t>
                  </w:r>
                </w:p>
              </w:tc>
              <w:tc>
                <w:tcPr>
                  <w:tcW w:w="47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t/a</w:t>
                  </w:r>
                </w:p>
              </w:tc>
              <w:tc>
                <w:tcPr>
                  <w:tcW w:w="112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酸雾喷淋中和剂</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2"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能源资源</w:t>
                  </w:r>
                </w:p>
              </w:tc>
              <w:tc>
                <w:tcPr>
                  <w:tcW w:w="716" w:type="pct"/>
                  <w:tcBorders>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用水</w:t>
                  </w:r>
                </w:p>
              </w:tc>
              <w:tc>
                <w:tcPr>
                  <w:tcW w:w="785"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w:t>
                  </w:r>
                </w:p>
              </w:tc>
              <w:tc>
                <w:tcPr>
                  <w:tcW w:w="489"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18"/>
                      <w:szCs w:val="18"/>
                      <w:highlight w:val="none"/>
                      <w:lang w:val="en-US" w:eastAsia="zh-CN" w:bidi="ar-SA"/>
                      <w14:textFill>
                        <w14:solidFill>
                          <w14:schemeClr w14:val="tx1"/>
                        </w14:solidFill>
                      </w14:textFill>
                    </w:rPr>
                    <w:t>480</w:t>
                  </w:r>
                </w:p>
              </w:tc>
              <w:tc>
                <w:tcPr>
                  <w:tcW w:w="495"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cs="Times New Roman"/>
                      <w:color w:val="000000" w:themeColor="text1"/>
                      <w:kern w:val="2"/>
                      <w:sz w:val="18"/>
                      <w:szCs w:val="18"/>
                      <w:highlight w:val="none"/>
                      <w:lang w:val="en-US" w:eastAsia="zh-CN" w:bidi="ar-SA"/>
                      <w14:textFill>
                        <w14:solidFill>
                          <w14:schemeClr w14:val="tx1"/>
                        </w14:solidFill>
                      </w14:textFill>
                    </w:rPr>
                    <w:t>1219.77</w:t>
                  </w:r>
                </w:p>
              </w:tc>
              <w:tc>
                <w:tcPr>
                  <w:tcW w:w="550"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cs="Times New Roman"/>
                      <w:color w:val="000000" w:themeColor="text1"/>
                      <w:kern w:val="2"/>
                      <w:sz w:val="18"/>
                      <w:szCs w:val="18"/>
                      <w:highlight w:val="none"/>
                      <w:lang w:val="en-US" w:eastAsia="zh-CN" w:bidi="ar-SA"/>
                      <w14:textFill>
                        <w14:solidFill>
                          <w14:schemeClr w14:val="tx1"/>
                        </w14:solidFill>
                      </w14:textFill>
                    </w:rPr>
                    <w:t>739.77</w:t>
                  </w:r>
                </w:p>
              </w:tc>
              <w:tc>
                <w:tcPr>
                  <w:tcW w:w="47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0"/>
                      <w:sz w:val="18"/>
                      <w:szCs w:val="18"/>
                      <w:highlight w:val="none"/>
                      <w14:textFill>
                        <w14:solidFill>
                          <w14:schemeClr w14:val="tx1"/>
                        </w14:solidFill>
                      </w14:textFill>
                    </w:rPr>
                    <w:t>m</w:t>
                  </w:r>
                  <w:r>
                    <w:rPr>
                      <w:rFonts w:hint="default" w:ascii="Times New Roman" w:hAnsi="Times New Roman" w:cs="Times New Roman"/>
                      <w:bCs/>
                      <w:color w:val="000000" w:themeColor="text1"/>
                      <w:kern w:val="0"/>
                      <w:sz w:val="18"/>
                      <w:szCs w:val="18"/>
                      <w:highlight w:val="none"/>
                      <w:vertAlign w:val="superscript"/>
                      <w14:textFill>
                        <w14:solidFill>
                          <w14:schemeClr w14:val="tx1"/>
                        </w14:solidFill>
                      </w14:textFill>
                    </w:rPr>
                    <w:t>3</w:t>
                  </w:r>
                  <w:r>
                    <w:rPr>
                      <w:rFonts w:hint="default" w:ascii="Times New Roman" w:hAnsi="Times New Roman" w:cs="Times New Roman"/>
                      <w:bCs/>
                      <w:color w:val="000000" w:themeColor="text1"/>
                      <w:kern w:val="0"/>
                      <w:sz w:val="18"/>
                      <w:szCs w:val="18"/>
                      <w:highlight w:val="none"/>
                      <w14:textFill>
                        <w14:solidFill>
                          <w14:schemeClr w14:val="tx1"/>
                        </w14:solidFill>
                      </w14:textFill>
                    </w:rPr>
                    <w:t>/</w:t>
                  </w:r>
                  <w:r>
                    <w:rPr>
                      <w:rFonts w:hint="default" w:ascii="Times New Roman" w:hAnsi="Times New Roman" w:cs="Times New Roman"/>
                      <w:bCs/>
                      <w:color w:val="000000" w:themeColor="text1"/>
                      <w:kern w:val="0"/>
                      <w:sz w:val="18"/>
                      <w:szCs w:val="18"/>
                      <w:highlight w:val="none"/>
                      <w:lang w:val="en-US" w:eastAsia="zh-CN"/>
                      <w14:textFill>
                        <w14:solidFill>
                          <w14:schemeClr w14:val="tx1"/>
                        </w14:solidFill>
                      </w14:textFill>
                    </w:rPr>
                    <w:t>a</w:t>
                  </w:r>
                </w:p>
              </w:tc>
              <w:tc>
                <w:tcPr>
                  <w:tcW w:w="112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新乡县小冀镇市政供水管网</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716" w:type="pct"/>
                  <w:tcBorders>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用</w:t>
                  </w:r>
                  <w:r>
                    <w:rPr>
                      <w:rFonts w:hint="default" w:ascii="Times New Roman" w:hAnsi="Times New Roman" w:cs="Times New Roman"/>
                      <w:color w:val="000000" w:themeColor="text1"/>
                      <w:sz w:val="18"/>
                      <w:szCs w:val="18"/>
                      <w:highlight w:val="none"/>
                      <w14:textFill>
                        <w14:solidFill>
                          <w14:schemeClr w14:val="tx1"/>
                        </w14:solidFill>
                      </w14:textFill>
                    </w:rPr>
                    <w:t>电</w:t>
                  </w:r>
                </w:p>
              </w:tc>
              <w:tc>
                <w:tcPr>
                  <w:tcW w:w="785"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c>
                <w:tcPr>
                  <w:tcW w:w="489"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200</w:t>
                  </w:r>
                </w:p>
              </w:tc>
              <w:tc>
                <w:tcPr>
                  <w:tcW w:w="495"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45</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w:t>
                  </w:r>
                </w:p>
              </w:tc>
              <w:tc>
                <w:tcPr>
                  <w:tcW w:w="550"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r>
                    <w:rPr>
                      <w:rFonts w:hint="eastAsia" w:cs="Times New Roman"/>
                      <w:color w:val="000000" w:themeColor="text1"/>
                      <w:sz w:val="18"/>
                      <w:szCs w:val="18"/>
                      <w:highlight w:val="none"/>
                      <w:lang w:val="en-US" w:eastAsia="zh-CN"/>
                      <w14:textFill>
                        <w14:solidFill>
                          <w14:schemeClr w14:val="tx1"/>
                        </w14:solidFill>
                      </w14:textFill>
                    </w:rPr>
                    <w:t>25</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w:t>
                  </w:r>
                </w:p>
              </w:tc>
              <w:tc>
                <w:tcPr>
                  <w:tcW w:w="47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万</w:t>
                  </w:r>
                  <w:r>
                    <w:rPr>
                      <w:rFonts w:hint="default" w:ascii="Times New Roman" w:hAnsi="Times New Roman" w:cs="Times New Roman"/>
                      <w:color w:val="000000" w:themeColor="text1"/>
                      <w:sz w:val="18"/>
                      <w:szCs w:val="18"/>
                      <w:highlight w:val="none"/>
                      <w14:textFill>
                        <w14:solidFill>
                          <w14:schemeClr w14:val="tx1"/>
                        </w14:solidFill>
                      </w14:textFill>
                    </w:rPr>
                    <w:t>kW</w:t>
                  </w:r>
                  <w:r>
                    <w:rPr>
                      <w:rFonts w:hint="default" w:ascii="Times New Roman" w:hAnsi="Times New Roman" w:eastAsia="MS Mincho" w:cs="Times New Roman"/>
                      <w:color w:val="000000" w:themeColor="text1"/>
                      <w:sz w:val="18"/>
                      <w:szCs w:val="18"/>
                      <w:highlight w:val="none"/>
                      <w14:textFill>
                        <w14:solidFill>
                          <w14:schemeClr w14:val="tx1"/>
                        </w14:solidFill>
                      </w14:textFill>
                    </w:rPr>
                    <w:t>‧</w:t>
                  </w:r>
                  <w:r>
                    <w:rPr>
                      <w:rFonts w:hint="default" w:ascii="Times New Roman" w:hAnsi="Times New Roman" w:cs="Times New Roman"/>
                      <w:color w:val="000000" w:themeColor="text1"/>
                      <w:sz w:val="18"/>
                      <w:szCs w:val="18"/>
                      <w:highlight w:val="none"/>
                      <w14:textFill>
                        <w14:solidFill>
                          <w14:schemeClr w14:val="tx1"/>
                        </w14:solidFill>
                      </w14:textFill>
                    </w:rPr>
                    <w:t>h</w:t>
                  </w:r>
                </w:p>
              </w:tc>
              <w:tc>
                <w:tcPr>
                  <w:tcW w:w="112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新乡县小冀镇市政供电管网</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716" w:type="pct"/>
                  <w:tcBorders>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天然气</w:t>
                  </w:r>
                </w:p>
              </w:tc>
              <w:tc>
                <w:tcPr>
                  <w:tcW w:w="785"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c>
                <w:tcPr>
                  <w:tcW w:w="489"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165.6</w:t>
                  </w:r>
                </w:p>
              </w:tc>
              <w:tc>
                <w:tcPr>
                  <w:tcW w:w="495"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273.6</w:t>
                  </w:r>
                </w:p>
              </w:tc>
              <w:tc>
                <w:tcPr>
                  <w:tcW w:w="550"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+108</w:t>
                  </w:r>
                </w:p>
              </w:tc>
              <w:tc>
                <w:tcPr>
                  <w:tcW w:w="47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bCs/>
                      <w:color w:val="000000" w:themeColor="text1"/>
                      <w:kern w:val="0"/>
                      <w:sz w:val="18"/>
                      <w:szCs w:val="18"/>
                      <w:highlight w:val="none"/>
                      <w:lang w:eastAsia="zh-CN"/>
                      <w14:textFill>
                        <w14:solidFill>
                          <w14:schemeClr w14:val="tx1"/>
                        </w14:solidFill>
                      </w14:textFill>
                    </w:rPr>
                    <w:t>万</w:t>
                  </w:r>
                  <w:r>
                    <w:rPr>
                      <w:rFonts w:hint="default" w:ascii="Times New Roman" w:hAnsi="Times New Roman" w:cs="Times New Roman"/>
                      <w:bCs/>
                      <w:color w:val="000000" w:themeColor="text1"/>
                      <w:kern w:val="0"/>
                      <w:sz w:val="18"/>
                      <w:szCs w:val="18"/>
                      <w:highlight w:val="none"/>
                      <w14:textFill>
                        <w14:solidFill>
                          <w14:schemeClr w14:val="tx1"/>
                        </w14:solidFill>
                      </w14:textFill>
                    </w:rPr>
                    <w:t>m</w:t>
                  </w:r>
                  <w:r>
                    <w:rPr>
                      <w:rFonts w:hint="default" w:ascii="Times New Roman" w:hAnsi="Times New Roman" w:cs="Times New Roman"/>
                      <w:bCs/>
                      <w:color w:val="000000" w:themeColor="text1"/>
                      <w:kern w:val="0"/>
                      <w:sz w:val="18"/>
                      <w:szCs w:val="18"/>
                      <w:highlight w:val="none"/>
                      <w:vertAlign w:val="superscript"/>
                      <w14:textFill>
                        <w14:solidFill>
                          <w14:schemeClr w14:val="tx1"/>
                        </w14:solidFill>
                      </w14:textFill>
                    </w:rPr>
                    <w:t>3</w:t>
                  </w:r>
                  <w:r>
                    <w:rPr>
                      <w:rFonts w:hint="default" w:ascii="Times New Roman" w:hAnsi="Times New Roman" w:cs="Times New Roman"/>
                      <w:bCs/>
                      <w:color w:val="000000" w:themeColor="text1"/>
                      <w:kern w:val="0"/>
                      <w:sz w:val="18"/>
                      <w:szCs w:val="18"/>
                      <w:highlight w:val="none"/>
                      <w14:textFill>
                        <w14:solidFill>
                          <w14:schemeClr w14:val="tx1"/>
                        </w14:solidFill>
                      </w14:textFill>
                    </w:rPr>
                    <w:t>/</w:t>
                  </w:r>
                  <w:r>
                    <w:rPr>
                      <w:rFonts w:hint="default" w:ascii="Times New Roman" w:hAnsi="Times New Roman" w:cs="Times New Roman"/>
                      <w:bCs/>
                      <w:color w:val="000000" w:themeColor="text1"/>
                      <w:kern w:val="0"/>
                      <w:sz w:val="18"/>
                      <w:szCs w:val="18"/>
                      <w:highlight w:val="none"/>
                      <w:lang w:val="en-US" w:eastAsia="zh-CN"/>
                      <w14:textFill>
                        <w14:solidFill>
                          <w14:schemeClr w14:val="tx1"/>
                        </w14:solidFill>
                      </w14:textFill>
                    </w:rPr>
                    <w:t>a</w:t>
                  </w:r>
                </w:p>
              </w:tc>
              <w:tc>
                <w:tcPr>
                  <w:tcW w:w="112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新乡县欣鹏燃气有限公司供应</w:t>
                  </w:r>
                </w:p>
              </w:tc>
            </w:tr>
          </w:tbl>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理化性质一览表</w:t>
            </w:r>
          </w:p>
          <w:tbl>
            <w:tblPr>
              <w:tblStyle w:val="22"/>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81"/>
              <w:gridCol w:w="1192"/>
              <w:gridCol w:w="640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5" w:type="pct"/>
                  <w:tcBorders>
                    <w:tl2br w:val="nil"/>
                    <w:tr2bl w:val="nil"/>
                  </w:tcBorders>
                  <w:vAlign w:val="center"/>
                </w:tcPr>
                <w:p>
                  <w:pPr>
                    <w:pStyle w:val="4"/>
                    <w:keepNext/>
                    <w:keepLines/>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t>序号</w:t>
                  </w:r>
                </w:p>
              </w:tc>
              <w:tc>
                <w:tcPr>
                  <w:tcW w:w="729" w:type="pct"/>
                  <w:tcBorders>
                    <w:tl2br w:val="nil"/>
                    <w:tr2bl w:val="nil"/>
                  </w:tcBorders>
                  <w:vAlign w:val="center"/>
                </w:tcPr>
                <w:p>
                  <w:pPr>
                    <w:pStyle w:val="4"/>
                    <w:keepNext/>
                    <w:keepLines/>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t>名称</w:t>
                  </w:r>
                </w:p>
              </w:tc>
              <w:tc>
                <w:tcPr>
                  <w:tcW w:w="3915" w:type="pct"/>
                  <w:tcBorders>
                    <w:tl2br w:val="nil"/>
                    <w:tr2bl w:val="nil"/>
                  </w:tcBorders>
                  <w:vAlign w:val="center"/>
                </w:tcPr>
                <w:p>
                  <w:pPr>
                    <w:pStyle w:val="4"/>
                    <w:keepNext/>
                    <w:keepLines/>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t>理化性质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5" w:type="pct"/>
                  <w:tcBorders>
                    <w:tl2br w:val="nil"/>
                    <w:tr2bl w:val="nil"/>
                  </w:tcBorders>
                  <w:vAlign w:val="center"/>
                </w:tcPr>
                <w:p>
                  <w:pPr>
                    <w:pStyle w:val="4"/>
                    <w:keepNext/>
                    <w:keepLines/>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t>1</w:t>
                  </w:r>
                </w:p>
              </w:tc>
              <w:tc>
                <w:tcPr>
                  <w:tcW w:w="729" w:type="pct"/>
                  <w:tcBorders>
                    <w:tl2br w:val="nil"/>
                    <w:tr2bl w:val="nil"/>
                  </w:tcBorders>
                  <w:vAlign w:val="center"/>
                </w:tcPr>
                <w:p>
                  <w:pPr>
                    <w:pStyle w:val="4"/>
                    <w:keepNext/>
                    <w:keepLines/>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t>丙烷</w:t>
                  </w:r>
                </w:p>
              </w:tc>
              <w:tc>
                <w:tcPr>
                  <w:tcW w:w="3915" w:type="pct"/>
                  <w:tcBorders>
                    <w:tl2br w:val="nil"/>
                    <w:tr2bl w:val="nil"/>
                  </w:tcBorders>
                  <w:vAlign w:val="center"/>
                </w:tcPr>
                <w:p>
                  <w:pPr>
                    <w:pStyle w:val="4"/>
                    <w:keepNext/>
                    <w:keepLines/>
                    <w:pageBreakBefore w:val="0"/>
                    <w:widowControl w:val="0"/>
                    <w:kinsoku/>
                    <w:wordWrap/>
                    <w:overflowPunct/>
                    <w:topLinePunct w:val="0"/>
                    <w:autoSpaceDE/>
                    <w:autoSpaceDN/>
                    <w:bidi w:val="0"/>
                    <w:adjustRightInd/>
                    <w:snapToGrid/>
                    <w:spacing w:before="0" w:after="0" w:line="320" w:lineRule="exact"/>
                    <w:ind w:left="0" w:leftChars="0" w:firstLine="0" w:firstLineChars="0"/>
                    <w:jc w:val="both"/>
                    <w:textAlignment w:val="auto"/>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t>丙烷（Propane），是一种有机化合物，化学式为CH</w:t>
                  </w:r>
                  <w:r>
                    <w:rPr>
                      <w:rFonts w:hint="default" w:ascii="Times New Roman" w:hAnsi="Times New Roman" w:cs="Times New Roman"/>
                      <w:b w:val="0"/>
                      <w:bCs w:val="0"/>
                      <w:color w:val="000000" w:themeColor="text1"/>
                      <w:sz w:val="18"/>
                      <w:szCs w:val="18"/>
                      <w:highlight w:val="none"/>
                      <w:vertAlign w:val="subscript"/>
                      <w:lang w:val="en-US" w:eastAsia="zh-CN"/>
                      <w14:textFill>
                        <w14:solidFill>
                          <w14:schemeClr w14:val="tx1"/>
                        </w14:solidFill>
                      </w14:textFill>
                    </w:rPr>
                    <w:t>3</w:t>
                  </w:r>
                  <w:r>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t>CH</w:t>
                  </w:r>
                  <w:r>
                    <w:rPr>
                      <w:rFonts w:hint="default" w:ascii="Times New Roman" w:hAnsi="Times New Roman" w:cs="Times New Roman"/>
                      <w:b w:val="0"/>
                      <w:bCs w:val="0"/>
                      <w:color w:val="000000" w:themeColor="text1"/>
                      <w:sz w:val="18"/>
                      <w:szCs w:val="18"/>
                      <w:highlight w:val="none"/>
                      <w:vertAlign w:val="subscript"/>
                      <w:lang w:val="en-US" w:eastAsia="zh-CN"/>
                      <w14:textFill>
                        <w14:solidFill>
                          <w14:schemeClr w14:val="tx1"/>
                        </w14:solidFill>
                      </w14:textFill>
                    </w:rPr>
                    <w:t>2</w:t>
                  </w:r>
                  <w:r>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t>CH</w:t>
                  </w:r>
                  <w:r>
                    <w:rPr>
                      <w:rFonts w:hint="default" w:ascii="Times New Roman" w:hAnsi="Times New Roman" w:cs="Times New Roman"/>
                      <w:b w:val="0"/>
                      <w:bCs w:val="0"/>
                      <w:color w:val="000000" w:themeColor="text1"/>
                      <w:sz w:val="18"/>
                      <w:szCs w:val="18"/>
                      <w:highlight w:val="none"/>
                      <w:vertAlign w:val="subscript"/>
                      <w:lang w:val="en-US" w:eastAsia="zh-CN"/>
                      <w14:textFill>
                        <w14:solidFill>
                          <w14:schemeClr w14:val="tx1"/>
                        </w14:solidFill>
                      </w14:textFill>
                    </w:rPr>
                    <w:t>3</w:t>
                  </w:r>
                  <w:r>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t>，为无色无味气体，微溶于水，溶于乙醇、乙醚，化学性质稳定，不易发生化学反应，常用作冷冻剂、内燃机燃料或有机合成原料。临界温度：96.8℃，临界压力：4.25MPa，引燃温度：450℃。爆炸上限（V/V）：9.5％，爆炸下限（V/V）：2.1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5" w:type="pct"/>
                  <w:tcBorders>
                    <w:tl2br w:val="nil"/>
                    <w:tr2bl w:val="nil"/>
                  </w:tcBorders>
                  <w:vAlign w:val="center"/>
                </w:tcPr>
                <w:p>
                  <w:pPr>
                    <w:pStyle w:val="4"/>
                    <w:keepNext/>
                    <w:keepLines/>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t>2</w:t>
                  </w:r>
                </w:p>
              </w:tc>
              <w:tc>
                <w:tcPr>
                  <w:tcW w:w="72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天然气</w:t>
                  </w:r>
                </w:p>
              </w:tc>
              <w:tc>
                <w:tcPr>
                  <w:tcW w:w="391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both"/>
                    <w:textAlignment w:val="auto"/>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lang w:val="zh-CN"/>
                      <w14:textFill>
                        <w14:solidFill>
                          <w14:schemeClr w14:val="tx1"/>
                        </w14:solidFill>
                      </w14:textFill>
                    </w:rPr>
                    <w:t>理化性质：主要成份为甲烷，化学名称为CH</w:t>
                  </w:r>
                  <w:r>
                    <w:rPr>
                      <w:rFonts w:hint="default" w:ascii="Times New Roman" w:hAnsi="Times New Roman" w:cs="Times New Roman" w:eastAsiaTheme="minorEastAsia"/>
                      <w:b w:val="0"/>
                      <w:bCs w:val="0"/>
                      <w:color w:val="000000" w:themeColor="text1"/>
                      <w:sz w:val="18"/>
                      <w:szCs w:val="18"/>
                      <w:highlight w:val="none"/>
                      <w:vertAlign w:val="subscript"/>
                      <w:lang w:val="zh-CN"/>
                      <w14:textFill>
                        <w14:solidFill>
                          <w14:schemeClr w14:val="tx1"/>
                        </w14:solidFill>
                      </w14:textFill>
                    </w:rPr>
                    <w:t>4</w:t>
                  </w:r>
                  <w:r>
                    <w:rPr>
                      <w:rFonts w:hint="default" w:ascii="Times New Roman" w:hAnsi="Times New Roman" w:cs="Times New Roman" w:eastAsiaTheme="minorEastAsia"/>
                      <w:b w:val="0"/>
                      <w:bCs w:val="0"/>
                      <w:color w:val="000000" w:themeColor="text1"/>
                      <w:sz w:val="18"/>
                      <w:szCs w:val="18"/>
                      <w:highlight w:val="none"/>
                      <w:lang w:val="zh-CN"/>
                      <w14:textFill>
                        <w14:solidFill>
                          <w14:schemeClr w14:val="tx1"/>
                        </w14:solidFill>
                      </w14:textFill>
                    </w:rPr>
                    <w:t>，还有少量的乙烷C</w:t>
                  </w:r>
                  <w:r>
                    <w:rPr>
                      <w:rFonts w:hint="default" w:ascii="Times New Roman" w:hAnsi="Times New Roman" w:cs="Times New Roman" w:eastAsiaTheme="minorEastAsia"/>
                      <w:b w:val="0"/>
                      <w:bCs w:val="0"/>
                      <w:color w:val="000000" w:themeColor="text1"/>
                      <w:sz w:val="18"/>
                      <w:szCs w:val="18"/>
                      <w:highlight w:val="none"/>
                      <w:vertAlign w:val="subscript"/>
                      <w:lang w:val="zh-CN"/>
                      <w14:textFill>
                        <w14:solidFill>
                          <w14:schemeClr w14:val="tx1"/>
                        </w14:solidFill>
                      </w14:textFill>
                    </w:rPr>
                    <w:t>2</w:t>
                  </w:r>
                  <w:r>
                    <w:rPr>
                      <w:rFonts w:hint="default" w:ascii="Times New Roman" w:hAnsi="Times New Roman" w:cs="Times New Roman" w:eastAsiaTheme="minorEastAsia"/>
                      <w:b w:val="0"/>
                      <w:bCs w:val="0"/>
                      <w:color w:val="000000" w:themeColor="text1"/>
                      <w:sz w:val="18"/>
                      <w:szCs w:val="18"/>
                      <w:highlight w:val="none"/>
                      <w:lang w:val="zh-CN"/>
                      <w14:textFill>
                        <w14:solidFill>
                          <w14:schemeClr w14:val="tx1"/>
                        </w14:solidFill>
                      </w14:textFill>
                    </w:rPr>
                    <w:t>H</w:t>
                  </w:r>
                  <w:r>
                    <w:rPr>
                      <w:rFonts w:hint="default" w:ascii="Times New Roman" w:hAnsi="Times New Roman" w:cs="Times New Roman" w:eastAsiaTheme="minorEastAsia"/>
                      <w:b w:val="0"/>
                      <w:bCs w:val="0"/>
                      <w:color w:val="000000" w:themeColor="text1"/>
                      <w:sz w:val="18"/>
                      <w:szCs w:val="18"/>
                      <w:highlight w:val="none"/>
                      <w:vertAlign w:val="subscript"/>
                      <w:lang w:val="zh-CN"/>
                      <w14:textFill>
                        <w14:solidFill>
                          <w14:schemeClr w14:val="tx1"/>
                        </w14:solidFill>
                      </w14:textFill>
                    </w:rPr>
                    <w:t>6</w:t>
                  </w:r>
                  <w:r>
                    <w:rPr>
                      <w:rFonts w:hint="default" w:ascii="Times New Roman" w:hAnsi="Times New Roman" w:cs="Times New Roman" w:eastAsiaTheme="minorEastAsia"/>
                      <w:b w:val="0"/>
                      <w:bCs w:val="0"/>
                      <w:color w:val="000000" w:themeColor="text1"/>
                      <w:sz w:val="18"/>
                      <w:szCs w:val="18"/>
                      <w:highlight w:val="none"/>
                      <w:lang w:val="zh-CN"/>
                      <w14:textFill>
                        <w14:solidFill>
                          <w14:schemeClr w14:val="tx1"/>
                        </w14:solidFill>
                      </w14:textFill>
                    </w:rPr>
                    <w:t>、丙烷C</w:t>
                  </w:r>
                  <w:r>
                    <w:rPr>
                      <w:rFonts w:hint="default" w:ascii="Times New Roman" w:hAnsi="Times New Roman" w:cs="Times New Roman" w:eastAsiaTheme="minorEastAsia"/>
                      <w:b w:val="0"/>
                      <w:bCs w:val="0"/>
                      <w:color w:val="000000" w:themeColor="text1"/>
                      <w:sz w:val="18"/>
                      <w:szCs w:val="18"/>
                      <w:highlight w:val="none"/>
                      <w:vertAlign w:val="subscript"/>
                      <w:lang w:val="zh-CN"/>
                      <w14:textFill>
                        <w14:solidFill>
                          <w14:schemeClr w14:val="tx1"/>
                        </w14:solidFill>
                      </w14:textFill>
                    </w:rPr>
                    <w:t>3</w:t>
                  </w:r>
                  <w:r>
                    <w:rPr>
                      <w:rFonts w:hint="default" w:ascii="Times New Roman" w:hAnsi="Times New Roman" w:cs="Times New Roman" w:eastAsiaTheme="minorEastAsia"/>
                      <w:b w:val="0"/>
                      <w:bCs w:val="0"/>
                      <w:color w:val="000000" w:themeColor="text1"/>
                      <w:sz w:val="18"/>
                      <w:szCs w:val="18"/>
                      <w:highlight w:val="none"/>
                      <w:lang w:val="zh-CN"/>
                      <w14:textFill>
                        <w14:solidFill>
                          <w14:schemeClr w14:val="tx1"/>
                        </w14:solidFill>
                      </w14:textFill>
                    </w:rPr>
                    <w:t>H</w:t>
                  </w:r>
                  <w:r>
                    <w:rPr>
                      <w:rFonts w:hint="default" w:ascii="Times New Roman" w:hAnsi="Times New Roman" w:cs="Times New Roman" w:eastAsiaTheme="minorEastAsia"/>
                      <w:b w:val="0"/>
                      <w:bCs w:val="0"/>
                      <w:color w:val="000000" w:themeColor="text1"/>
                      <w:sz w:val="18"/>
                      <w:szCs w:val="18"/>
                      <w:highlight w:val="none"/>
                      <w:vertAlign w:val="subscript"/>
                      <w:lang w:val="zh-CN"/>
                      <w14:textFill>
                        <w14:solidFill>
                          <w14:schemeClr w14:val="tx1"/>
                        </w14:solidFill>
                      </w14:textFill>
                    </w:rPr>
                    <w:t>8</w:t>
                  </w:r>
                  <w:r>
                    <w:rPr>
                      <w:rFonts w:hint="default" w:ascii="Times New Roman" w:hAnsi="Times New Roman" w:cs="Times New Roman" w:eastAsiaTheme="minorEastAsia"/>
                      <w:b w:val="0"/>
                      <w:bCs w:val="0"/>
                      <w:color w:val="000000" w:themeColor="text1"/>
                      <w:sz w:val="18"/>
                      <w:szCs w:val="18"/>
                      <w:highlight w:val="none"/>
                      <w:lang w:val="zh-CN"/>
                      <w14:textFill>
                        <w14:solidFill>
                          <w14:schemeClr w14:val="tx1"/>
                        </w14:solidFill>
                      </w14:textFill>
                    </w:rPr>
                    <w:t>以及氮N</w:t>
                  </w:r>
                  <w:r>
                    <w:rPr>
                      <w:rFonts w:hint="default" w:ascii="Times New Roman" w:hAnsi="Times New Roman" w:cs="Times New Roman" w:eastAsiaTheme="minorEastAsia"/>
                      <w:b w:val="0"/>
                      <w:bCs w:val="0"/>
                      <w:color w:val="000000" w:themeColor="text1"/>
                      <w:sz w:val="18"/>
                      <w:szCs w:val="18"/>
                      <w:highlight w:val="none"/>
                      <w:vertAlign w:val="subscript"/>
                      <w:lang w:val="zh-CN"/>
                      <w14:textFill>
                        <w14:solidFill>
                          <w14:schemeClr w14:val="tx1"/>
                        </w14:solidFill>
                      </w14:textFill>
                    </w:rPr>
                    <w:t>2</w:t>
                  </w:r>
                  <w:r>
                    <w:rPr>
                      <w:rFonts w:hint="default" w:ascii="Times New Roman" w:hAnsi="Times New Roman" w:cs="Times New Roman" w:eastAsiaTheme="minorEastAsia"/>
                      <w:b w:val="0"/>
                      <w:bCs w:val="0"/>
                      <w:color w:val="000000" w:themeColor="text1"/>
                      <w:sz w:val="18"/>
                      <w:szCs w:val="18"/>
                      <w:highlight w:val="none"/>
                      <w:lang w:val="zh-CN"/>
                      <w14:textFill>
                        <w14:solidFill>
                          <w14:schemeClr w14:val="tx1"/>
                        </w14:solidFill>
                      </w14:textFill>
                    </w:rPr>
                    <w:t>等其他成份组成。临界温度为-82.3℃，临界压力为45.8kg/cm</w:t>
                  </w:r>
                  <w:r>
                    <w:rPr>
                      <w:rFonts w:hint="default" w:ascii="Times New Roman" w:hAnsi="Times New Roman" w:cs="Times New Roman" w:eastAsiaTheme="minorEastAsia"/>
                      <w:b w:val="0"/>
                      <w:bCs w:val="0"/>
                      <w:color w:val="000000" w:themeColor="text1"/>
                      <w:sz w:val="18"/>
                      <w:szCs w:val="18"/>
                      <w:highlight w:val="none"/>
                      <w:vertAlign w:val="superscript"/>
                      <w:lang w:val="zh-CN"/>
                      <w14:textFill>
                        <w14:solidFill>
                          <w14:schemeClr w14:val="tx1"/>
                        </w14:solidFill>
                      </w14:textFill>
                    </w:rPr>
                    <w:t>3</w:t>
                  </w:r>
                  <w:r>
                    <w:rPr>
                      <w:rFonts w:hint="default" w:ascii="Times New Roman" w:hAnsi="Times New Roman" w:cs="Times New Roman" w:eastAsiaTheme="minorEastAsia"/>
                      <w:b w:val="0"/>
                      <w:bCs w:val="0"/>
                      <w:color w:val="000000" w:themeColor="text1"/>
                      <w:sz w:val="18"/>
                      <w:szCs w:val="18"/>
                      <w:highlight w:val="none"/>
                      <w:lang w:val="zh-CN"/>
                      <w14:textFill>
                        <w14:solidFill>
                          <w14:schemeClr w14:val="tx1"/>
                        </w14:solidFill>
                      </w14:textFill>
                    </w:rPr>
                    <w:t>。沸点为-162.5℃，熔点为-182℃，着火点为650℃。液态密度为0.430T/m</w:t>
                  </w:r>
                  <w:r>
                    <w:rPr>
                      <w:rFonts w:hint="default" w:ascii="Times New Roman" w:hAnsi="Times New Roman" w:cs="Times New Roman" w:eastAsiaTheme="minorEastAsia"/>
                      <w:b w:val="0"/>
                      <w:bCs w:val="0"/>
                      <w:color w:val="000000" w:themeColor="text1"/>
                      <w:sz w:val="18"/>
                      <w:szCs w:val="18"/>
                      <w:highlight w:val="none"/>
                      <w:vertAlign w:val="superscript"/>
                      <w:lang w:val="zh-CN"/>
                      <w14:textFill>
                        <w14:solidFill>
                          <w14:schemeClr w14:val="tx1"/>
                        </w14:solidFill>
                      </w14:textFill>
                    </w:rPr>
                    <w:t>3</w:t>
                  </w:r>
                  <w:r>
                    <w:rPr>
                      <w:rFonts w:hint="default" w:ascii="Times New Roman" w:hAnsi="Times New Roman" w:cs="Times New Roman" w:eastAsiaTheme="minorEastAsia"/>
                      <w:b w:val="0"/>
                      <w:bCs w:val="0"/>
                      <w:color w:val="000000" w:themeColor="text1"/>
                      <w:sz w:val="18"/>
                      <w:szCs w:val="18"/>
                      <w:highlight w:val="none"/>
                      <w:lang w:val="zh-CN"/>
                      <w14:textFill>
                        <w14:solidFill>
                          <w14:schemeClr w14:val="tx1"/>
                        </w14:solidFill>
                      </w14:textFill>
                    </w:rPr>
                    <w:t>，气态密度为0.688kg/Nm</w:t>
                  </w:r>
                  <w:r>
                    <w:rPr>
                      <w:rFonts w:hint="default" w:ascii="Times New Roman" w:hAnsi="Times New Roman" w:cs="Times New Roman" w:eastAsiaTheme="minorEastAsia"/>
                      <w:b w:val="0"/>
                      <w:bCs w:val="0"/>
                      <w:color w:val="000000" w:themeColor="text1"/>
                      <w:sz w:val="18"/>
                      <w:szCs w:val="18"/>
                      <w:highlight w:val="none"/>
                      <w:vertAlign w:val="superscript"/>
                      <w:lang w:val="zh-CN"/>
                      <w14:textFill>
                        <w14:solidFill>
                          <w14:schemeClr w14:val="tx1"/>
                        </w14:solidFill>
                      </w14:textFill>
                    </w:rPr>
                    <w:t>3</w:t>
                  </w:r>
                  <w:r>
                    <w:rPr>
                      <w:rFonts w:hint="default" w:ascii="Times New Roman" w:hAnsi="Times New Roman" w:cs="Times New Roman" w:eastAsiaTheme="minorEastAsia"/>
                      <w:b w:val="0"/>
                      <w:bCs w:val="0"/>
                      <w:color w:val="000000" w:themeColor="text1"/>
                      <w:sz w:val="18"/>
                      <w:szCs w:val="18"/>
                      <w:highlight w:val="none"/>
                      <w:lang w:val="zh-CN"/>
                      <w14:textFill>
                        <w14:solidFill>
                          <w14:schemeClr w14:val="tx1"/>
                        </w14:solidFill>
                      </w14:textFill>
                    </w:rPr>
                    <w:t>。气态热值9100Kcal/m</w:t>
                  </w:r>
                  <w:r>
                    <w:rPr>
                      <w:rFonts w:hint="default" w:ascii="Times New Roman" w:hAnsi="Times New Roman" w:cs="Times New Roman" w:eastAsiaTheme="minorEastAsia"/>
                      <w:b w:val="0"/>
                      <w:bCs w:val="0"/>
                      <w:color w:val="000000" w:themeColor="text1"/>
                      <w:sz w:val="18"/>
                      <w:szCs w:val="18"/>
                      <w:highlight w:val="none"/>
                      <w:vertAlign w:val="superscript"/>
                      <w:lang w:val="zh-CN"/>
                      <w14:textFill>
                        <w14:solidFill>
                          <w14:schemeClr w14:val="tx1"/>
                        </w14:solidFill>
                      </w14:textFill>
                    </w:rPr>
                    <w:t>3</w:t>
                  </w:r>
                  <w:r>
                    <w:rPr>
                      <w:rFonts w:hint="default" w:ascii="Times New Roman" w:hAnsi="Times New Roman" w:cs="Times New Roman" w:eastAsiaTheme="minorEastAsia"/>
                      <w:b w:val="0"/>
                      <w:bCs w:val="0"/>
                      <w:color w:val="000000" w:themeColor="text1"/>
                      <w:sz w:val="18"/>
                      <w:szCs w:val="18"/>
                      <w:highlight w:val="none"/>
                      <w:lang w:val="zh-CN"/>
                      <w14:textFill>
                        <w14:solidFill>
                          <w14:schemeClr w14:val="tx1"/>
                        </w14:solidFill>
                      </w14:textFill>
                    </w:rPr>
                    <w:t>，液态热值12000Kcalkg。</w:t>
                  </w:r>
                  <w:r>
                    <w:rPr>
                      <w:rFonts w:hint="default" w:ascii="Times New Roman" w:hAnsi="Times New Roman" w:cs="Times New Roman" w:eastAsiaTheme="minorEastAsia"/>
                      <w:b w:val="0"/>
                      <w:bCs w:val="0"/>
                      <w:color w:val="000000" w:themeColor="text1"/>
                      <w:sz w:val="18"/>
                      <w:szCs w:val="18"/>
                      <w:highlight w:val="none"/>
                      <w:lang w:val="zh-CN"/>
                      <w14:textFill>
                        <w14:solidFill>
                          <w14:schemeClr w14:val="tx1"/>
                        </w14:solidFill>
                      </w14:textFill>
                    </w:rPr>
                    <w:br w:type="textWrapping"/>
                  </w:r>
                  <w:r>
                    <w:rPr>
                      <w:rFonts w:hint="default" w:ascii="Times New Roman" w:hAnsi="Times New Roman" w:cs="Times New Roman" w:eastAsiaTheme="minorEastAsia"/>
                      <w:b w:val="0"/>
                      <w:bCs w:val="0"/>
                      <w:color w:val="000000" w:themeColor="text1"/>
                      <w:sz w:val="18"/>
                      <w:szCs w:val="18"/>
                      <w:highlight w:val="none"/>
                      <w:lang w:val="zh-CN"/>
                      <w14:textFill>
                        <w14:solidFill>
                          <w14:schemeClr w14:val="tx1"/>
                        </w14:solidFill>
                      </w14:textFill>
                    </w:rPr>
                    <w:t>燃烧爆炸性：极易燃；蒸气能与空气形成爆炸性混合物；当液化天然气由液体蒸发为冷的气体时，其密度与常温下的天然气不同，约比空气重1.5倍，其气体不会立即上升，而是沿着液面或地面扩散，吸收水与地面的热量以及大气与太阳的辐射热，形成白色云团。由雾可察觉冷气的扩散情况，但在可见雾的范围之外，仍有易燃混合物存在。如易燃混合物扩散到火源，就会立即闪回燃着。当冷气温热至-112℃左右，就变得比空气轻，开始向上升。液化天然气遇水生成白色冰块，冰块只能在低温下保存，温度升高即迅速蒸发，如急剧扰动能猛烈爆喷。</w:t>
                  </w:r>
                  <w:r>
                    <w:rPr>
                      <w:rFonts w:hint="default" w:ascii="Times New Roman" w:hAnsi="Times New Roman" w:cs="Times New Roman" w:eastAsiaTheme="minorEastAsia"/>
                      <w:b w:val="0"/>
                      <w:bCs w:val="0"/>
                      <w:color w:val="000000" w:themeColor="text1"/>
                      <w:sz w:val="18"/>
                      <w:szCs w:val="18"/>
                      <w:highlight w:val="none"/>
                      <w:lang w:val="zh-CN"/>
                      <w14:textFill>
                        <w14:solidFill>
                          <w14:schemeClr w14:val="tx1"/>
                        </w14:solidFill>
                      </w14:textFill>
                    </w:rPr>
                    <w:br w:type="textWrapping"/>
                  </w:r>
                  <w:r>
                    <w:rPr>
                      <w:rFonts w:hint="default" w:ascii="Times New Roman" w:hAnsi="Times New Roman" w:cs="Times New Roman" w:eastAsiaTheme="minorEastAsia"/>
                      <w:b w:val="0"/>
                      <w:bCs w:val="0"/>
                      <w:color w:val="000000" w:themeColor="text1"/>
                      <w:sz w:val="18"/>
                      <w:szCs w:val="18"/>
                      <w:highlight w:val="none"/>
                      <w:lang w:val="zh-CN"/>
                      <w14:textFill>
                        <w14:solidFill>
                          <w14:schemeClr w14:val="tx1"/>
                        </w14:solidFill>
                      </w14:textFill>
                    </w:rPr>
                    <w:t>毒性毒理：对人基本无毒，但气化后浓度过高时，使空气中氧含量明显降低，使人窒息。</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5" w:type="pct"/>
                  <w:tcBorders>
                    <w:tl2br w:val="nil"/>
                    <w:tr2bl w:val="nil"/>
                  </w:tcBorders>
                  <w:vAlign w:val="center"/>
                </w:tcPr>
                <w:p>
                  <w:pPr>
                    <w:pStyle w:val="4"/>
                    <w:keepNext/>
                    <w:keepLines/>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t>3</w:t>
                  </w:r>
                </w:p>
              </w:tc>
              <w:tc>
                <w:tcPr>
                  <w:tcW w:w="72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氨水（25%）</w:t>
                  </w:r>
                </w:p>
              </w:tc>
              <w:tc>
                <w:tcPr>
                  <w:tcW w:w="391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both"/>
                    <w:textAlignment w:val="auto"/>
                    <w:rPr>
                      <w:rFonts w:hint="default" w:ascii="Times New Roman" w:hAnsi="Times New Roman" w:cs="Times New Roman" w:eastAsiaTheme="minorEastAsia"/>
                      <w:b w:val="0"/>
                      <w:bCs w:val="0"/>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t>分子式</w:t>
                  </w:r>
                  <w:r>
                    <w:rPr>
                      <w:rFonts w:hint="default" w:ascii="Times New Roman" w:hAnsi="Times New Roman" w:cs="Times New Roman" w:eastAsiaTheme="minorEastAsia"/>
                      <w:b w:val="0"/>
                      <w:bCs w:val="0"/>
                      <w:color w:val="000000" w:themeColor="text1"/>
                      <w:sz w:val="18"/>
                      <w:szCs w:val="18"/>
                      <w:highlight w:val="none"/>
                      <w:vertAlign w:val="baseline"/>
                      <w:lang w:val="en-US" w:eastAsia="zh-CN"/>
                      <w14:textFill>
                        <w14:solidFill>
                          <w14:schemeClr w14:val="tx1"/>
                        </w14:solidFill>
                      </w14:textFill>
                    </w:rPr>
                    <w:t>NH</w:t>
                  </w:r>
                  <w:r>
                    <w:rPr>
                      <w:rFonts w:hint="default" w:ascii="Times New Roman" w:hAnsi="Times New Roman" w:cs="Times New Roman" w:eastAsiaTheme="minorEastAsia"/>
                      <w:b w:val="0"/>
                      <w:bCs w:val="0"/>
                      <w:color w:val="000000" w:themeColor="text1"/>
                      <w:sz w:val="18"/>
                      <w:szCs w:val="18"/>
                      <w:highlight w:val="none"/>
                      <w:vertAlign w:val="subscript"/>
                      <w:lang w:val="en-US" w:eastAsia="zh-CN"/>
                      <w14:textFill>
                        <w14:solidFill>
                          <w14:schemeClr w14:val="tx1"/>
                        </w14:solidFill>
                      </w14:textFill>
                    </w:rPr>
                    <w:t>4</w:t>
                  </w:r>
                  <w:r>
                    <w:rPr>
                      <w:rFonts w:hint="default" w:ascii="Times New Roman" w:hAnsi="Times New Roman" w:cs="Times New Roman" w:eastAsiaTheme="minorEastAsia"/>
                      <w:b w:val="0"/>
                      <w:bCs w:val="0"/>
                      <w:color w:val="000000" w:themeColor="text1"/>
                      <w:sz w:val="18"/>
                      <w:szCs w:val="18"/>
                      <w:highlight w:val="none"/>
                      <w:vertAlign w:val="baseline"/>
                      <w:lang w:val="en-US" w:eastAsia="zh-CN"/>
                      <w14:textFill>
                        <w14:solidFill>
                          <w14:schemeClr w14:val="tx1"/>
                        </w14:solidFill>
                      </w14:textFill>
                    </w:rPr>
                    <w:t>OH</w:t>
                  </w:r>
                  <w:r>
                    <w:rPr>
                      <w:rFonts w:hint="default"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t>，分子量</w:t>
                  </w:r>
                  <w:r>
                    <w:rPr>
                      <w:rFonts w:hint="default" w:ascii="Times New Roman" w:hAnsi="Times New Roman" w:cs="Times New Roman" w:eastAsiaTheme="minorEastAsia"/>
                      <w:b w:val="0"/>
                      <w:bCs w:val="0"/>
                      <w:color w:val="000000" w:themeColor="text1"/>
                      <w:sz w:val="18"/>
                      <w:szCs w:val="18"/>
                      <w:highlight w:val="none"/>
                      <w:vertAlign w:val="baseline"/>
                      <w:lang w:val="en-US" w:eastAsia="zh-CN"/>
                      <w14:textFill>
                        <w14:solidFill>
                          <w14:schemeClr w14:val="tx1"/>
                        </w14:solidFill>
                      </w14:textFill>
                    </w:rPr>
                    <w:t>35.05</w:t>
                  </w:r>
                  <w:r>
                    <w:rPr>
                      <w:rFonts w:hint="default"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t>，含氨25%～28%的水溶液，相对密度（水</w:t>
                  </w:r>
                  <w:r>
                    <w:rPr>
                      <w:rFonts w:hint="default" w:ascii="Times New Roman" w:hAnsi="Times New Roman" w:cs="Times New Roman" w:eastAsiaTheme="minorEastAsia"/>
                      <w:b w:val="0"/>
                      <w:bCs w:val="0"/>
                      <w:color w:val="000000" w:themeColor="text1"/>
                      <w:sz w:val="18"/>
                      <w:szCs w:val="18"/>
                      <w:highlight w:val="none"/>
                      <w:vertAlign w:val="baseline"/>
                      <w:lang w:val="en-US" w:eastAsia="zh-CN"/>
                      <w14:textFill>
                        <w14:solidFill>
                          <w14:schemeClr w14:val="tx1"/>
                        </w14:solidFill>
                      </w14:textFill>
                    </w:rPr>
                    <w:t>=1</w:t>
                  </w:r>
                  <w:r>
                    <w:rPr>
                      <w:rFonts w:hint="default"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t>）：</w:t>
                  </w:r>
                  <w:r>
                    <w:rPr>
                      <w:rFonts w:hint="default" w:ascii="Times New Roman" w:hAnsi="Times New Roman" w:cs="Times New Roman" w:eastAsiaTheme="minorEastAsia"/>
                      <w:b w:val="0"/>
                      <w:bCs w:val="0"/>
                      <w:color w:val="000000" w:themeColor="text1"/>
                      <w:sz w:val="18"/>
                      <w:szCs w:val="18"/>
                      <w:highlight w:val="none"/>
                      <w:vertAlign w:val="baseline"/>
                      <w:lang w:val="en-US" w:eastAsia="zh-CN"/>
                      <w14:textFill>
                        <w14:solidFill>
                          <w14:schemeClr w14:val="tx1"/>
                        </w14:solidFill>
                      </w14:textFill>
                    </w:rPr>
                    <w:t>0.91</w:t>
                  </w:r>
                  <w:r>
                    <w:rPr>
                      <w:rFonts w:hint="default"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t>，饱和蒸气压</w:t>
                  </w:r>
                  <w:r>
                    <w:rPr>
                      <w:rFonts w:hint="default" w:ascii="Times New Roman" w:hAnsi="Times New Roman" w:cs="Times New Roman" w:eastAsiaTheme="minorEastAsia"/>
                      <w:b w:val="0"/>
                      <w:bCs w:val="0"/>
                      <w:color w:val="000000" w:themeColor="text1"/>
                      <w:sz w:val="18"/>
                      <w:szCs w:val="18"/>
                      <w:highlight w:val="none"/>
                      <w:vertAlign w:val="baseline"/>
                      <w:lang w:val="en-US" w:eastAsia="zh-CN"/>
                      <w14:textFill>
                        <w14:solidFill>
                          <w14:schemeClr w14:val="tx1"/>
                        </w14:solidFill>
                      </w14:textFill>
                    </w:rPr>
                    <w:t>1.59/20</w:t>
                  </w:r>
                  <w:r>
                    <w:rPr>
                      <w:rFonts w:hint="default" w:ascii="Times New Roman" w:hAnsi="Times New Roman" w:eastAsia="宋体" w:cs="Times New Roman"/>
                      <w:b w:val="0"/>
                      <w:bCs w:val="0"/>
                      <w:color w:val="000000" w:themeColor="text1"/>
                      <w:sz w:val="18"/>
                      <w:szCs w:val="18"/>
                      <w:highlight w:val="none"/>
                      <w:vertAlign w:val="baseline"/>
                      <w:lang w:val="en-US" w:eastAsia="zh-CN"/>
                      <w14:textFill>
                        <w14:solidFill>
                          <w14:schemeClr w14:val="tx1"/>
                        </w14:solidFill>
                      </w14:textFill>
                    </w:rPr>
                    <w:t>℃</w:t>
                  </w:r>
                  <w:r>
                    <w:rPr>
                      <w:rFonts w:hint="default"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t>，无色透明液体，有强烈刺鼻气味，具弱碱性。氨水中，氨气分子发生微弱水解生成氢氧根离子及铵根离子，爆炸上限（</w:t>
                  </w:r>
                  <w:r>
                    <w:rPr>
                      <w:rFonts w:hint="default" w:ascii="Times New Roman" w:hAnsi="Times New Roman" w:cs="Times New Roman" w:eastAsiaTheme="minorEastAsia"/>
                      <w:b w:val="0"/>
                      <w:bCs w:val="0"/>
                      <w:color w:val="000000" w:themeColor="text1"/>
                      <w:sz w:val="18"/>
                      <w:szCs w:val="18"/>
                      <w:highlight w:val="none"/>
                      <w:vertAlign w:val="baseline"/>
                      <w:lang w:val="en-US" w:eastAsia="zh-CN"/>
                      <w14:textFill>
                        <w14:solidFill>
                          <w14:schemeClr w14:val="tx1"/>
                        </w14:solidFill>
                      </w14:textFill>
                    </w:rPr>
                    <w:t>v%</w:t>
                  </w:r>
                  <w:r>
                    <w:rPr>
                      <w:rFonts w:hint="default"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t>）</w:t>
                  </w:r>
                  <w:r>
                    <w:rPr>
                      <w:rFonts w:hint="default" w:ascii="Times New Roman" w:hAnsi="Times New Roman" w:cs="Times New Roman" w:eastAsiaTheme="minorEastAsia"/>
                      <w:b w:val="0"/>
                      <w:bCs w:val="0"/>
                      <w:color w:val="000000" w:themeColor="text1"/>
                      <w:sz w:val="18"/>
                      <w:szCs w:val="18"/>
                      <w:highlight w:val="none"/>
                      <w:vertAlign w:val="baseline"/>
                      <w:lang w:val="en-US" w:eastAsia="zh-CN"/>
                      <w14:textFill>
                        <w14:solidFill>
                          <w14:schemeClr w14:val="tx1"/>
                        </w14:solidFill>
                      </w14:textFill>
                    </w:rPr>
                    <w:t>25%，爆炸下限</w:t>
                  </w:r>
                  <w:r>
                    <w:rPr>
                      <w:rFonts w:hint="default"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t>（</w:t>
                  </w:r>
                  <w:r>
                    <w:rPr>
                      <w:rFonts w:hint="default" w:ascii="Times New Roman" w:hAnsi="Times New Roman" w:cs="Times New Roman" w:eastAsiaTheme="minorEastAsia"/>
                      <w:b w:val="0"/>
                      <w:bCs w:val="0"/>
                      <w:color w:val="000000" w:themeColor="text1"/>
                      <w:sz w:val="18"/>
                      <w:szCs w:val="18"/>
                      <w:highlight w:val="none"/>
                      <w:vertAlign w:val="baseline"/>
                      <w:lang w:val="en-US" w:eastAsia="zh-CN"/>
                      <w14:textFill>
                        <w14:solidFill>
                          <w14:schemeClr w14:val="tx1"/>
                        </w14:solidFill>
                      </w14:textFill>
                    </w:rPr>
                    <w:t>v%</w:t>
                  </w:r>
                  <w:r>
                    <w:rPr>
                      <w:rFonts w:hint="default"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t>）</w:t>
                  </w:r>
                  <w:r>
                    <w:rPr>
                      <w:rFonts w:hint="default" w:ascii="Times New Roman" w:hAnsi="Times New Roman" w:cs="Times New Roman" w:eastAsiaTheme="minorEastAsia"/>
                      <w:b w:val="0"/>
                      <w:bCs w:val="0"/>
                      <w:color w:val="000000" w:themeColor="text1"/>
                      <w:sz w:val="18"/>
                      <w:szCs w:val="18"/>
                      <w:highlight w:val="none"/>
                      <w:vertAlign w:val="baseline"/>
                      <w:lang w:val="en-US" w:eastAsia="zh-CN"/>
                      <w14:textFill>
                        <w14:solidFill>
                          <w14:schemeClr w14:val="tx1"/>
                        </w14:solidFill>
                      </w14:textFill>
                    </w:rPr>
                    <w:t>16%，易分解放出氨气，温度越高，分解速度越快。</w:t>
                  </w:r>
                  <w:r>
                    <w:rPr>
                      <w:rFonts w:hint="default"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br w:type="textWrapping"/>
                  </w:r>
                  <w:r>
                    <w:rPr>
                      <w:rFonts w:hint="default"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t>毒性毒理：</w:t>
                  </w:r>
                  <w:r>
                    <w:rPr>
                      <w:rFonts w:hint="default" w:ascii="Times New Roman" w:hAnsi="Times New Roman" w:cs="Times New Roman" w:eastAsiaTheme="minorEastAsia"/>
                      <w:b w:val="0"/>
                      <w:bCs w:val="0"/>
                      <w:color w:val="000000" w:themeColor="text1"/>
                      <w:sz w:val="18"/>
                      <w:szCs w:val="18"/>
                      <w:highlight w:val="none"/>
                      <w:vertAlign w:val="baseline"/>
                      <w:lang w:val="en-US" w:eastAsia="zh-CN"/>
                      <w14:textFill>
                        <w14:solidFill>
                          <w14:schemeClr w14:val="tx1"/>
                        </w14:solidFill>
                      </w14:textFill>
                    </w:rPr>
                    <w:t>LD</w:t>
                  </w:r>
                  <w:r>
                    <w:rPr>
                      <w:rFonts w:hint="default" w:ascii="Times New Roman" w:hAnsi="Times New Roman" w:cs="Times New Roman" w:eastAsiaTheme="minorEastAsia"/>
                      <w:b w:val="0"/>
                      <w:bCs w:val="0"/>
                      <w:color w:val="000000" w:themeColor="text1"/>
                      <w:sz w:val="18"/>
                      <w:szCs w:val="18"/>
                      <w:highlight w:val="none"/>
                      <w:vertAlign w:val="subscript"/>
                      <w:lang w:val="en-US" w:eastAsia="zh-CN"/>
                      <w14:textFill>
                        <w14:solidFill>
                          <w14:schemeClr w14:val="tx1"/>
                        </w14:solidFill>
                      </w14:textFill>
                    </w:rPr>
                    <w:t>50</w:t>
                  </w:r>
                  <w:r>
                    <w:rPr>
                      <w:rFonts w:hint="default" w:ascii="Times New Roman" w:hAnsi="Times New Roman" w:cs="Times New Roman" w:eastAsiaTheme="minorEastAsia"/>
                      <w:b w:val="0"/>
                      <w:bCs w:val="0"/>
                      <w:color w:val="000000" w:themeColor="text1"/>
                      <w:sz w:val="18"/>
                      <w:szCs w:val="18"/>
                      <w:highlight w:val="none"/>
                      <w:vertAlign w:val="baseline"/>
                      <w:lang w:val="en-US" w:eastAsia="zh-CN"/>
                      <w14:textFill>
                        <w14:solidFill>
                          <w14:schemeClr w14:val="tx1"/>
                        </w14:solidFill>
                      </w14:textFill>
                    </w:rPr>
                    <w:t>:350mg/kg（大鼠经口）</w:t>
                  </w:r>
                  <w:r>
                    <w:rPr>
                      <w:rFonts w:hint="eastAsia" w:cs="Times New Roman" w:eastAsiaTheme="minorEastAsia"/>
                      <w:b w:val="0"/>
                      <w:bCs w:val="0"/>
                      <w:color w:val="000000" w:themeColor="text1"/>
                      <w:sz w:val="18"/>
                      <w:szCs w:val="18"/>
                      <w:highlight w:val="none"/>
                      <w:vertAlign w:val="baseline"/>
                      <w:lang w:val="en-US" w:eastAsia="zh-CN"/>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5" w:type="pct"/>
                  <w:tcBorders>
                    <w:tl2br w:val="nil"/>
                    <w:tr2bl w:val="nil"/>
                  </w:tcBorders>
                  <w:vAlign w:val="center"/>
                </w:tcPr>
                <w:p>
                  <w:pPr>
                    <w:pStyle w:val="4"/>
                    <w:keepNext/>
                    <w:keepLines/>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t>4</w:t>
                  </w:r>
                </w:p>
              </w:tc>
              <w:tc>
                <w:tcPr>
                  <w:tcW w:w="72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r>
                    <w:rPr>
                      <w:rFonts w:hint="eastAsia" w:cs="Times New Roman"/>
                      <w:color w:val="000000" w:themeColor="text1"/>
                      <w:sz w:val="18"/>
                      <w:szCs w:val="18"/>
                      <w:highlight w:val="none"/>
                      <w:vertAlign w:val="baseline"/>
                      <w:lang w:val="en-US" w:eastAsia="zh-CN"/>
                      <w14:textFill>
                        <w14:solidFill>
                          <w14:schemeClr w14:val="tx1"/>
                        </w14:solidFill>
                      </w14:textFill>
                    </w:rPr>
                    <w:t>酸洗钝化膏</w:t>
                  </w:r>
                </w:p>
              </w:tc>
              <w:tc>
                <w:tcPr>
                  <w:tcW w:w="391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both"/>
                    <w:textAlignment w:val="auto"/>
                    <w:rPr>
                      <w:rFonts w:hint="default" w:ascii="Times New Roman" w:hAnsi="Times New Roman" w:cs="Times New Roman" w:eastAsiaTheme="minorEastAsia"/>
                      <w:b w:val="0"/>
                      <w:bCs w:val="0"/>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t>白色透明膏状物，主要成分为硝酸（68%）含量 27.5%、氢氟酸（40%）含量 10.75%、增稠剂（海藻酸）含量 40%、纯水含量 21.75%。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5" w:type="pct"/>
                  <w:tcBorders>
                    <w:tl2br w:val="nil"/>
                    <w:tr2bl w:val="nil"/>
                  </w:tcBorders>
                  <w:vAlign w:val="center"/>
                </w:tcPr>
                <w:p>
                  <w:pPr>
                    <w:pStyle w:val="4"/>
                    <w:keepNext/>
                    <w:keepLines/>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t>5</w:t>
                  </w:r>
                </w:p>
              </w:tc>
              <w:tc>
                <w:tcPr>
                  <w:tcW w:w="72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eastAsia" w:cs="Times New Roman"/>
                      <w:color w:val="000000" w:themeColor="text1"/>
                      <w:sz w:val="18"/>
                      <w:szCs w:val="18"/>
                      <w:highlight w:val="none"/>
                      <w:vertAlign w:val="baseline"/>
                      <w:lang w:val="en-US" w:eastAsia="zh-CN"/>
                      <w14:textFill>
                        <w14:solidFill>
                          <w14:schemeClr w14:val="tx1"/>
                        </w14:solidFill>
                      </w14:textFill>
                    </w:rPr>
                  </w:pPr>
                  <w:r>
                    <w:rPr>
                      <w:rFonts w:hint="eastAsia" w:cs="Times New Roman"/>
                      <w:color w:val="000000" w:themeColor="text1"/>
                      <w:sz w:val="18"/>
                      <w:szCs w:val="18"/>
                      <w:highlight w:val="none"/>
                      <w:vertAlign w:val="baseline"/>
                      <w:lang w:val="en-US" w:eastAsia="zh-CN"/>
                      <w14:textFill>
                        <w14:solidFill>
                          <w14:schemeClr w14:val="tx1"/>
                        </w14:solidFill>
                      </w14:textFill>
                    </w:rPr>
                    <w:t>二氧化碳</w:t>
                  </w:r>
                </w:p>
              </w:tc>
              <w:tc>
                <w:tcPr>
                  <w:tcW w:w="391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both"/>
                    <w:textAlignment w:val="auto"/>
                    <w:rPr>
                      <w:rFonts w:hint="default"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t>二氧化碳（carbon dioxide），一种碳氧化合物，化学式为CO</w:t>
                  </w:r>
                  <w:r>
                    <w:rPr>
                      <w:rFonts w:hint="default" w:ascii="Times New Roman" w:hAnsi="Times New Roman" w:cs="Times New Roman" w:eastAsiaTheme="minorEastAsia"/>
                      <w:b w:val="0"/>
                      <w:bCs w:val="0"/>
                      <w:color w:val="000000" w:themeColor="text1"/>
                      <w:sz w:val="18"/>
                      <w:szCs w:val="18"/>
                      <w:highlight w:val="none"/>
                      <w:vertAlign w:val="subscript"/>
                      <w:lang w:val="zh-CN"/>
                      <w14:textFill>
                        <w14:solidFill>
                          <w14:schemeClr w14:val="tx1"/>
                        </w14:solidFill>
                      </w14:textFill>
                    </w:rPr>
                    <w:t>2</w:t>
                  </w:r>
                  <w:r>
                    <w:rPr>
                      <w:rFonts w:hint="default"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t>，化学式量为44.0095，常温常压下是一种无色无味或无色无臭而其水溶液略有酸味的气体，也是一种常见的温室气体</w:t>
                  </w:r>
                  <w:r>
                    <w:rPr>
                      <w:rFonts w:hint="eastAsia" w:cs="Times New Roman" w:eastAsiaTheme="minorEastAsia"/>
                      <w:b w:val="0"/>
                      <w:bCs w:val="0"/>
                      <w:color w:val="000000" w:themeColor="text1"/>
                      <w:sz w:val="18"/>
                      <w:szCs w:val="18"/>
                      <w:highlight w:val="none"/>
                      <w:vertAlign w:val="baseline"/>
                      <w:lang w:val="zh-CN"/>
                      <w14:textFill>
                        <w14:solidFill>
                          <w14:schemeClr w14:val="tx1"/>
                        </w14:solidFill>
                      </w14:textFill>
                    </w:rPr>
                    <w:t>。二氧化碳的熔点为-56.6℃（527kPa），沸点为-78.5℃，密度比空气密度大（标准条件下），溶于水。二氧化碳的化学性质不活泼，热稳定性很高（2000℃时仅有1.8%分解），不能燃烧，通常也不支持燃烧，属于酸性氧化物，具有酸性氧化物的通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5" w:type="pct"/>
                  <w:tcBorders>
                    <w:tl2br w:val="nil"/>
                    <w:tr2bl w:val="nil"/>
                  </w:tcBorders>
                  <w:vAlign w:val="center"/>
                </w:tcPr>
                <w:p>
                  <w:pPr>
                    <w:pStyle w:val="4"/>
                    <w:keepNext/>
                    <w:keepLines/>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t>6</w:t>
                  </w:r>
                </w:p>
              </w:tc>
              <w:tc>
                <w:tcPr>
                  <w:tcW w:w="72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eastAsia" w:cs="Times New Roman"/>
                      <w:color w:val="000000" w:themeColor="text1"/>
                      <w:sz w:val="18"/>
                      <w:szCs w:val="18"/>
                      <w:highlight w:val="none"/>
                      <w:vertAlign w:val="baseline"/>
                      <w:lang w:val="en-US" w:eastAsia="zh-CN"/>
                      <w14:textFill>
                        <w14:solidFill>
                          <w14:schemeClr w14:val="tx1"/>
                        </w14:solidFill>
                      </w14:textFill>
                    </w:rPr>
                  </w:pPr>
                  <w:r>
                    <w:rPr>
                      <w:rFonts w:hint="eastAsia" w:cs="Times New Roman"/>
                      <w:color w:val="000000" w:themeColor="text1"/>
                      <w:sz w:val="18"/>
                      <w:szCs w:val="18"/>
                      <w:highlight w:val="none"/>
                      <w:vertAlign w:val="baseline"/>
                      <w:lang w:val="en-US" w:eastAsia="zh-CN"/>
                      <w14:textFill>
                        <w14:solidFill>
                          <w14:schemeClr w14:val="tx1"/>
                        </w14:solidFill>
                      </w14:textFill>
                    </w:rPr>
                    <w:t>氧气</w:t>
                  </w:r>
                </w:p>
              </w:tc>
              <w:tc>
                <w:tcPr>
                  <w:tcW w:w="391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both"/>
                    <w:textAlignment w:val="auto"/>
                    <w:rPr>
                      <w:rFonts w:hint="default"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t>氧气（oxygen）是氧元素形成的一种单质，化学式O</w:t>
                  </w:r>
                  <w:r>
                    <w:rPr>
                      <w:rFonts w:hint="default" w:ascii="Times New Roman" w:hAnsi="Times New Roman" w:cs="Times New Roman" w:eastAsiaTheme="minorEastAsia"/>
                      <w:b w:val="0"/>
                      <w:bCs w:val="0"/>
                      <w:color w:val="000000" w:themeColor="text1"/>
                      <w:sz w:val="18"/>
                      <w:szCs w:val="18"/>
                      <w:highlight w:val="none"/>
                      <w:vertAlign w:val="subscript"/>
                      <w:lang w:val="zh-CN"/>
                      <w14:textFill>
                        <w14:solidFill>
                          <w14:schemeClr w14:val="tx1"/>
                        </w14:solidFill>
                      </w14:textFill>
                    </w:rPr>
                    <w:t>2</w:t>
                  </w:r>
                  <w:r>
                    <w:rPr>
                      <w:rFonts w:hint="default"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t>，无色无味气体，是氧元素最常见的单质形态。熔点-218.4℃，沸点-183℃。不易溶于水，1L水中溶解约30mL氧气。在空气中氧气约占21%。液氧为天蓝色。固氧为蓝色晶体。</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5" w:type="pct"/>
                  <w:tcBorders>
                    <w:tl2br w:val="nil"/>
                    <w:tr2bl w:val="nil"/>
                  </w:tcBorders>
                  <w:vAlign w:val="center"/>
                </w:tcPr>
                <w:p>
                  <w:pPr>
                    <w:pStyle w:val="4"/>
                    <w:keepNext/>
                    <w:keepLines/>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t>7</w:t>
                  </w:r>
                </w:p>
              </w:tc>
              <w:tc>
                <w:tcPr>
                  <w:tcW w:w="729"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eastAsia" w:cs="Times New Roman"/>
                      <w:color w:val="000000" w:themeColor="text1"/>
                      <w:sz w:val="18"/>
                      <w:szCs w:val="18"/>
                      <w:highlight w:val="none"/>
                      <w:vertAlign w:val="baseline"/>
                      <w:lang w:val="en-US" w:eastAsia="zh-CN"/>
                      <w14:textFill>
                        <w14:solidFill>
                          <w14:schemeClr w14:val="tx1"/>
                        </w14:solidFill>
                      </w14:textFill>
                    </w:rPr>
                  </w:pPr>
                  <w:r>
                    <w:rPr>
                      <w:rFonts w:hint="eastAsia" w:cs="Times New Roman"/>
                      <w:color w:val="000000" w:themeColor="text1"/>
                      <w:sz w:val="18"/>
                      <w:szCs w:val="18"/>
                      <w:highlight w:val="none"/>
                      <w:vertAlign w:val="baseline"/>
                      <w:lang w:val="en-US" w:eastAsia="zh-CN"/>
                      <w14:textFill>
                        <w14:solidFill>
                          <w14:schemeClr w14:val="tx1"/>
                        </w14:solidFill>
                      </w14:textFill>
                    </w:rPr>
                    <w:t>片碱</w:t>
                  </w:r>
                </w:p>
              </w:tc>
              <w:tc>
                <w:tcPr>
                  <w:tcW w:w="3915"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both"/>
                    <w:textAlignment w:val="auto"/>
                    <w:rPr>
                      <w:rFonts w:hint="eastAsia" w:ascii="Times New Roman" w:hAnsi="Times New Roman" w:eastAsia="宋体" w:cs="Times New Roman"/>
                      <w:b w:val="0"/>
                      <w:bCs w:val="0"/>
                      <w:color w:val="000000" w:themeColor="text1"/>
                      <w:sz w:val="18"/>
                      <w:szCs w:val="18"/>
                      <w:highlight w:val="none"/>
                      <w:vertAlign w:val="baseline"/>
                      <w:lang w:val="zh-CN"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t>氢氧化钠（Sodium hydroxide），也称苛性钠、烧碱、火碱，是一种无机化合物，化学式NaOH，氢氧化钠具有强碱性，腐蚀性极强，可作酸中和剂、配合掩蔽剂、沉淀剂、沉淀掩蔽剂、显色剂、皂化剂、去皮剂、洗涤剂等</w:t>
                  </w:r>
                  <w:r>
                    <w:rPr>
                      <w:rFonts w:hint="eastAsia" w:cs="Times New Roman" w:eastAsiaTheme="minorEastAsia"/>
                      <w:b w:val="0"/>
                      <w:bCs w:val="0"/>
                      <w:color w:val="000000" w:themeColor="text1"/>
                      <w:sz w:val="18"/>
                      <w:szCs w:val="18"/>
                      <w:highlight w:val="none"/>
                      <w:vertAlign w:val="baseline"/>
                      <w:lang w:val="zh-CN"/>
                      <w14:textFill>
                        <w14:solidFill>
                          <w14:schemeClr w14:val="tx1"/>
                        </w14:solidFill>
                      </w14:textFill>
                    </w:rPr>
                    <w:t>。外观：白色结晶性粉末；密度：2.13g/c</w:t>
                  </w:r>
                  <w:r>
                    <w:rPr>
                      <w:rFonts w:hint="eastAsia"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t>m</w:t>
                  </w:r>
                  <w:r>
                    <w:rPr>
                      <w:rFonts w:hint="eastAsia" w:ascii="Times New Roman" w:hAnsi="Times New Roman" w:cs="Times New Roman" w:eastAsiaTheme="minorEastAsia"/>
                      <w:b w:val="0"/>
                      <w:bCs w:val="0"/>
                      <w:color w:val="000000" w:themeColor="text1"/>
                      <w:sz w:val="18"/>
                      <w:szCs w:val="18"/>
                      <w:highlight w:val="none"/>
                      <w:vertAlign w:val="superscript"/>
                      <w:lang w:val="zh-CN"/>
                      <w14:textFill>
                        <w14:solidFill>
                          <w14:schemeClr w14:val="tx1"/>
                        </w14:solidFill>
                      </w14:textFill>
                    </w:rPr>
                    <w:t>3</w:t>
                  </w:r>
                  <w:r>
                    <w:rPr>
                      <w:rFonts w:hint="eastAsia"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t>，</w:t>
                  </w:r>
                  <w:r>
                    <w:rPr>
                      <w:rFonts w:hint="default"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t>熔点：318℃</w:t>
                  </w:r>
                  <w:r>
                    <w:rPr>
                      <w:rFonts w:hint="eastAsia" w:ascii="Times New Roman" w:hAnsi="Times New Roman" w:cs="Times New Roman" w:eastAsiaTheme="minorEastAsia"/>
                      <w:b w:val="0"/>
                      <w:bCs w:val="0"/>
                      <w:color w:val="000000" w:themeColor="text1"/>
                      <w:sz w:val="18"/>
                      <w:szCs w:val="18"/>
                      <w:highlight w:val="none"/>
                      <w:vertAlign w:val="baseline"/>
                      <w:lang w:val="zh-CN" w:eastAsia="zh-CN"/>
                      <w14:textFill>
                        <w14:solidFill>
                          <w14:schemeClr w14:val="tx1"/>
                        </w14:solidFill>
                      </w14:textFill>
                    </w:rPr>
                    <w:t>，</w:t>
                  </w:r>
                  <w:r>
                    <w:rPr>
                      <w:rFonts w:hint="default" w:ascii="Times New Roman" w:hAnsi="Times New Roman" w:cs="Times New Roman" w:eastAsiaTheme="minorEastAsia"/>
                      <w:b w:val="0"/>
                      <w:bCs w:val="0"/>
                      <w:color w:val="000000" w:themeColor="text1"/>
                      <w:sz w:val="18"/>
                      <w:szCs w:val="18"/>
                      <w:highlight w:val="none"/>
                      <w:vertAlign w:val="baseline"/>
                      <w:lang w:val="zh-CN"/>
                      <w14:textFill>
                        <w14:solidFill>
                          <w14:schemeClr w14:val="tx1"/>
                        </w14:solidFill>
                      </w14:textFill>
                    </w:rPr>
                    <w:t>沸点：1388℃</w:t>
                  </w:r>
                  <w:r>
                    <w:rPr>
                      <w:rFonts w:hint="eastAsia" w:cs="Times New Roman" w:eastAsiaTheme="minorEastAsia"/>
                      <w:b w:val="0"/>
                      <w:bCs w:val="0"/>
                      <w:color w:val="000000" w:themeColor="text1"/>
                      <w:sz w:val="18"/>
                      <w:szCs w:val="18"/>
                      <w:highlight w:val="none"/>
                      <w:vertAlign w:val="baseline"/>
                      <w:lang w:val="zh-CN"/>
                      <w14:textFill>
                        <w14:solidFill>
                          <w14:schemeClr w14:val="tx1"/>
                        </w14:solidFill>
                      </w14:textFill>
                    </w:rPr>
                    <w:t>。</w:t>
                  </w:r>
                </w:p>
              </w:tc>
            </w:tr>
          </w:tbl>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textAlignment w:val="auto"/>
              <w:rPr>
                <w:rFonts w:hint="default" w:ascii="Times New Roman" w:hAnsi="Times New Roman" w:cs="Times New Roman"/>
                <w:b/>
                <w:color w:val="000000" w:themeColor="text1"/>
                <w:kern w:val="0"/>
                <w:szCs w:val="21"/>
                <w:highlight w:val="none"/>
                <w14:textFill>
                  <w14:solidFill>
                    <w14:schemeClr w14:val="tx1"/>
                  </w14:solidFill>
                </w14:textFill>
              </w:rPr>
            </w:pPr>
            <w:r>
              <w:rPr>
                <w:rFonts w:hint="default" w:ascii="Times New Roman" w:hAnsi="Times New Roman" w:cs="Times New Roman"/>
                <w:b/>
                <w:color w:val="000000" w:themeColor="text1"/>
                <w:kern w:val="0"/>
                <w:szCs w:val="21"/>
                <w:highlight w:val="none"/>
                <w:lang w:val="en-US" w:eastAsia="zh-CN"/>
                <w14:textFill>
                  <w14:solidFill>
                    <w14:schemeClr w14:val="tx1"/>
                  </w14:solidFill>
                </w14:textFill>
              </w:rPr>
              <w:t>5、</w:t>
            </w:r>
            <w:r>
              <w:rPr>
                <w:rFonts w:hint="default" w:ascii="Times New Roman" w:hAnsi="Times New Roman" w:cs="Times New Roman"/>
                <w:b/>
                <w:color w:val="000000" w:themeColor="text1"/>
                <w:kern w:val="0"/>
                <w:szCs w:val="21"/>
                <w:highlight w:val="none"/>
                <w14:textFill>
                  <w14:solidFill>
                    <w14:schemeClr w14:val="tx1"/>
                  </w14:solidFill>
                </w14:textFill>
              </w:rPr>
              <w:t>主要设备和装置</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bCs/>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kern w:val="0"/>
                <w:szCs w:val="21"/>
                <w:highlight w:val="none"/>
                <w:lang w:eastAsia="zh-CN"/>
                <w14:textFill>
                  <w14:solidFill>
                    <w14:schemeClr w14:val="tx1"/>
                  </w14:solidFill>
                </w14:textFill>
              </w:rPr>
              <w:t>本次扩建工程新增生产设备主要包括四柱式油压机、天然气加热炉、桥式起重机等，具体</w:t>
            </w:r>
            <w:r>
              <w:rPr>
                <w:rFonts w:hint="default" w:ascii="Times New Roman" w:hAnsi="Times New Roman" w:cs="Times New Roman"/>
                <w:bCs/>
                <w:color w:val="000000" w:themeColor="text1"/>
                <w:kern w:val="0"/>
                <w:szCs w:val="21"/>
                <w:highlight w:val="none"/>
                <w14:textFill>
                  <w14:solidFill>
                    <w14:schemeClr w14:val="tx1"/>
                  </w14:solidFill>
                </w14:textFill>
              </w:rPr>
              <w:t>设备情况见</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下表</w:t>
            </w:r>
            <w:r>
              <w:rPr>
                <w:rFonts w:hint="default" w:ascii="Times New Roman" w:hAnsi="Times New Roman" w:cs="Times New Roman"/>
                <w:bCs/>
                <w:color w:val="000000" w:themeColor="text1"/>
                <w:kern w:val="0"/>
                <w:szCs w:val="21"/>
                <w:highlight w:val="none"/>
                <w14:textFill>
                  <w14:solidFill>
                    <w14:schemeClr w14:val="tx1"/>
                  </w14:solidFill>
                </w14:textFill>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工程工艺设备一览表</w:t>
            </w:r>
          </w:p>
          <w:tbl>
            <w:tblPr>
              <w:tblStyle w:val="21"/>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02"/>
              <w:gridCol w:w="1814"/>
              <w:gridCol w:w="1670"/>
              <w:gridCol w:w="841"/>
              <w:gridCol w:w="841"/>
              <w:gridCol w:w="240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序号</w:t>
                  </w:r>
                </w:p>
              </w:tc>
              <w:tc>
                <w:tcPr>
                  <w:tcW w:w="1109"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设备名称</w:t>
                  </w:r>
                </w:p>
              </w:tc>
              <w:tc>
                <w:tcPr>
                  <w:tcW w:w="1021"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规格型号</w:t>
                  </w:r>
                </w:p>
              </w:tc>
              <w:tc>
                <w:tcPr>
                  <w:tcW w:w="514"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数量</w:t>
                  </w:r>
                </w:p>
              </w:tc>
              <w:tc>
                <w:tcPr>
                  <w:tcW w:w="514"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单位</w:t>
                  </w:r>
                </w:p>
              </w:tc>
              <w:tc>
                <w:tcPr>
                  <w:tcW w:w="1472"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w:t>
                  </w:r>
                </w:p>
              </w:tc>
              <w:tc>
                <w:tcPr>
                  <w:tcW w:w="1109"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四柱式油压机</w:t>
                  </w:r>
                </w:p>
              </w:tc>
              <w:tc>
                <w:tcPr>
                  <w:tcW w:w="1021"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30000T</w:t>
                  </w:r>
                </w:p>
              </w:tc>
              <w:tc>
                <w:tcPr>
                  <w:tcW w:w="514"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w:t>
                  </w:r>
                </w:p>
              </w:tc>
              <w:tc>
                <w:tcPr>
                  <w:tcW w:w="514"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台</w:t>
                  </w:r>
                </w:p>
              </w:tc>
              <w:tc>
                <w:tcPr>
                  <w:tcW w:w="1472"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热压封头压型设备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2</w:t>
                  </w:r>
                </w:p>
              </w:tc>
              <w:tc>
                <w:tcPr>
                  <w:tcW w:w="1109"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四柱式冷压机</w:t>
                  </w:r>
                </w:p>
              </w:tc>
              <w:tc>
                <w:tcPr>
                  <w:tcW w:w="1021"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4000T</w:t>
                  </w:r>
                </w:p>
              </w:tc>
              <w:tc>
                <w:tcPr>
                  <w:tcW w:w="514"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w:t>
                  </w:r>
                </w:p>
              </w:tc>
              <w:tc>
                <w:tcPr>
                  <w:tcW w:w="514"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台</w:t>
                  </w:r>
                </w:p>
              </w:tc>
              <w:tc>
                <w:tcPr>
                  <w:tcW w:w="1472"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冷压封头压型设备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vMerge w:val="restar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3</w:t>
                  </w:r>
                </w:p>
              </w:tc>
              <w:tc>
                <w:tcPr>
                  <w:tcW w:w="1109" w:type="pct"/>
                  <w:vMerge w:val="restar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天然气加热炉</w:t>
                  </w:r>
                </w:p>
              </w:tc>
              <w:tc>
                <w:tcPr>
                  <w:tcW w:w="1021"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10m×10m×2.5m</w:t>
                  </w:r>
                </w:p>
              </w:tc>
              <w:tc>
                <w:tcPr>
                  <w:tcW w:w="514"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w:t>
                  </w:r>
                </w:p>
              </w:tc>
              <w:tc>
                <w:tcPr>
                  <w:tcW w:w="514"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台</w:t>
                  </w:r>
                </w:p>
              </w:tc>
              <w:tc>
                <w:tcPr>
                  <w:tcW w:w="1472" w:type="pct"/>
                  <w:vMerge w:val="restar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加热设备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vMerge w:val="continue"/>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p>
              </w:tc>
              <w:tc>
                <w:tcPr>
                  <w:tcW w:w="1109"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zh-CN" w:eastAsia="en-US" w:bidi="ar-SA"/>
                      <w14:textFill>
                        <w14:solidFill>
                          <w14:schemeClr w14:val="tx1"/>
                        </w14:solidFill>
                      </w14:textFill>
                    </w:rPr>
                  </w:pPr>
                </w:p>
              </w:tc>
              <w:tc>
                <w:tcPr>
                  <w:tcW w:w="1021"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8.5m×8m×2.5m</w:t>
                  </w:r>
                </w:p>
              </w:tc>
              <w:tc>
                <w:tcPr>
                  <w:tcW w:w="514"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w:t>
                  </w:r>
                </w:p>
              </w:tc>
              <w:tc>
                <w:tcPr>
                  <w:tcW w:w="514"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台</w:t>
                  </w:r>
                </w:p>
              </w:tc>
              <w:tc>
                <w:tcPr>
                  <w:tcW w:w="1472" w:type="pct"/>
                  <w:vMerge w:val="continue"/>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4</w:t>
                  </w:r>
                </w:p>
              </w:tc>
              <w:tc>
                <w:tcPr>
                  <w:tcW w:w="1109"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桥式起重机</w:t>
                  </w:r>
                </w:p>
              </w:tc>
              <w:tc>
                <w:tcPr>
                  <w:tcW w:w="1021"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w:t>
                  </w:r>
                </w:p>
              </w:tc>
              <w:tc>
                <w:tcPr>
                  <w:tcW w:w="514"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32</w:t>
                  </w:r>
                </w:p>
              </w:tc>
              <w:tc>
                <w:tcPr>
                  <w:tcW w:w="514"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台</w:t>
                  </w:r>
                </w:p>
              </w:tc>
              <w:tc>
                <w:tcPr>
                  <w:tcW w:w="1472"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吊装运输设备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5</w:t>
                  </w:r>
                </w:p>
              </w:tc>
              <w:tc>
                <w:tcPr>
                  <w:tcW w:w="1109"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门桥式起重机</w:t>
                  </w:r>
                </w:p>
              </w:tc>
              <w:tc>
                <w:tcPr>
                  <w:tcW w:w="1021"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c>
                <w:tcPr>
                  <w:tcW w:w="514"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9</w:t>
                  </w:r>
                </w:p>
              </w:tc>
              <w:tc>
                <w:tcPr>
                  <w:tcW w:w="514"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台</w:t>
                  </w:r>
                </w:p>
              </w:tc>
              <w:tc>
                <w:tcPr>
                  <w:tcW w:w="1472"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吊装运输设备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6</w:t>
                  </w:r>
                </w:p>
              </w:tc>
              <w:tc>
                <w:tcPr>
                  <w:tcW w:w="1109"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二氧化碳保护焊机</w:t>
                  </w:r>
                </w:p>
              </w:tc>
              <w:tc>
                <w:tcPr>
                  <w:tcW w:w="1021"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w:t>
                  </w:r>
                </w:p>
              </w:tc>
              <w:tc>
                <w:tcPr>
                  <w:tcW w:w="514"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8</w:t>
                  </w:r>
                </w:p>
              </w:tc>
              <w:tc>
                <w:tcPr>
                  <w:tcW w:w="514"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台</w:t>
                  </w:r>
                </w:p>
              </w:tc>
              <w:tc>
                <w:tcPr>
                  <w:tcW w:w="1472"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焊接设备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7</w:t>
                  </w:r>
                </w:p>
              </w:tc>
              <w:tc>
                <w:tcPr>
                  <w:tcW w:w="1109"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埋弧焊机</w:t>
                  </w:r>
                </w:p>
              </w:tc>
              <w:tc>
                <w:tcPr>
                  <w:tcW w:w="1021"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w:t>
                  </w:r>
                </w:p>
              </w:tc>
              <w:tc>
                <w:tcPr>
                  <w:tcW w:w="514"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8</w:t>
                  </w:r>
                </w:p>
              </w:tc>
              <w:tc>
                <w:tcPr>
                  <w:tcW w:w="514"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台</w:t>
                  </w:r>
                </w:p>
              </w:tc>
              <w:tc>
                <w:tcPr>
                  <w:tcW w:w="1472"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焊接设备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noWrap/>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8</w:t>
                  </w:r>
                </w:p>
              </w:tc>
              <w:tc>
                <w:tcPr>
                  <w:tcW w:w="1109"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X射线探伤机</w:t>
                  </w:r>
                </w:p>
              </w:tc>
              <w:tc>
                <w:tcPr>
                  <w:tcW w:w="1021"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XXH-2505、XXQ-3005、C3205</w:t>
                  </w:r>
                </w:p>
              </w:tc>
              <w:tc>
                <w:tcPr>
                  <w:tcW w:w="514"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4</w:t>
                  </w:r>
                </w:p>
              </w:tc>
              <w:tc>
                <w:tcPr>
                  <w:tcW w:w="514"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台</w:t>
                  </w:r>
                </w:p>
              </w:tc>
              <w:tc>
                <w:tcPr>
                  <w:tcW w:w="1472"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检验设备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9</w:t>
                  </w:r>
                </w:p>
              </w:tc>
              <w:tc>
                <w:tcPr>
                  <w:tcW w:w="1109"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磨边机</w:t>
                  </w:r>
                </w:p>
              </w:tc>
              <w:tc>
                <w:tcPr>
                  <w:tcW w:w="1021"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w:t>
                  </w:r>
                </w:p>
              </w:tc>
              <w:tc>
                <w:tcPr>
                  <w:tcW w:w="514"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w:t>
                  </w:r>
                </w:p>
              </w:tc>
              <w:tc>
                <w:tcPr>
                  <w:tcW w:w="514"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台</w:t>
                  </w:r>
                </w:p>
              </w:tc>
              <w:tc>
                <w:tcPr>
                  <w:tcW w:w="1472"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打磨设备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10</w:t>
                  </w:r>
                </w:p>
              </w:tc>
              <w:tc>
                <w:tcPr>
                  <w:tcW w:w="1109"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切割机</w:t>
                  </w:r>
                </w:p>
              </w:tc>
              <w:tc>
                <w:tcPr>
                  <w:tcW w:w="1021"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w:t>
                  </w:r>
                </w:p>
              </w:tc>
              <w:tc>
                <w:tcPr>
                  <w:tcW w:w="514"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4</w:t>
                  </w:r>
                </w:p>
              </w:tc>
              <w:tc>
                <w:tcPr>
                  <w:tcW w:w="514"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台</w:t>
                  </w:r>
                </w:p>
              </w:tc>
              <w:tc>
                <w:tcPr>
                  <w:tcW w:w="1472"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原料料切割设备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11</w:t>
                  </w:r>
                </w:p>
              </w:tc>
              <w:tc>
                <w:tcPr>
                  <w:tcW w:w="1109"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等离子切割机</w:t>
                  </w:r>
                </w:p>
              </w:tc>
              <w:tc>
                <w:tcPr>
                  <w:tcW w:w="1021"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w:t>
                  </w:r>
                </w:p>
              </w:tc>
              <w:tc>
                <w:tcPr>
                  <w:tcW w:w="514"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7</w:t>
                  </w:r>
                </w:p>
              </w:tc>
              <w:tc>
                <w:tcPr>
                  <w:tcW w:w="514"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台</w:t>
                  </w:r>
                </w:p>
              </w:tc>
              <w:tc>
                <w:tcPr>
                  <w:tcW w:w="1472"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原料料切割设备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12</w:t>
                  </w:r>
                </w:p>
              </w:tc>
              <w:tc>
                <w:tcPr>
                  <w:tcW w:w="1109"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磁力切割机</w:t>
                  </w:r>
                </w:p>
              </w:tc>
              <w:tc>
                <w:tcPr>
                  <w:tcW w:w="1021"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w:t>
                  </w:r>
                </w:p>
              </w:tc>
              <w:tc>
                <w:tcPr>
                  <w:tcW w:w="514"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6</w:t>
                  </w:r>
                </w:p>
              </w:tc>
              <w:tc>
                <w:tcPr>
                  <w:tcW w:w="514"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台</w:t>
                  </w:r>
                </w:p>
              </w:tc>
              <w:tc>
                <w:tcPr>
                  <w:tcW w:w="1472"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原料料切割设备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13</w:t>
                  </w:r>
                </w:p>
              </w:tc>
              <w:tc>
                <w:tcPr>
                  <w:tcW w:w="1109"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卷板机</w:t>
                  </w:r>
                </w:p>
              </w:tc>
              <w:tc>
                <w:tcPr>
                  <w:tcW w:w="1021"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50</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200/50</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5000</w:t>
                  </w:r>
                </w:p>
              </w:tc>
              <w:tc>
                <w:tcPr>
                  <w:tcW w:w="514"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w:t>
                  </w:r>
                </w:p>
              </w:tc>
              <w:tc>
                <w:tcPr>
                  <w:tcW w:w="514"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台</w:t>
                  </w:r>
                </w:p>
              </w:tc>
              <w:tc>
                <w:tcPr>
                  <w:tcW w:w="1472"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旋压封头卷曲设备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14</w:t>
                  </w:r>
                </w:p>
              </w:tc>
              <w:tc>
                <w:tcPr>
                  <w:tcW w:w="1109"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打片机</w:t>
                  </w:r>
                </w:p>
              </w:tc>
              <w:tc>
                <w:tcPr>
                  <w:tcW w:w="1021"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3000t</w:t>
                  </w:r>
                </w:p>
              </w:tc>
              <w:tc>
                <w:tcPr>
                  <w:tcW w:w="514"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w:t>
                  </w:r>
                </w:p>
              </w:tc>
              <w:tc>
                <w:tcPr>
                  <w:tcW w:w="514"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cyan"/>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台</w:t>
                  </w:r>
                </w:p>
              </w:tc>
              <w:tc>
                <w:tcPr>
                  <w:tcW w:w="1472"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旋压封头压制成型设备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15</w:t>
                  </w:r>
                </w:p>
              </w:tc>
              <w:tc>
                <w:tcPr>
                  <w:tcW w:w="1109"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压片机</w:t>
                  </w:r>
                </w:p>
              </w:tc>
              <w:tc>
                <w:tcPr>
                  <w:tcW w:w="1021"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1000t</w:t>
                  </w:r>
                </w:p>
              </w:tc>
              <w:tc>
                <w:tcPr>
                  <w:tcW w:w="514"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w:t>
                  </w:r>
                </w:p>
              </w:tc>
              <w:tc>
                <w:tcPr>
                  <w:tcW w:w="514"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cyan"/>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台</w:t>
                  </w:r>
                </w:p>
              </w:tc>
              <w:tc>
                <w:tcPr>
                  <w:tcW w:w="1472"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旋压封头压制成型设备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vMerge w:val="restar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16</w:t>
                  </w:r>
                </w:p>
              </w:tc>
              <w:tc>
                <w:tcPr>
                  <w:tcW w:w="1109" w:type="pct"/>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旋压机</w:t>
                  </w:r>
                </w:p>
              </w:tc>
              <w:tc>
                <w:tcPr>
                  <w:tcW w:w="1021"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WT4500-32</w:t>
                  </w:r>
                </w:p>
              </w:tc>
              <w:tc>
                <w:tcPr>
                  <w:tcW w:w="514"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w:t>
                  </w:r>
                </w:p>
              </w:tc>
              <w:tc>
                <w:tcPr>
                  <w:tcW w:w="514"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台</w:t>
                  </w:r>
                </w:p>
              </w:tc>
              <w:tc>
                <w:tcPr>
                  <w:tcW w:w="1472" w:type="pct"/>
                  <w:vMerge w:val="restar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旋压封头压制成型设备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vMerge w:val="continue"/>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p>
              </w:tc>
              <w:tc>
                <w:tcPr>
                  <w:tcW w:w="1109" w:type="pct"/>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pPr>
                </w:p>
              </w:tc>
              <w:tc>
                <w:tcPr>
                  <w:tcW w:w="1021"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WT10000-32</w:t>
                  </w:r>
                </w:p>
              </w:tc>
              <w:tc>
                <w:tcPr>
                  <w:tcW w:w="514"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w:t>
                  </w:r>
                </w:p>
              </w:tc>
              <w:tc>
                <w:tcPr>
                  <w:tcW w:w="514"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台</w:t>
                  </w:r>
                </w:p>
              </w:tc>
              <w:tc>
                <w:tcPr>
                  <w:tcW w:w="1472" w:type="pct"/>
                  <w:vMerge w:val="continue"/>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vMerge w:val="continue"/>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p>
              </w:tc>
              <w:tc>
                <w:tcPr>
                  <w:tcW w:w="1109" w:type="pct"/>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pPr>
                </w:p>
              </w:tc>
              <w:tc>
                <w:tcPr>
                  <w:tcW w:w="1021"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ZT3000-20</w:t>
                  </w:r>
                </w:p>
              </w:tc>
              <w:tc>
                <w:tcPr>
                  <w:tcW w:w="514"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w:t>
                  </w:r>
                </w:p>
              </w:tc>
              <w:tc>
                <w:tcPr>
                  <w:tcW w:w="514"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台</w:t>
                  </w:r>
                </w:p>
              </w:tc>
              <w:tc>
                <w:tcPr>
                  <w:tcW w:w="1472" w:type="pct"/>
                  <w:vMerge w:val="continue"/>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17</w:t>
                  </w:r>
                </w:p>
              </w:tc>
              <w:tc>
                <w:tcPr>
                  <w:tcW w:w="1109"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压鼓机</w:t>
                  </w:r>
                </w:p>
              </w:tc>
              <w:tc>
                <w:tcPr>
                  <w:tcW w:w="1021"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w:t>
                  </w:r>
                </w:p>
              </w:tc>
              <w:tc>
                <w:tcPr>
                  <w:tcW w:w="514"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w:t>
                  </w:r>
                </w:p>
              </w:tc>
              <w:tc>
                <w:tcPr>
                  <w:tcW w:w="514"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台</w:t>
                  </w:r>
                </w:p>
              </w:tc>
              <w:tc>
                <w:tcPr>
                  <w:tcW w:w="1472"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18</w:t>
                  </w:r>
                </w:p>
              </w:tc>
              <w:tc>
                <w:tcPr>
                  <w:tcW w:w="1109"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叉车</w:t>
                  </w:r>
                </w:p>
              </w:tc>
              <w:tc>
                <w:tcPr>
                  <w:tcW w:w="1021"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5T/8T/15T</w:t>
                  </w:r>
                </w:p>
              </w:tc>
              <w:tc>
                <w:tcPr>
                  <w:tcW w:w="514"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9</w:t>
                  </w:r>
                </w:p>
              </w:tc>
              <w:tc>
                <w:tcPr>
                  <w:tcW w:w="514"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台</w:t>
                  </w:r>
                </w:p>
              </w:tc>
              <w:tc>
                <w:tcPr>
                  <w:tcW w:w="1472"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输送设备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8"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19</w:t>
                  </w:r>
                </w:p>
              </w:tc>
              <w:tc>
                <w:tcPr>
                  <w:tcW w:w="1109"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空气压缩机</w:t>
                  </w:r>
                </w:p>
              </w:tc>
              <w:tc>
                <w:tcPr>
                  <w:tcW w:w="1021"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w:t>
                  </w:r>
                </w:p>
              </w:tc>
              <w:tc>
                <w:tcPr>
                  <w:tcW w:w="514" w:type="pc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8</w:t>
                  </w:r>
                </w:p>
              </w:tc>
              <w:tc>
                <w:tcPr>
                  <w:tcW w:w="514"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台</w:t>
                  </w:r>
                </w:p>
              </w:tc>
              <w:tc>
                <w:tcPr>
                  <w:tcW w:w="1472" w:type="pct"/>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p>
              </w:tc>
            </w:tr>
          </w:tbl>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textAlignment w:val="auto"/>
              <w:rPr>
                <w:rFonts w:hint="default" w:ascii="Times New Roman" w:hAnsi="Times New Roman" w:cs="Times New Roman"/>
                <w:b/>
                <w:color w:val="000000" w:themeColor="text1"/>
                <w:kern w:val="0"/>
                <w:szCs w:val="21"/>
                <w:highlight w:val="none"/>
                <w14:textFill>
                  <w14:solidFill>
                    <w14:schemeClr w14:val="tx1"/>
                  </w14:solidFill>
                </w14:textFill>
              </w:rPr>
            </w:pPr>
            <w:r>
              <w:rPr>
                <w:rFonts w:hint="default" w:ascii="Times New Roman" w:hAnsi="Times New Roman" w:cs="Times New Roman"/>
                <w:b/>
                <w:color w:val="000000" w:themeColor="text1"/>
                <w:kern w:val="0"/>
                <w:szCs w:val="21"/>
                <w:highlight w:val="none"/>
                <w:lang w:val="en-US" w:eastAsia="zh-CN"/>
                <w14:textFill>
                  <w14:solidFill>
                    <w14:schemeClr w14:val="tx1"/>
                  </w14:solidFill>
                </w14:textFill>
              </w:rPr>
              <w:t>6、</w:t>
            </w:r>
            <w:r>
              <w:rPr>
                <w:rFonts w:hint="default" w:ascii="Times New Roman" w:hAnsi="Times New Roman" w:cs="Times New Roman"/>
                <w:b/>
                <w:color w:val="000000" w:themeColor="text1"/>
                <w:kern w:val="0"/>
                <w:szCs w:val="21"/>
                <w:highlight w:val="none"/>
                <w14:textFill>
                  <w14:solidFill>
                    <w14:schemeClr w14:val="tx1"/>
                  </w14:solidFill>
                </w14:textFill>
              </w:rPr>
              <w:t>厂区平面布置</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bCs/>
                <w:color w:val="000000" w:themeColor="text1"/>
                <w:kern w:val="0"/>
                <w:szCs w:val="21"/>
                <w:highlight w:val="cyan"/>
                <w:lang w:val="en-US" w:eastAsia="zh-CN"/>
                <w14:textFill>
                  <w14:solidFill>
                    <w14:schemeClr w14:val="tx1"/>
                  </w14:solidFill>
                </w14:textFill>
              </w:rPr>
            </w:pP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工程本次扩建工程利用现有工程厂区</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及</w:t>
            </w:r>
            <w:r>
              <w:rPr>
                <w:rFonts w:hint="eastAsia" w:cs="Times New Roman"/>
                <w:bCs/>
                <w:color w:val="000000" w:themeColor="text1"/>
                <w:kern w:val="0"/>
                <w:sz w:val="21"/>
                <w:szCs w:val="21"/>
                <w:highlight w:val="none"/>
                <w:lang w:val="en-US" w:eastAsia="zh-CN"/>
                <w14:textFill>
                  <w14:solidFill>
                    <w14:schemeClr w14:val="tx1"/>
                  </w14:solidFill>
                </w14:textFill>
              </w:rPr>
              <w:t>闲置</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厂房进行建设</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，现有工程厂区总占地</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16万平方米</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，本次扩建工程所用车间占地</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23950平方米。</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bCs/>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新乡中联石化封头锻压有限公司</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内现有</w:t>
            </w:r>
            <w:r>
              <w:rPr>
                <w:rFonts w:hint="eastAsia" w:ascii="Times New Roman" w:hAnsi="Times New Roman" w:cs="Times New Roman"/>
                <w:bCs/>
                <w:color w:val="000000" w:themeColor="text1"/>
                <w:kern w:val="0"/>
                <w:szCs w:val="21"/>
                <w:highlight w:val="none"/>
                <w:lang w:val="en-US" w:eastAsia="zh-CN"/>
                <w14:textFill>
                  <w14:solidFill>
                    <w14:schemeClr w14:val="tx1"/>
                  </w14:solidFill>
                </w14:textFill>
              </w:rPr>
              <w:t>11</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栋生产车间（1#~</w:t>
            </w:r>
            <w:r>
              <w:rPr>
                <w:rFonts w:hint="eastAsia" w:ascii="Times New Roman" w:hAnsi="Times New Roman" w:cs="Times New Roman"/>
                <w:bCs/>
                <w:color w:val="000000" w:themeColor="text1"/>
                <w:kern w:val="0"/>
                <w:szCs w:val="21"/>
                <w:highlight w:val="none"/>
                <w:lang w:val="en-US" w:eastAsia="zh-CN"/>
                <w14:textFill>
                  <w14:solidFill>
                    <w14:schemeClr w14:val="tx1"/>
                  </w14:solidFill>
                </w14:textFill>
              </w:rPr>
              <w:t>11</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#）、1栋办公楼，其中</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1#~</w:t>
            </w:r>
            <w:r>
              <w:rPr>
                <w:rFonts w:hint="eastAsia" w:ascii="Times New Roman" w:hAnsi="Times New Roman" w:cs="Times New Roman"/>
                <w:bCs/>
                <w:color w:val="000000" w:themeColor="text1"/>
                <w:kern w:val="0"/>
                <w:szCs w:val="21"/>
                <w:highlight w:val="none"/>
                <w:lang w:val="en-US" w:eastAsia="zh-CN"/>
                <w14:textFill>
                  <w14:solidFill>
                    <w14:schemeClr w14:val="tx1"/>
                  </w14:solidFill>
                </w14:textFill>
              </w:rPr>
              <w:t>4</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#车间为本次扩建工程所用车间，</w:t>
            </w:r>
            <w:r>
              <w:rPr>
                <w:rFonts w:hint="eastAsia" w:ascii="Times New Roman" w:hAnsi="Times New Roman" w:cs="Times New Roman"/>
                <w:bCs/>
                <w:color w:val="000000" w:themeColor="text1"/>
                <w:kern w:val="0"/>
                <w:szCs w:val="21"/>
                <w:highlight w:val="none"/>
                <w:lang w:val="en-US" w:eastAsia="zh-CN"/>
                <w14:textFill>
                  <w14:solidFill>
                    <w14:schemeClr w14:val="tx1"/>
                  </w14:solidFill>
                </w14:textFill>
              </w:rPr>
              <w:t>5</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w:t>
            </w:r>
            <w:r>
              <w:rPr>
                <w:rFonts w:hint="eastAsia" w:ascii="Times New Roman" w:hAnsi="Times New Roman" w:cs="Times New Roman"/>
                <w:bCs/>
                <w:color w:val="000000" w:themeColor="text1"/>
                <w:kern w:val="0"/>
                <w:szCs w:val="21"/>
                <w:highlight w:val="none"/>
                <w:lang w:val="en-US" w:eastAsia="zh-CN"/>
                <w14:textFill>
                  <w14:solidFill>
                    <w14:schemeClr w14:val="tx1"/>
                  </w14:solidFill>
                </w14:textFill>
              </w:rPr>
              <w:t>8</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#车间为现有工程车间，</w:t>
            </w:r>
            <w:r>
              <w:rPr>
                <w:rFonts w:hint="eastAsia" w:ascii="Times New Roman" w:hAnsi="Times New Roman" w:cs="Times New Roman"/>
                <w:bCs/>
                <w:color w:val="000000" w:themeColor="text1"/>
                <w:kern w:val="0"/>
                <w:szCs w:val="21"/>
                <w:highlight w:val="none"/>
                <w:lang w:val="en-US" w:eastAsia="zh-CN"/>
                <w14:textFill>
                  <w14:solidFill>
                    <w14:schemeClr w14:val="tx1"/>
                  </w14:solidFill>
                </w14:textFill>
              </w:rPr>
              <w:t>9</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w:t>
            </w:r>
            <w:r>
              <w:rPr>
                <w:rFonts w:hint="eastAsia" w:ascii="Times New Roman" w:hAnsi="Times New Roman" w:cs="Times New Roman"/>
                <w:bCs/>
                <w:color w:val="000000" w:themeColor="text1"/>
                <w:kern w:val="0"/>
                <w:szCs w:val="21"/>
                <w:highlight w:val="none"/>
                <w:lang w:val="en-US" w:eastAsia="zh-CN"/>
                <w14:textFill>
                  <w14:solidFill>
                    <w14:schemeClr w14:val="tx1"/>
                  </w14:solidFill>
                </w14:textFill>
              </w:rPr>
              <w:t>~10#</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车间为</w:t>
            </w:r>
            <w:r>
              <w:rPr>
                <w:rFonts w:hint="eastAsia" w:ascii="Times New Roman" w:hAnsi="Times New Roman" w:cs="Times New Roman"/>
                <w:bCs/>
                <w:color w:val="000000" w:themeColor="text1"/>
                <w:kern w:val="0"/>
                <w:szCs w:val="21"/>
                <w:highlight w:val="none"/>
                <w:lang w:val="en-US" w:eastAsia="zh-CN"/>
                <w14:textFill>
                  <w14:solidFill>
                    <w14:schemeClr w14:val="tx1"/>
                  </w14:solidFill>
                </w14:textFill>
              </w:rPr>
              <w:t>新乡市中联爱斯福锻压有限公司生产车间，11#车间为新乡市中联金属制品有限公司生产车间</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。本次</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工程</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1#车间位于厂区西侧，车间内由东向西依次为原料区、冷压和旋压成型区、下料间、热压成型区；2#和3#车间位于厂区东侧，其中2#车间内由东向西依次为拼板焊接区、修整成型区、成品区和检验室，3#车间主要为特材拼版焊接区及新建危险固废暂存间和一般固废暂存区</w:t>
            </w:r>
            <w:r>
              <w:rPr>
                <w:rFonts w:hint="eastAsia" w:ascii="Times New Roman" w:hAnsi="Times New Roman" w:cs="Times New Roman"/>
                <w:bCs/>
                <w:color w:val="000000" w:themeColor="text1"/>
                <w:kern w:val="0"/>
                <w:szCs w:val="21"/>
                <w:highlight w:val="none"/>
                <w:lang w:val="en-US" w:eastAsia="zh-CN"/>
                <w14:textFill>
                  <w14:solidFill>
                    <w14:schemeClr w14:val="tx1"/>
                  </w14:solidFill>
                </w14:textFill>
              </w:rPr>
              <w:t>；4#酸洗车间位于厂区北侧主要布置1间密闭酸洗间、原料区、成品区及配套辅助设施，</w:t>
            </w:r>
            <w:r>
              <w:rPr>
                <w:rFonts w:hint="eastAsia" w:cs="Times New Roman"/>
                <w:bCs/>
                <w:color w:val="000000" w:themeColor="text1"/>
                <w:kern w:val="0"/>
                <w:szCs w:val="21"/>
                <w:highlight w:val="none"/>
                <w:lang w:val="en-US" w:eastAsia="zh-CN"/>
                <w14:textFill>
                  <w14:solidFill>
                    <w14:schemeClr w14:val="tx1"/>
                  </w14:solidFill>
                </w14:textFill>
              </w:rPr>
              <w:t>扩建前现有工程厂区平面布置详见附图三-1，扩建后</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厂区</w:t>
            </w:r>
            <w:r>
              <w:rPr>
                <w:rFonts w:hint="default" w:ascii="Times New Roman" w:hAnsi="Times New Roman" w:cs="Times New Roman"/>
                <w:bCs/>
                <w:color w:val="000000" w:themeColor="text1"/>
                <w:kern w:val="0"/>
                <w:szCs w:val="21"/>
                <w:highlight w:val="none"/>
                <w14:textFill>
                  <w14:solidFill>
                    <w14:schemeClr w14:val="tx1"/>
                  </w14:solidFill>
                </w14:textFill>
              </w:rPr>
              <w:t>总平面布置见附图</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三</w:t>
            </w:r>
            <w:r>
              <w:rPr>
                <w:rFonts w:hint="eastAsia" w:cs="Times New Roman"/>
                <w:bCs/>
                <w:color w:val="000000" w:themeColor="text1"/>
                <w:kern w:val="0"/>
                <w:szCs w:val="21"/>
                <w:highlight w:val="none"/>
                <w:lang w:val="en-US" w:eastAsia="zh-CN"/>
                <w14:textFill>
                  <w14:solidFill>
                    <w14:schemeClr w14:val="tx1"/>
                  </w14:solidFill>
                </w14:textFill>
              </w:rPr>
              <w:t>-2</w:t>
            </w:r>
            <w:r>
              <w:rPr>
                <w:rFonts w:hint="default" w:ascii="Times New Roman" w:hAnsi="Times New Roman" w:cs="Times New Roman"/>
                <w:bCs/>
                <w:color w:val="000000" w:themeColor="text1"/>
                <w:kern w:val="0"/>
                <w:szCs w:val="21"/>
                <w:highlight w:val="none"/>
                <w14:textFill>
                  <w14:solidFill>
                    <w14:schemeClr w14:val="tx1"/>
                  </w14:solidFill>
                </w14:textFill>
              </w:rPr>
              <w:t>。</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bCs/>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工程车间内</w:t>
            </w:r>
            <w:r>
              <w:rPr>
                <w:rFonts w:hint="default" w:ascii="Times New Roman" w:hAnsi="Times New Roman" w:cs="Times New Roman"/>
                <w:bCs/>
                <w:color w:val="000000" w:themeColor="text1"/>
                <w:kern w:val="0"/>
                <w:szCs w:val="21"/>
                <w:highlight w:val="none"/>
                <w14:textFill>
                  <w14:solidFill>
                    <w14:schemeClr w14:val="tx1"/>
                  </w14:solidFill>
                </w14:textFill>
              </w:rPr>
              <w:t>工艺流程顺畅，总体布置合理紧凑，</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各</w:t>
            </w:r>
            <w:r>
              <w:rPr>
                <w:rFonts w:hint="default" w:ascii="Times New Roman" w:hAnsi="Times New Roman" w:cs="Times New Roman"/>
                <w:bCs/>
                <w:color w:val="000000" w:themeColor="text1"/>
                <w:kern w:val="0"/>
                <w:szCs w:val="21"/>
                <w:highlight w:val="none"/>
                <w14:textFill>
                  <w14:solidFill>
                    <w14:schemeClr w14:val="tx1"/>
                  </w14:solidFill>
                </w14:textFill>
              </w:rPr>
              <w:t>功能分区</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均通过设置密闭间隔开</w:t>
            </w:r>
            <w:r>
              <w:rPr>
                <w:rFonts w:hint="default" w:ascii="Times New Roman" w:hAnsi="Times New Roman" w:cs="Times New Roman"/>
                <w:bCs/>
                <w:color w:val="000000" w:themeColor="text1"/>
                <w:kern w:val="0"/>
                <w:szCs w:val="21"/>
                <w:highlight w:val="none"/>
                <w14:textFill>
                  <w14:solidFill>
                    <w14:schemeClr w14:val="tx1"/>
                  </w14:solidFill>
                </w14:textFill>
              </w:rPr>
              <w:t>，能保证各功能分区之间既相互独立，又联系紧密，</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平面布局较为合理</w:t>
            </w:r>
            <w:r>
              <w:rPr>
                <w:rFonts w:hint="default" w:ascii="Times New Roman" w:hAnsi="Times New Roman" w:cs="Times New Roman"/>
                <w:bCs/>
                <w:color w:val="000000" w:themeColor="text1"/>
                <w:kern w:val="0"/>
                <w:szCs w:val="21"/>
                <w:highlight w:val="none"/>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textAlignment w:val="auto"/>
              <w:rPr>
                <w:rFonts w:hint="default" w:ascii="Times New Roman" w:hAnsi="Times New Roman" w:cs="Times New Roman"/>
                <w:b/>
                <w:color w:val="000000" w:themeColor="text1"/>
                <w:kern w:val="0"/>
                <w:szCs w:val="21"/>
                <w:highlight w:val="none"/>
                <w14:textFill>
                  <w14:solidFill>
                    <w14:schemeClr w14:val="tx1"/>
                  </w14:solidFill>
                </w14:textFill>
              </w:rPr>
            </w:pPr>
            <w:r>
              <w:rPr>
                <w:rFonts w:hint="default" w:ascii="Times New Roman" w:hAnsi="Times New Roman" w:cs="Times New Roman"/>
                <w:b/>
                <w:color w:val="000000" w:themeColor="text1"/>
                <w:kern w:val="0"/>
                <w:szCs w:val="21"/>
                <w:highlight w:val="none"/>
                <w:lang w:val="en-US" w:eastAsia="zh-CN"/>
                <w14:textFill>
                  <w14:solidFill>
                    <w14:schemeClr w14:val="tx1"/>
                  </w14:solidFill>
                </w14:textFill>
              </w:rPr>
              <w:t>7、</w:t>
            </w:r>
            <w:r>
              <w:rPr>
                <w:rFonts w:hint="default" w:ascii="Times New Roman" w:hAnsi="Times New Roman" w:cs="Times New Roman"/>
                <w:b/>
                <w:color w:val="000000" w:themeColor="text1"/>
                <w:kern w:val="0"/>
                <w:szCs w:val="21"/>
                <w:highlight w:val="none"/>
                <w14:textFill>
                  <w14:solidFill>
                    <w14:schemeClr w14:val="tx1"/>
                  </w14:solidFill>
                </w14:textFill>
              </w:rPr>
              <w:t>主要公辅设施</w:t>
            </w:r>
          </w:p>
          <w:p>
            <w:pPr>
              <w:keepNext w:val="0"/>
              <w:keepLines w:val="0"/>
              <w:pageBreakBefore w:val="0"/>
              <w:widowControl w:val="0"/>
              <w:numPr>
                <w:ilvl w:val="0"/>
                <w:numId w:val="7"/>
              </w:numPr>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
                <w:bCs/>
                <w:color w:val="000000" w:themeColor="text1"/>
                <w:kern w:val="0"/>
                <w:szCs w:val="21"/>
                <w:highlight w:val="none"/>
                <w:lang w:eastAsia="zh-CN"/>
                <w14:textFill>
                  <w14:solidFill>
                    <w14:schemeClr w14:val="tx1"/>
                  </w14:solidFill>
                </w14:textFill>
              </w:rPr>
            </w:pPr>
            <w:r>
              <w:rPr>
                <w:rFonts w:hint="default" w:ascii="Times New Roman" w:hAnsi="Times New Roman" w:cs="Times New Roman"/>
                <w:b/>
                <w:bCs/>
                <w:color w:val="000000" w:themeColor="text1"/>
                <w:kern w:val="0"/>
                <w:szCs w:val="21"/>
                <w:highlight w:val="none"/>
                <w14:textFill>
                  <w14:solidFill>
                    <w14:schemeClr w14:val="tx1"/>
                  </w14:solidFill>
                </w14:textFill>
              </w:rPr>
              <w:t>给</w:t>
            </w:r>
            <w:r>
              <w:rPr>
                <w:rFonts w:hint="default" w:ascii="Times New Roman" w:hAnsi="Times New Roman" w:cs="Times New Roman"/>
                <w:b/>
                <w:bCs/>
                <w:color w:val="000000" w:themeColor="text1"/>
                <w:kern w:val="0"/>
                <w:szCs w:val="21"/>
                <w:highlight w:val="none"/>
                <w:lang w:eastAsia="zh-CN"/>
                <w14:textFill>
                  <w14:solidFill>
                    <w14:schemeClr w14:val="tx1"/>
                  </w14:solidFill>
                </w14:textFill>
              </w:rPr>
              <w:t>排水</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
                <w:bCs/>
                <w:color w:val="000000" w:themeColor="text1"/>
                <w:kern w:val="0"/>
                <w:szCs w:val="21"/>
                <w:highlight w:val="none"/>
                <w14:textFill>
                  <w14:solidFill>
                    <w14:schemeClr w14:val="tx1"/>
                  </w14:solidFill>
                </w14:textFill>
              </w:rPr>
            </w:pPr>
            <w:r>
              <w:rPr>
                <w:rFonts w:hint="default" w:ascii="Times New Roman" w:hAnsi="Times New Roman" w:cs="Times New Roman"/>
                <w:b/>
                <w:bCs/>
                <w:color w:val="000000" w:themeColor="text1"/>
                <w:kern w:val="0"/>
                <w:szCs w:val="21"/>
                <w:highlight w:val="none"/>
                <w14:textFill>
                  <w14:solidFill>
                    <w14:schemeClr w14:val="tx1"/>
                  </w14:solidFill>
                </w14:textFill>
              </w:rPr>
              <w:fldChar w:fldCharType="begin"/>
            </w:r>
            <w:r>
              <w:rPr>
                <w:rFonts w:hint="default" w:ascii="Times New Roman" w:hAnsi="Times New Roman" w:cs="Times New Roman"/>
                <w:b/>
                <w:bCs/>
                <w:color w:val="000000" w:themeColor="text1"/>
                <w:kern w:val="0"/>
                <w:szCs w:val="21"/>
                <w:highlight w:val="none"/>
                <w14:textFill>
                  <w14:solidFill>
                    <w14:schemeClr w14:val="tx1"/>
                  </w14:solidFill>
                </w14:textFill>
              </w:rPr>
              <w:instrText xml:space="preserve"> = 1 \* GB3 \* MERGEFORMAT </w:instrText>
            </w:r>
            <w:r>
              <w:rPr>
                <w:rFonts w:hint="default" w:ascii="Times New Roman" w:hAnsi="Times New Roman" w:cs="Times New Roman"/>
                <w:b/>
                <w:bCs/>
                <w:color w:val="000000" w:themeColor="text1"/>
                <w:kern w:val="0"/>
                <w:szCs w:val="21"/>
                <w:highlight w:val="none"/>
                <w14:textFill>
                  <w14:solidFill>
                    <w14:schemeClr w14:val="tx1"/>
                  </w14:solidFill>
                </w14:textFill>
              </w:rPr>
              <w:fldChar w:fldCharType="separate"/>
            </w:r>
            <w:r>
              <w:rPr>
                <w:rFonts w:hint="default" w:ascii="Times New Roman" w:hAnsi="Times New Roman" w:cs="Times New Roman"/>
                <w:b/>
                <w:bCs/>
                <w:color w:val="000000" w:themeColor="text1"/>
                <w:highlight w:val="none"/>
                <w14:textFill>
                  <w14:solidFill>
                    <w14:schemeClr w14:val="tx1"/>
                  </w14:solidFill>
                </w14:textFill>
              </w:rPr>
              <w:t>①</w:t>
            </w:r>
            <w:r>
              <w:rPr>
                <w:rFonts w:hint="default" w:ascii="Times New Roman" w:hAnsi="Times New Roman" w:cs="Times New Roman"/>
                <w:b/>
                <w:bCs/>
                <w:color w:val="000000" w:themeColor="text1"/>
                <w:kern w:val="0"/>
                <w:szCs w:val="21"/>
                <w:highlight w:val="none"/>
                <w14:textFill>
                  <w14:solidFill>
                    <w14:schemeClr w14:val="tx1"/>
                  </w14:solidFill>
                </w14:textFill>
              </w:rPr>
              <w:fldChar w:fldCharType="end"/>
            </w:r>
            <w:r>
              <w:rPr>
                <w:rFonts w:hint="default" w:ascii="Times New Roman" w:hAnsi="Times New Roman" w:cs="Times New Roman"/>
                <w:b/>
                <w:bCs/>
                <w:color w:val="000000" w:themeColor="text1"/>
                <w:kern w:val="0"/>
                <w:szCs w:val="21"/>
                <w:highlight w:val="none"/>
                <w:lang w:eastAsia="zh-CN"/>
                <w14:textFill>
                  <w14:solidFill>
                    <w14:schemeClr w14:val="tx1"/>
                  </w14:solidFill>
                </w14:textFill>
              </w:rPr>
              <w:t>给</w:t>
            </w:r>
            <w:r>
              <w:rPr>
                <w:rFonts w:hint="default" w:ascii="Times New Roman" w:hAnsi="Times New Roman" w:cs="Times New Roman"/>
                <w:b/>
                <w:bCs/>
                <w:color w:val="000000" w:themeColor="text1"/>
                <w:kern w:val="0"/>
                <w:szCs w:val="21"/>
                <w:highlight w:val="none"/>
                <w14:textFill>
                  <w14:solidFill>
                    <w14:schemeClr w14:val="tx1"/>
                  </w14:solidFill>
                </w14:textFill>
              </w:rPr>
              <w:t>水系统</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bCs/>
                <w:color w:val="000000" w:themeColor="text1"/>
                <w:kern w:val="0"/>
                <w:szCs w:val="21"/>
                <w:highlight w:val="none"/>
                <w14:textFill>
                  <w14:solidFill>
                    <w14:schemeClr w14:val="tx1"/>
                  </w14:solidFill>
                </w14:textFill>
              </w:rPr>
            </w:pPr>
            <w:r>
              <w:rPr>
                <w:rFonts w:hint="eastAsia" w:cs="Times New Roman"/>
                <w:bCs/>
                <w:color w:val="000000" w:themeColor="text1"/>
                <w:kern w:val="0"/>
                <w:szCs w:val="21"/>
                <w:highlight w:val="none"/>
                <w:lang w:eastAsia="zh-CN"/>
                <w14:textFill>
                  <w14:solidFill>
                    <w14:schemeClr w14:val="tx1"/>
                  </w14:solidFill>
                </w14:textFill>
              </w:rPr>
              <w:t>现有工程用水主要为生活用水，新鲜水用量为</w:t>
            </w:r>
            <w:r>
              <w:rPr>
                <w:rFonts w:hint="eastAsia" w:cs="Times New Roman"/>
                <w:bCs/>
                <w:color w:val="000000" w:themeColor="text1"/>
                <w:kern w:val="0"/>
                <w:szCs w:val="21"/>
                <w:highlight w:val="none"/>
                <w:lang w:val="en-US" w:eastAsia="zh-CN"/>
                <w14:textFill>
                  <w14:solidFill>
                    <w14:schemeClr w14:val="tx1"/>
                  </w14:solidFill>
                </w14:textFill>
              </w:rPr>
              <w:t>0.8</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m</w:t>
            </w:r>
            <w:r>
              <w:rPr>
                <w:rFonts w:hint="default" w:ascii="Times New Roman" w:hAnsi="Times New Roman" w:cs="Times New Roman"/>
                <w:bCs/>
                <w:color w:val="000000" w:themeColor="text1"/>
                <w:kern w:val="0"/>
                <w:szCs w:val="21"/>
                <w:highlight w:val="none"/>
                <w:vertAlign w:val="superscript"/>
                <w:lang w:val="en-US" w:eastAsia="zh-CN"/>
                <w14:textFill>
                  <w14:solidFill>
                    <w14:schemeClr w14:val="tx1"/>
                  </w14:solidFill>
                </w14:textFill>
              </w:rPr>
              <w:t>3</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/d</w:t>
            </w:r>
            <w:r>
              <w:rPr>
                <w:rFonts w:hint="eastAsia" w:cs="Times New Roman"/>
                <w:bCs/>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本次扩建工程新增用水主要为生活用水</w:t>
            </w:r>
            <w:r>
              <w:rPr>
                <w:rFonts w:hint="eastAsia" w:cs="Times New Roman"/>
                <w:bCs/>
                <w:color w:val="000000" w:themeColor="text1"/>
                <w:kern w:val="0"/>
                <w:szCs w:val="21"/>
                <w:highlight w:val="none"/>
                <w:lang w:eastAsia="zh-CN"/>
                <w14:textFill>
                  <w14:solidFill>
                    <w14:schemeClr w14:val="tx1"/>
                  </w14:solidFill>
                </w14:textFill>
              </w:rPr>
              <w:t>和酸洗工序冲洗用水</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新增</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用水量为</w:t>
            </w:r>
            <w:r>
              <w:rPr>
                <w:rFonts w:hint="eastAsia" w:cs="Times New Roman"/>
                <w:bCs/>
                <w:color w:val="000000" w:themeColor="text1"/>
                <w:kern w:val="0"/>
                <w:szCs w:val="21"/>
                <w:highlight w:val="none"/>
                <w:lang w:val="en-US" w:eastAsia="zh-CN"/>
                <w14:textFill>
                  <w14:solidFill>
                    <w14:schemeClr w14:val="tx1"/>
                  </w14:solidFill>
                </w14:textFill>
              </w:rPr>
              <w:t>2.4659</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m</w:t>
            </w:r>
            <w:r>
              <w:rPr>
                <w:rFonts w:hint="default" w:ascii="Times New Roman" w:hAnsi="Times New Roman" w:cs="Times New Roman"/>
                <w:bCs/>
                <w:color w:val="000000" w:themeColor="text1"/>
                <w:kern w:val="0"/>
                <w:szCs w:val="21"/>
                <w:highlight w:val="none"/>
                <w:vertAlign w:val="superscript"/>
                <w:lang w:val="en-US" w:eastAsia="zh-CN"/>
                <w14:textFill>
                  <w14:solidFill>
                    <w14:schemeClr w14:val="tx1"/>
                  </w14:solidFill>
                </w14:textFill>
              </w:rPr>
              <w:t>3</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/d</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，均依托厂区现有供水管线提供，目前现有供水能力为</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250m</w:t>
            </w:r>
            <w:r>
              <w:rPr>
                <w:rFonts w:hint="default" w:ascii="Times New Roman" w:hAnsi="Times New Roman" w:cs="Times New Roman"/>
                <w:bCs/>
                <w:color w:val="000000" w:themeColor="text1"/>
                <w:kern w:val="0"/>
                <w:szCs w:val="21"/>
                <w:highlight w:val="none"/>
                <w:vertAlign w:val="superscript"/>
                <w:lang w:val="en-US" w:eastAsia="zh-CN"/>
                <w14:textFill>
                  <w14:solidFill>
                    <w14:schemeClr w14:val="tx1"/>
                  </w14:solidFill>
                </w14:textFill>
              </w:rPr>
              <w:t>3</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/d，</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通过新乡县小冀镇市政</w:t>
            </w:r>
            <w:r>
              <w:rPr>
                <w:rFonts w:hint="default" w:ascii="Times New Roman" w:hAnsi="Times New Roman" w:cs="Times New Roman"/>
                <w:bCs/>
                <w:color w:val="000000" w:themeColor="text1"/>
                <w:kern w:val="0"/>
                <w:szCs w:val="21"/>
                <w:highlight w:val="none"/>
                <w14:textFill>
                  <w14:solidFill>
                    <w14:schemeClr w14:val="tx1"/>
                  </w14:solidFill>
                </w14:textFill>
              </w:rPr>
              <w:t>供水</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管线提供，本次扩建</w:t>
            </w:r>
            <w:r>
              <w:rPr>
                <w:rFonts w:hint="eastAsia" w:cs="Times New Roman"/>
                <w:bCs/>
                <w:color w:val="000000" w:themeColor="text1"/>
                <w:kern w:val="0"/>
                <w:szCs w:val="21"/>
                <w:highlight w:val="none"/>
                <w:lang w:eastAsia="zh-CN"/>
                <w14:textFill>
                  <w14:solidFill>
                    <w14:schemeClr w14:val="tx1"/>
                  </w14:solidFill>
                </w14:textFill>
              </w:rPr>
              <w:t>后全厂新鲜水量为</w:t>
            </w:r>
            <w:r>
              <w:rPr>
                <w:rFonts w:hint="eastAsia" w:cs="Times New Roman"/>
                <w:bCs/>
                <w:color w:val="000000" w:themeColor="text1"/>
                <w:kern w:val="0"/>
                <w:szCs w:val="21"/>
                <w:highlight w:val="none"/>
                <w:lang w:val="en-US" w:eastAsia="zh-CN"/>
                <w14:textFill>
                  <w14:solidFill>
                    <w14:schemeClr w14:val="tx1"/>
                  </w14:solidFill>
                </w14:textFill>
              </w:rPr>
              <w:t>4.0659</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m</w:t>
            </w:r>
            <w:r>
              <w:rPr>
                <w:rFonts w:hint="default" w:ascii="Times New Roman" w:hAnsi="Times New Roman" w:cs="Times New Roman"/>
                <w:bCs/>
                <w:color w:val="000000" w:themeColor="text1"/>
                <w:kern w:val="0"/>
                <w:szCs w:val="21"/>
                <w:highlight w:val="none"/>
                <w:vertAlign w:val="superscript"/>
                <w:lang w:val="en-US" w:eastAsia="zh-CN"/>
                <w14:textFill>
                  <w14:solidFill>
                    <w14:schemeClr w14:val="tx1"/>
                  </w14:solidFill>
                </w14:textFill>
              </w:rPr>
              <w:t>3</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/d</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bCs/>
                <w:color w:val="000000" w:themeColor="text1"/>
                <w:kern w:val="0"/>
                <w:szCs w:val="21"/>
                <w:highlight w:val="none"/>
                <w14:textFill>
                  <w14:solidFill>
                    <w14:schemeClr w14:val="tx1"/>
                  </w14:solidFill>
                </w14:textFill>
              </w:rPr>
              <w:t>可以满足拟建工程的用水</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需求</w:t>
            </w:r>
            <w:r>
              <w:rPr>
                <w:rFonts w:hint="default" w:ascii="Times New Roman" w:hAnsi="Times New Roman" w:cs="Times New Roman"/>
                <w:bCs/>
                <w:color w:val="000000" w:themeColor="text1"/>
                <w:kern w:val="0"/>
                <w:szCs w:val="21"/>
                <w:highlight w:val="none"/>
                <w14:textFill>
                  <w14:solidFill>
                    <w14:schemeClr w14:val="tx1"/>
                  </w14:solidFill>
                </w14:textFill>
              </w:rPr>
              <w:t>。</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
                <w:bCs/>
                <w:color w:val="000000" w:themeColor="text1"/>
                <w:kern w:val="0"/>
                <w:szCs w:val="21"/>
                <w:highlight w:val="none"/>
                <w14:textFill>
                  <w14:solidFill>
                    <w14:schemeClr w14:val="tx1"/>
                  </w14:solidFill>
                </w14:textFill>
              </w:rPr>
            </w:pPr>
            <w:r>
              <w:rPr>
                <w:rFonts w:hint="default" w:ascii="Times New Roman" w:hAnsi="Times New Roman" w:cs="Times New Roman"/>
                <w:b/>
                <w:bCs/>
                <w:color w:val="000000" w:themeColor="text1"/>
                <w:kern w:val="0"/>
                <w:szCs w:val="21"/>
                <w:highlight w:val="none"/>
                <w14:textFill>
                  <w14:solidFill>
                    <w14:schemeClr w14:val="tx1"/>
                  </w14:solidFill>
                </w14:textFill>
              </w:rPr>
              <w:fldChar w:fldCharType="begin"/>
            </w:r>
            <w:r>
              <w:rPr>
                <w:rFonts w:hint="default" w:ascii="Times New Roman" w:hAnsi="Times New Roman" w:cs="Times New Roman"/>
                <w:b/>
                <w:bCs/>
                <w:color w:val="000000" w:themeColor="text1"/>
                <w:kern w:val="0"/>
                <w:szCs w:val="21"/>
                <w:highlight w:val="none"/>
                <w14:textFill>
                  <w14:solidFill>
                    <w14:schemeClr w14:val="tx1"/>
                  </w14:solidFill>
                </w14:textFill>
              </w:rPr>
              <w:instrText xml:space="preserve"> = 2 \* GB3 \* MERGEFORMAT </w:instrText>
            </w:r>
            <w:r>
              <w:rPr>
                <w:rFonts w:hint="default" w:ascii="Times New Roman" w:hAnsi="Times New Roman" w:cs="Times New Roman"/>
                <w:b/>
                <w:bCs/>
                <w:color w:val="000000" w:themeColor="text1"/>
                <w:kern w:val="0"/>
                <w:szCs w:val="21"/>
                <w:highlight w:val="none"/>
                <w14:textFill>
                  <w14:solidFill>
                    <w14:schemeClr w14:val="tx1"/>
                  </w14:solidFill>
                </w14:textFill>
              </w:rPr>
              <w:fldChar w:fldCharType="separate"/>
            </w:r>
            <w:r>
              <w:rPr>
                <w:rFonts w:hint="default" w:ascii="Times New Roman" w:hAnsi="Times New Roman" w:cs="Times New Roman"/>
                <w:b/>
                <w:bCs/>
                <w:color w:val="000000" w:themeColor="text1"/>
                <w:highlight w:val="none"/>
                <w14:textFill>
                  <w14:solidFill>
                    <w14:schemeClr w14:val="tx1"/>
                  </w14:solidFill>
                </w14:textFill>
              </w:rPr>
              <w:t>②</w:t>
            </w:r>
            <w:r>
              <w:rPr>
                <w:rFonts w:hint="default" w:ascii="Times New Roman" w:hAnsi="Times New Roman" w:cs="Times New Roman"/>
                <w:b/>
                <w:bCs/>
                <w:color w:val="000000" w:themeColor="text1"/>
                <w:kern w:val="0"/>
                <w:szCs w:val="21"/>
                <w:highlight w:val="none"/>
                <w14:textFill>
                  <w14:solidFill>
                    <w14:schemeClr w14:val="tx1"/>
                  </w14:solidFill>
                </w14:textFill>
              </w:rPr>
              <w:fldChar w:fldCharType="end"/>
            </w:r>
            <w:r>
              <w:rPr>
                <w:rFonts w:hint="default" w:ascii="Times New Roman" w:hAnsi="Times New Roman" w:cs="Times New Roman"/>
                <w:b/>
                <w:bCs/>
                <w:color w:val="000000" w:themeColor="text1"/>
                <w:kern w:val="0"/>
                <w:szCs w:val="21"/>
                <w:highlight w:val="none"/>
                <w14:textFill>
                  <w14:solidFill>
                    <w14:schemeClr w14:val="tx1"/>
                  </w14:solidFill>
                </w14:textFill>
              </w:rPr>
              <w:t>排水系统</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pPr>
            <w:r>
              <w:rPr>
                <w:rFonts w:hint="default" w:ascii="Times New Roman" w:hAnsi="Times New Roman" w:cs="Times New Roman"/>
                <w:b/>
                <w:bCs w:val="0"/>
                <w:color w:val="000000" w:themeColor="text1"/>
                <w:kern w:val="0"/>
                <w:szCs w:val="21"/>
                <w:highlight w:val="none"/>
                <w:lang w:eastAsia="zh-CN"/>
                <w14:textFill>
                  <w14:solidFill>
                    <w14:schemeClr w14:val="tx1"/>
                  </w14:solidFill>
                </w14:textFill>
              </w:rPr>
              <w:t>生活污水：</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现有工程生活污水排放量为</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1.28m</w:t>
            </w:r>
            <w:r>
              <w:rPr>
                <w:rFonts w:hint="default" w:ascii="Times New Roman" w:hAnsi="Times New Roman" w:cs="Times New Roman"/>
                <w:bCs/>
                <w:color w:val="000000" w:themeColor="text1"/>
                <w:kern w:val="0"/>
                <w:szCs w:val="21"/>
                <w:highlight w:val="none"/>
                <w:vertAlign w:val="superscript"/>
                <w:lang w:val="en-US" w:eastAsia="zh-CN"/>
                <w14:textFill>
                  <w14:solidFill>
                    <w14:schemeClr w14:val="tx1"/>
                  </w14:solidFill>
                </w14:textFill>
              </w:rPr>
              <w:t>3</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/d（384m</w:t>
            </w:r>
            <w:r>
              <w:rPr>
                <w:rFonts w:hint="default" w:ascii="Times New Roman" w:hAnsi="Times New Roman" w:cs="Times New Roman"/>
                <w:bCs/>
                <w:color w:val="000000" w:themeColor="text1"/>
                <w:kern w:val="0"/>
                <w:szCs w:val="21"/>
                <w:highlight w:val="none"/>
                <w:vertAlign w:val="superscript"/>
                <w:lang w:val="en-US" w:eastAsia="zh-CN"/>
                <w14:textFill>
                  <w14:solidFill>
                    <w14:schemeClr w14:val="tx1"/>
                  </w14:solidFill>
                </w14:textFill>
              </w:rPr>
              <w:t>3</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/a），本次扩建后新增生活污水量为0.64m</w:t>
            </w:r>
            <w:r>
              <w:rPr>
                <w:rFonts w:hint="default" w:ascii="Times New Roman" w:hAnsi="Times New Roman" w:cs="Times New Roman"/>
                <w:bCs/>
                <w:color w:val="000000" w:themeColor="text1"/>
                <w:kern w:val="0"/>
                <w:szCs w:val="21"/>
                <w:highlight w:val="none"/>
                <w:vertAlign w:val="superscript"/>
                <w:lang w:val="en-US" w:eastAsia="zh-CN"/>
                <w14:textFill>
                  <w14:solidFill>
                    <w14:schemeClr w14:val="tx1"/>
                  </w14:solidFill>
                </w14:textFill>
              </w:rPr>
              <w:t>3</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/d（192m</w:t>
            </w:r>
            <w:r>
              <w:rPr>
                <w:rFonts w:hint="default" w:ascii="Times New Roman" w:hAnsi="Times New Roman" w:cs="Times New Roman"/>
                <w:bCs/>
                <w:color w:val="000000" w:themeColor="text1"/>
                <w:kern w:val="0"/>
                <w:szCs w:val="21"/>
                <w:highlight w:val="none"/>
                <w:vertAlign w:val="superscript"/>
                <w:lang w:val="en-US" w:eastAsia="zh-CN"/>
                <w14:textFill>
                  <w14:solidFill>
                    <w14:schemeClr w14:val="tx1"/>
                  </w14:solidFill>
                </w14:textFill>
              </w:rPr>
              <w:t>3</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/a），扩建后全厂生活污水量为1.92m</w:t>
            </w:r>
            <w:r>
              <w:rPr>
                <w:rFonts w:hint="default" w:ascii="Times New Roman" w:hAnsi="Times New Roman" w:cs="Times New Roman"/>
                <w:bCs/>
                <w:color w:val="000000" w:themeColor="text1"/>
                <w:kern w:val="0"/>
                <w:szCs w:val="21"/>
                <w:highlight w:val="none"/>
                <w:vertAlign w:val="superscript"/>
                <w:lang w:val="en-US" w:eastAsia="zh-CN"/>
                <w14:textFill>
                  <w14:solidFill>
                    <w14:schemeClr w14:val="tx1"/>
                  </w14:solidFill>
                </w14:textFill>
              </w:rPr>
              <w:t>3</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/d（576m</w:t>
            </w:r>
            <w:r>
              <w:rPr>
                <w:rFonts w:hint="default" w:ascii="Times New Roman" w:hAnsi="Times New Roman" w:cs="Times New Roman"/>
                <w:bCs/>
                <w:color w:val="000000" w:themeColor="text1"/>
                <w:kern w:val="0"/>
                <w:szCs w:val="21"/>
                <w:highlight w:val="none"/>
                <w:vertAlign w:val="superscript"/>
                <w:lang w:val="en-US" w:eastAsia="zh-CN"/>
                <w14:textFill>
                  <w14:solidFill>
                    <w14:schemeClr w14:val="tx1"/>
                  </w14:solidFill>
                </w14:textFill>
              </w:rPr>
              <w:t>3</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/a），生活污水</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均通过厂区内现有</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1座10m</w:t>
            </w:r>
            <w:r>
              <w:rPr>
                <w:rFonts w:hint="default" w:ascii="Times New Roman" w:hAnsi="Times New Roman" w:cs="Times New Roman"/>
                <w:bCs/>
                <w:color w:val="000000" w:themeColor="text1"/>
                <w:kern w:val="0"/>
                <w:szCs w:val="21"/>
                <w:highlight w:val="none"/>
                <w:vertAlign w:val="superscript"/>
                <w:lang w:val="en-US" w:eastAsia="zh-CN"/>
                <w14:textFill>
                  <w14:solidFill>
                    <w14:schemeClr w14:val="tx1"/>
                  </w14:solidFill>
                </w14:textFill>
              </w:rPr>
              <w:t>3</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化粪池处理后，通过区域污水管网排入新乡县综合污水处理厂进一步处理</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bCs w:val="0"/>
                <w:color w:val="000000" w:themeColor="text1"/>
                <w:kern w:val="0"/>
                <w:sz w:val="21"/>
                <w:szCs w:val="21"/>
                <w:highlight w:val="none"/>
                <w:lang w:eastAsia="zh-CN"/>
                <w14:textFill>
                  <w14:solidFill>
                    <w14:schemeClr w14:val="tx1"/>
                  </w14:solidFill>
                </w14:textFill>
              </w:rPr>
              <w:t>生产废水：</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现有工程无生产废水产生，本次扩建工程新增生产废水为酸洗后冲洗废水和</w:t>
            </w:r>
            <w:r>
              <w:rPr>
                <w:rFonts w:hint="eastAsia" w:cs="Times New Roman"/>
                <w:bCs/>
                <w:color w:val="000000" w:themeColor="text1"/>
                <w:kern w:val="0"/>
                <w:sz w:val="21"/>
                <w:szCs w:val="21"/>
                <w:highlight w:val="none"/>
                <w:lang w:eastAsia="zh-CN"/>
                <w14:textFill>
                  <w14:solidFill>
                    <w14:schemeClr w14:val="tx1"/>
                  </w14:solidFill>
                </w14:textFill>
              </w:rPr>
              <w:t>两级酸雾喷淋塔</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排放废水，</w:t>
            </w:r>
            <w:r>
              <w:rPr>
                <w:rFonts w:hint="eastAsia" w:cs="Times New Roman"/>
                <w:bCs/>
                <w:color w:val="000000" w:themeColor="text1"/>
                <w:kern w:val="0"/>
                <w:sz w:val="21"/>
                <w:szCs w:val="21"/>
                <w:highlight w:val="none"/>
                <w:lang w:eastAsia="zh-CN"/>
                <w14:textFill>
                  <w14:solidFill>
                    <w14:schemeClr w14:val="tx1"/>
                  </w14:solidFill>
                </w14:textFill>
              </w:rPr>
              <w:t>本次扩建</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新增</w:t>
            </w:r>
            <w:r>
              <w:rPr>
                <w:rFonts w:hint="eastAsia" w:cs="Times New Roman"/>
                <w:bCs/>
                <w:color w:val="000000" w:themeColor="text1"/>
                <w:kern w:val="0"/>
                <w:sz w:val="21"/>
                <w:szCs w:val="21"/>
                <w:highlight w:val="none"/>
                <w:lang w:eastAsia="zh-CN"/>
                <w14:textFill>
                  <w14:solidFill>
                    <w14:schemeClr w14:val="tx1"/>
                  </w14:solidFill>
                </w14:textFill>
              </w:rPr>
              <w:t>生产</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废水</w:t>
            </w:r>
            <w:r>
              <w:rPr>
                <w:rFonts w:hint="eastAsia" w:cs="Times New Roman"/>
                <w:bCs/>
                <w:color w:val="000000" w:themeColor="text1"/>
                <w:kern w:val="0"/>
                <w:sz w:val="21"/>
                <w:szCs w:val="21"/>
                <w:highlight w:val="none"/>
                <w:lang w:eastAsia="zh-CN"/>
                <w14:textFill>
                  <w14:solidFill>
                    <w14:schemeClr w14:val="tx1"/>
                  </w14:solidFill>
                </w14:textFill>
              </w:rPr>
              <w:t>量</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为</w:t>
            </w:r>
            <w:r>
              <w:rPr>
                <w:rFonts w:hint="eastAsia" w:cs="Times New Roman"/>
                <w:color w:val="000000" w:themeColor="text1"/>
                <w:sz w:val="21"/>
                <w:szCs w:val="21"/>
                <w:highlight w:val="none"/>
                <w:lang w:val="en-US" w:eastAsia="zh-CN"/>
                <w14:textFill>
                  <w14:solidFill>
                    <w14:schemeClr w14:val="tx1"/>
                  </w14:solidFill>
                </w14:textFill>
              </w:rPr>
              <w:t>4.6345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/d（</w:t>
            </w:r>
            <w:r>
              <w:rPr>
                <w:rFonts w:hint="eastAsia" w:cs="Times New Roman"/>
                <w:color w:val="000000" w:themeColor="text1"/>
                <w:sz w:val="21"/>
                <w:szCs w:val="21"/>
                <w:highlight w:val="none"/>
                <w:lang w:val="en-US" w:eastAsia="zh-CN"/>
                <w14:textFill>
                  <w14:solidFill>
                    <w14:schemeClr w14:val="tx1"/>
                  </w14:solidFill>
                </w14:textFill>
              </w:rPr>
              <w:t>1390.35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/d）</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，通过新建</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1套污水处理设施（处理工艺为</w:t>
            </w:r>
            <w:r>
              <w:rPr>
                <w:rFonts w:hint="default" w:ascii="Times New Roman" w:hAnsi="Times New Roman" w:cs="Times New Roman"/>
                <w:snapToGrid w:val="0"/>
                <w:color w:val="000000" w:themeColor="text1"/>
                <w:kern w:val="0"/>
                <w:sz w:val="21"/>
                <w:szCs w:val="21"/>
                <w:highlight w:val="none"/>
                <w:lang w:eastAsia="zh-CN"/>
                <w14:textFill>
                  <w14:solidFill>
                    <w14:schemeClr w14:val="tx1"/>
                  </w14:solidFill>
                </w14:textFill>
              </w:rPr>
              <w:t>“隔油沉淀+调节+气浮+pH调节（调酸）+芬顿氧化+中和（调碱）+混凝沉淀+中和+水解酸化+MBR（微滤）</w:t>
            </w:r>
            <w:r>
              <w:rPr>
                <w:rFonts w:hint="default" w:ascii="Times New Roman" w:hAnsi="Times New Roman" w:cs="Times New Roman"/>
                <w:snapToGrid w:val="0"/>
                <w:color w:val="000000" w:themeColor="text1"/>
                <w:kern w:val="0"/>
                <w:sz w:val="21"/>
                <w:szCs w:val="21"/>
                <w:highlight w:val="none"/>
                <w:lang w:val="en-US" w:eastAsia="zh-CN"/>
                <w14:textFill>
                  <w14:solidFill>
                    <w14:schemeClr w14:val="tx1"/>
                  </w14:solidFill>
                </w14:textFill>
              </w:rPr>
              <w:t>+RO+高效蒸发器</w:t>
            </w:r>
            <w:r>
              <w:rPr>
                <w:rFonts w:hint="default" w:ascii="Times New Roman" w:hAnsi="Times New Roman" w:cs="Times New Roman"/>
                <w:snapToGrid w:val="0"/>
                <w:color w:val="000000" w:themeColor="text1"/>
                <w:kern w:val="0"/>
                <w:sz w:val="21"/>
                <w:szCs w:val="21"/>
                <w:highlight w:val="none"/>
                <w:lang w:eastAsia="zh-CN"/>
                <w14:textFill>
                  <w14:solidFill>
                    <w14:schemeClr w14:val="tx1"/>
                  </w14:solidFill>
                </w14:textFill>
              </w:rPr>
              <w:t>”</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）处理后，清水回用于</w:t>
            </w:r>
            <w:r>
              <w:rPr>
                <w:rFonts w:hint="eastAsia" w:cs="Times New Roman"/>
                <w:bCs/>
                <w:color w:val="000000" w:themeColor="text1"/>
                <w:kern w:val="0"/>
                <w:sz w:val="21"/>
                <w:szCs w:val="21"/>
                <w:highlight w:val="none"/>
                <w:lang w:val="en-US" w:eastAsia="zh-CN"/>
                <w14:textFill>
                  <w14:solidFill>
                    <w14:schemeClr w14:val="tx1"/>
                  </w14:solidFill>
                </w14:textFill>
              </w:rPr>
              <w:t>酸洗后</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冲洗环节，不外排</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浓水经高效蒸发处理后，蒸发残渣作为危险固废处置。</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
                <w:bCs/>
                <w:color w:val="000000" w:themeColor="text1"/>
                <w:kern w:val="0"/>
                <w:szCs w:val="21"/>
                <w:highlight w:val="none"/>
                <w14:textFill>
                  <w14:solidFill>
                    <w14:schemeClr w14:val="tx1"/>
                  </w14:solidFill>
                </w14:textFill>
              </w:rPr>
            </w:pPr>
            <w:r>
              <w:rPr>
                <w:rFonts w:hint="default" w:ascii="Times New Roman" w:hAnsi="Times New Roman" w:cs="Times New Roman"/>
                <w:b/>
                <w:bCs/>
                <w:color w:val="000000" w:themeColor="text1"/>
                <w:kern w:val="0"/>
                <w:szCs w:val="21"/>
                <w:highlight w:val="none"/>
                <w14:textFill>
                  <w14:solidFill>
                    <w14:schemeClr w14:val="tx1"/>
                  </w14:solidFill>
                </w14:textFill>
              </w:rPr>
              <w:t>（</w:t>
            </w:r>
            <w:r>
              <w:rPr>
                <w:rFonts w:hint="default" w:ascii="Times New Roman" w:hAnsi="Times New Roman" w:cs="Times New Roman"/>
                <w:b/>
                <w:bCs/>
                <w:color w:val="000000" w:themeColor="text1"/>
                <w:kern w:val="0"/>
                <w:szCs w:val="21"/>
                <w:highlight w:val="none"/>
                <w:lang w:val="en-US" w:eastAsia="zh-CN"/>
                <w14:textFill>
                  <w14:solidFill>
                    <w14:schemeClr w14:val="tx1"/>
                  </w14:solidFill>
                </w14:textFill>
              </w:rPr>
              <w:t>2</w:t>
            </w:r>
            <w:r>
              <w:rPr>
                <w:rFonts w:hint="default" w:ascii="Times New Roman" w:hAnsi="Times New Roman" w:cs="Times New Roman"/>
                <w:b/>
                <w:bCs/>
                <w:color w:val="000000" w:themeColor="text1"/>
                <w:kern w:val="0"/>
                <w:szCs w:val="21"/>
                <w:highlight w:val="none"/>
                <w14:textFill>
                  <w14:solidFill>
                    <w14:schemeClr w14:val="tx1"/>
                  </w14:solidFill>
                </w14:textFill>
              </w:rPr>
              <w:t>）输供电</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bCs/>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kern w:val="0"/>
                <w:szCs w:val="21"/>
                <w:highlight w:val="none"/>
                <w:lang w:eastAsia="zh-CN"/>
                <w14:textFill>
                  <w14:solidFill>
                    <w14:schemeClr w14:val="tx1"/>
                  </w14:solidFill>
                </w14:textFill>
              </w:rPr>
              <w:t>本次扩建工程</w:t>
            </w:r>
            <w:r>
              <w:rPr>
                <w:rFonts w:hint="eastAsia" w:cs="Times New Roman"/>
                <w:bCs/>
                <w:color w:val="000000" w:themeColor="text1"/>
                <w:kern w:val="0"/>
                <w:szCs w:val="21"/>
                <w:highlight w:val="none"/>
                <w:lang w:eastAsia="zh-CN"/>
                <w14:textFill>
                  <w14:solidFill>
                    <w14:schemeClr w14:val="tx1"/>
                  </w14:solidFill>
                </w14:textFill>
              </w:rPr>
              <w:t>新增</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年用电量为</w:t>
            </w:r>
            <w:r>
              <w:rPr>
                <w:rFonts w:hint="eastAsia" w:cs="Times New Roman"/>
                <w:bCs/>
                <w:color w:val="000000" w:themeColor="text1"/>
                <w:kern w:val="0"/>
                <w:szCs w:val="21"/>
                <w:highlight w:val="none"/>
                <w:lang w:val="en-US" w:eastAsia="zh-CN"/>
                <w14:textFill>
                  <w14:solidFill>
                    <w14:schemeClr w14:val="tx1"/>
                  </w14:solidFill>
                </w14:textFill>
              </w:rPr>
              <w:t>2</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50万kW‧h</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，通过现有工程配电室提供，来源由新乡县小冀镇市政供电管网</w:t>
            </w:r>
            <w:r>
              <w:rPr>
                <w:rFonts w:hint="default" w:ascii="Times New Roman" w:hAnsi="Times New Roman" w:cs="Times New Roman"/>
                <w:bCs/>
                <w:color w:val="000000" w:themeColor="text1"/>
                <w:kern w:val="0"/>
                <w:szCs w:val="21"/>
                <w:highlight w:val="none"/>
                <w14:textFill>
                  <w14:solidFill>
                    <w14:schemeClr w14:val="tx1"/>
                  </w14:solidFill>
                </w14:textFill>
              </w:rPr>
              <w:t>供给</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bCs/>
                <w:color w:val="000000" w:themeColor="text1"/>
                <w:kern w:val="0"/>
                <w:szCs w:val="21"/>
                <w:highlight w:val="none"/>
                <w14:textFill>
                  <w14:solidFill>
                    <w14:schemeClr w14:val="tx1"/>
                  </w14:solidFill>
                </w14:textFill>
              </w:rPr>
              <w:t>供电可满足本项目</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日常生产需求</w:t>
            </w:r>
            <w:r>
              <w:rPr>
                <w:rFonts w:hint="default" w:ascii="Times New Roman" w:hAnsi="Times New Roman" w:cs="Times New Roman"/>
                <w:bCs/>
                <w:color w:val="000000" w:themeColor="text1"/>
                <w:kern w:val="0"/>
                <w:szCs w:val="21"/>
                <w:highlight w:val="none"/>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
                <w:bCs w:val="0"/>
                <w:color w:val="000000" w:themeColor="text1"/>
                <w:kern w:val="0"/>
                <w:szCs w:val="21"/>
                <w:highlight w:val="none"/>
                <w:lang w:eastAsia="zh-CN"/>
                <w14:textFill>
                  <w14:solidFill>
                    <w14:schemeClr w14:val="tx1"/>
                  </w14:solidFill>
                </w14:textFill>
              </w:rPr>
            </w:pPr>
            <w:r>
              <w:rPr>
                <w:rFonts w:hint="default" w:ascii="Times New Roman" w:hAnsi="Times New Roman" w:cs="Times New Roman"/>
                <w:b/>
                <w:bCs w:val="0"/>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b/>
                <w:bCs w:val="0"/>
                <w:color w:val="000000" w:themeColor="text1"/>
                <w:kern w:val="0"/>
                <w:szCs w:val="21"/>
                <w:highlight w:val="none"/>
                <w:lang w:val="en-US" w:eastAsia="zh-CN"/>
                <w14:textFill>
                  <w14:solidFill>
                    <w14:schemeClr w14:val="tx1"/>
                  </w14:solidFill>
                </w14:textFill>
              </w:rPr>
              <w:t>3</w:t>
            </w:r>
            <w:r>
              <w:rPr>
                <w:rFonts w:hint="default" w:ascii="Times New Roman" w:hAnsi="Times New Roman" w:cs="Times New Roman"/>
                <w:b/>
                <w:bCs w:val="0"/>
                <w:color w:val="000000" w:themeColor="text1"/>
                <w:kern w:val="0"/>
                <w:szCs w:val="21"/>
                <w:highlight w:val="none"/>
                <w:lang w:eastAsia="zh-CN"/>
                <w14:textFill>
                  <w14:solidFill>
                    <w14:schemeClr w14:val="tx1"/>
                  </w14:solidFill>
                </w14:textFill>
              </w:rPr>
              <w:t>）供气</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textAlignment w:val="auto"/>
              <w:rPr>
                <w:rFonts w:hint="default"/>
                <w:color w:val="000000" w:themeColor="text1"/>
                <w:lang w:val="en-US" w:eastAsia="zh-CN"/>
                <w14:textFill>
                  <w14:solidFill>
                    <w14:schemeClr w14:val="tx1"/>
                  </w14:solidFill>
                </w14:textFill>
              </w:rPr>
            </w:pPr>
            <w:r>
              <w:rPr>
                <w:rFonts w:hint="default" w:ascii="Times New Roman" w:hAnsi="Times New Roman" w:cs="Times New Roman"/>
                <w:b w:val="0"/>
                <w:bCs/>
                <w:color w:val="000000" w:themeColor="text1"/>
                <w:kern w:val="0"/>
                <w:szCs w:val="21"/>
                <w:highlight w:val="none"/>
                <w:lang w:eastAsia="zh-CN"/>
                <w14:textFill>
                  <w14:solidFill>
                    <w14:schemeClr w14:val="tx1"/>
                  </w14:solidFill>
                </w14:textFill>
              </w:rPr>
              <w:t>现有工程设置</w:t>
            </w:r>
            <w:r>
              <w:rPr>
                <w:rFonts w:hint="default" w:ascii="Times New Roman" w:hAnsi="Times New Roman" w:cs="Times New Roman"/>
                <w:b w:val="0"/>
                <w:bCs/>
                <w:color w:val="000000" w:themeColor="text1"/>
                <w:kern w:val="0"/>
                <w:szCs w:val="21"/>
                <w:highlight w:val="none"/>
                <w:lang w:val="en-US" w:eastAsia="zh-CN"/>
                <w14:textFill>
                  <w14:solidFill>
                    <w14:schemeClr w14:val="tx1"/>
                  </w14:solidFill>
                </w14:textFill>
              </w:rPr>
              <w:t>5台燃气加热炉，</w:t>
            </w:r>
            <w:r>
              <w:rPr>
                <w:rFonts w:hint="default" w:ascii="Times New Roman" w:hAnsi="Times New Roman" w:cs="Times New Roman"/>
                <w:b w:val="0"/>
                <w:bCs/>
                <w:color w:val="000000" w:themeColor="text1"/>
                <w:kern w:val="0"/>
                <w:szCs w:val="21"/>
                <w:highlight w:val="none"/>
                <w:lang w:eastAsia="zh-CN"/>
                <w14:textFill>
                  <w14:solidFill>
                    <w14:schemeClr w14:val="tx1"/>
                  </w14:solidFill>
                </w14:textFill>
              </w:rPr>
              <w:t>本次扩建工程新增</w:t>
            </w:r>
            <w:r>
              <w:rPr>
                <w:rFonts w:hint="default" w:ascii="Times New Roman" w:hAnsi="Times New Roman" w:cs="Times New Roman"/>
                <w:b w:val="0"/>
                <w:bCs/>
                <w:color w:val="000000" w:themeColor="text1"/>
                <w:kern w:val="0"/>
                <w:szCs w:val="21"/>
                <w:highlight w:val="none"/>
                <w:lang w:val="en-US" w:eastAsia="zh-CN"/>
                <w14:textFill>
                  <w14:solidFill>
                    <w14:schemeClr w14:val="tx1"/>
                  </w14:solidFill>
                </w14:textFill>
              </w:rPr>
              <w:t>2台燃气式加热炉，根据企业提供的燃气式加热炉设备参数，燃气加热炉天然气消耗情况如下：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天然气加热炉燃气消耗情况</w:t>
            </w:r>
          </w:p>
          <w:tbl>
            <w:tblPr>
              <w:tblStyle w:val="22"/>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0"/>
              <w:gridCol w:w="1557"/>
              <w:gridCol w:w="1582"/>
              <w:gridCol w:w="1229"/>
              <w:gridCol w:w="1570"/>
              <w:gridCol w:w="157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27" w:type="dxa"/>
                  <w:gridSpan w:val="2"/>
                  <w:tcBorders>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类型</w:t>
                  </w:r>
                </w:p>
              </w:tc>
              <w:tc>
                <w:tcPr>
                  <w:tcW w:w="1582" w:type="dxa"/>
                  <w:tcBorders>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规格</w:t>
                  </w:r>
                </w:p>
              </w:tc>
              <w:tc>
                <w:tcPr>
                  <w:tcW w:w="1229" w:type="dxa"/>
                  <w:tcBorders>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年工作时间</w:t>
                  </w:r>
                </w:p>
              </w:tc>
              <w:tc>
                <w:tcPr>
                  <w:tcW w:w="1570" w:type="dxa"/>
                  <w:tcBorders>
                    <w:righ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天然气小时耗量（</w:t>
                  </w:r>
                  <w:r>
                    <w:rPr>
                      <w:rFonts w:hint="default" w:ascii="Times New Roman" w:hAnsi="Times New Roman" w:cs="Times New Roman"/>
                      <w:b w:val="0"/>
                      <w:bCs/>
                      <w:color w:val="000000" w:themeColor="text1"/>
                      <w:kern w:val="0"/>
                      <w:szCs w:val="21"/>
                      <w:highlight w:val="none"/>
                      <w:lang w:val="en-US" w:eastAsia="zh-CN"/>
                      <w14:textFill>
                        <w14:solidFill>
                          <w14:schemeClr w14:val="tx1"/>
                        </w14:solidFill>
                      </w14:textFill>
                    </w:rPr>
                    <w:t>m</w:t>
                  </w:r>
                  <w:r>
                    <w:rPr>
                      <w:rFonts w:hint="default" w:ascii="Times New Roman" w:hAnsi="Times New Roman" w:cs="Times New Roman"/>
                      <w:b w:val="0"/>
                      <w:bCs/>
                      <w:color w:val="000000" w:themeColor="text1"/>
                      <w:kern w:val="0"/>
                      <w:szCs w:val="21"/>
                      <w:highlight w:val="none"/>
                      <w:vertAlign w:val="superscript"/>
                      <w:lang w:val="en-US" w:eastAsia="zh-CN"/>
                      <w14:textFill>
                        <w14:solidFill>
                          <w14:schemeClr w14:val="tx1"/>
                        </w14:solidFill>
                      </w14:textFill>
                    </w:rPr>
                    <w:t>3</w:t>
                  </w:r>
                  <w:r>
                    <w:rPr>
                      <w:rFonts w:hint="default" w:ascii="Times New Roman" w:hAnsi="Times New Roman" w:cs="Times New Roman"/>
                      <w:b w:val="0"/>
                      <w:bCs/>
                      <w:color w:val="000000" w:themeColor="text1"/>
                      <w:kern w:val="0"/>
                      <w:szCs w:val="21"/>
                      <w:highlight w:val="none"/>
                      <w:lang w:val="en-US" w:eastAsia="zh-CN"/>
                      <w14:textFill>
                        <w14:solidFill>
                          <w14:schemeClr w14:val="tx1"/>
                        </w14:solidFill>
                      </w14:textFill>
                    </w:rPr>
                    <w:t>/h</w:t>
                  </w: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w:t>
                  </w:r>
                </w:p>
              </w:tc>
              <w:tc>
                <w:tcPr>
                  <w:tcW w:w="1571" w:type="dxa"/>
                  <w:tcBorders>
                    <w:lef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天然气年耗量</w:t>
                  </w:r>
                  <w:r>
                    <w:rPr>
                      <w:rFonts w:hint="default" w:ascii="Times New Roman" w:hAnsi="Times New Roman" w:cs="Times New Roman"/>
                      <w:b w:val="0"/>
                      <w:bCs/>
                      <w:color w:val="000000" w:themeColor="text1"/>
                      <w:kern w:val="0"/>
                      <w:szCs w:val="21"/>
                      <w:highlight w:val="none"/>
                      <w:lang w:val="en-US" w:eastAsia="zh-CN"/>
                      <w14:textFill>
                        <w14:solidFill>
                          <w14:schemeClr w14:val="tx1"/>
                        </w14:solidFill>
                      </w14:textFill>
                    </w:rPr>
                    <w:t>（m</w:t>
                  </w:r>
                  <w:r>
                    <w:rPr>
                      <w:rFonts w:hint="default" w:ascii="Times New Roman" w:hAnsi="Times New Roman" w:cs="Times New Roman"/>
                      <w:b w:val="0"/>
                      <w:bCs/>
                      <w:color w:val="000000" w:themeColor="text1"/>
                      <w:kern w:val="0"/>
                      <w:szCs w:val="21"/>
                      <w:highlight w:val="none"/>
                      <w:vertAlign w:val="superscript"/>
                      <w:lang w:val="en-US" w:eastAsia="zh-CN"/>
                      <w14:textFill>
                        <w14:solidFill>
                          <w14:schemeClr w14:val="tx1"/>
                        </w14:solidFill>
                      </w14:textFill>
                    </w:rPr>
                    <w:t>3</w:t>
                  </w:r>
                  <w:r>
                    <w:rPr>
                      <w:rFonts w:hint="default" w:ascii="Times New Roman" w:hAnsi="Times New Roman" w:cs="Times New Roman"/>
                      <w:b w:val="0"/>
                      <w:bCs/>
                      <w:color w:val="000000" w:themeColor="text1"/>
                      <w:kern w:val="0"/>
                      <w:szCs w:val="21"/>
                      <w:highlight w:val="none"/>
                      <w:lang w:val="en-US" w:eastAsia="zh-CN"/>
                      <w14:textFill>
                        <w14:solidFill>
                          <w14:schemeClr w14:val="tx1"/>
                        </w14:solidFill>
                      </w14:textFill>
                    </w:rPr>
                    <w:t>/a）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Merge w:val="restart"/>
                  <w:tcBorders>
                    <w:righ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现有工程</w:t>
                  </w:r>
                </w:p>
              </w:tc>
              <w:tc>
                <w:tcPr>
                  <w:tcW w:w="1557" w:type="dxa"/>
                  <w:tcBorders>
                    <w:lef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1#燃气加热炉</w:t>
                  </w:r>
                </w:p>
              </w:tc>
              <w:tc>
                <w:tcPr>
                  <w:tcW w:w="1582" w:type="dxa"/>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3m×3m×2m</w:t>
                  </w:r>
                </w:p>
              </w:tc>
              <w:tc>
                <w:tcPr>
                  <w:tcW w:w="1229" w:type="dxa"/>
                  <w:tcBorders>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2400h</w:t>
                  </w:r>
                </w:p>
              </w:tc>
              <w:tc>
                <w:tcPr>
                  <w:tcW w:w="1570" w:type="dxa"/>
                  <w:tcBorders>
                    <w:righ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150</w:t>
                  </w:r>
                </w:p>
              </w:tc>
              <w:tc>
                <w:tcPr>
                  <w:tcW w:w="1571" w:type="dxa"/>
                  <w:tcBorders>
                    <w:lef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360000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Merge w:val="continue"/>
                  <w:tcBorders>
                    <w:righ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557" w:type="dxa"/>
                  <w:tcBorders>
                    <w:lef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2#燃气加热炉</w:t>
                  </w:r>
                </w:p>
              </w:tc>
              <w:tc>
                <w:tcPr>
                  <w:tcW w:w="1582" w:type="dxa"/>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5.3m×5.3m×2m</w:t>
                  </w:r>
                </w:p>
              </w:tc>
              <w:tc>
                <w:tcPr>
                  <w:tcW w:w="1229" w:type="dxa"/>
                  <w:tcBorders>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2400h</w:t>
                  </w:r>
                </w:p>
              </w:tc>
              <w:tc>
                <w:tcPr>
                  <w:tcW w:w="1570" w:type="dxa"/>
                  <w:tcBorders>
                    <w:righ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180</w:t>
                  </w:r>
                </w:p>
              </w:tc>
              <w:tc>
                <w:tcPr>
                  <w:tcW w:w="1571" w:type="dxa"/>
                  <w:tcBorders>
                    <w:lef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432000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Merge w:val="continue"/>
                  <w:tcBorders>
                    <w:righ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557" w:type="dxa"/>
                  <w:tcBorders>
                    <w:lef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3#燃气加热炉</w:t>
                  </w:r>
                </w:p>
              </w:tc>
              <w:tc>
                <w:tcPr>
                  <w:tcW w:w="1582" w:type="dxa"/>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6.5m×6.5m×2m</w:t>
                  </w:r>
                </w:p>
              </w:tc>
              <w:tc>
                <w:tcPr>
                  <w:tcW w:w="1229" w:type="dxa"/>
                  <w:tcBorders>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2400h</w:t>
                  </w:r>
                </w:p>
              </w:tc>
              <w:tc>
                <w:tcPr>
                  <w:tcW w:w="1570" w:type="dxa"/>
                  <w:tcBorders>
                    <w:righ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180</w:t>
                  </w:r>
                </w:p>
              </w:tc>
              <w:tc>
                <w:tcPr>
                  <w:tcW w:w="1571" w:type="dxa"/>
                  <w:tcBorders>
                    <w:lef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432000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Merge w:val="continue"/>
                  <w:tcBorders>
                    <w:righ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557" w:type="dxa"/>
                  <w:tcBorders>
                    <w:lef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4#燃气加热炉</w:t>
                  </w:r>
                </w:p>
              </w:tc>
              <w:tc>
                <w:tcPr>
                  <w:tcW w:w="1582" w:type="dxa"/>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7.5m×7.5m×2.5m</w:t>
                  </w:r>
                </w:p>
              </w:tc>
              <w:tc>
                <w:tcPr>
                  <w:tcW w:w="1229" w:type="dxa"/>
                  <w:tcBorders>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2400h</w:t>
                  </w:r>
                </w:p>
              </w:tc>
              <w:tc>
                <w:tcPr>
                  <w:tcW w:w="1570" w:type="dxa"/>
                  <w:tcBorders>
                    <w:righ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200</w:t>
                  </w:r>
                </w:p>
              </w:tc>
              <w:tc>
                <w:tcPr>
                  <w:tcW w:w="1571" w:type="dxa"/>
                  <w:tcBorders>
                    <w:lef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480000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Merge w:val="continue"/>
                  <w:tcBorders>
                    <w:righ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557" w:type="dxa"/>
                  <w:tcBorders>
                    <w:lef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5#燃气加热炉</w:t>
                  </w:r>
                </w:p>
              </w:tc>
              <w:tc>
                <w:tcPr>
                  <w:tcW w:w="1582" w:type="dxa"/>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7.5m×7.5m×2.5m</w:t>
                  </w:r>
                </w:p>
              </w:tc>
              <w:tc>
                <w:tcPr>
                  <w:tcW w:w="1229" w:type="dxa"/>
                  <w:tcBorders>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2400h</w:t>
                  </w:r>
                </w:p>
              </w:tc>
              <w:tc>
                <w:tcPr>
                  <w:tcW w:w="1570" w:type="dxa"/>
                  <w:tcBorders>
                    <w:righ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200</w:t>
                  </w:r>
                </w:p>
              </w:tc>
              <w:tc>
                <w:tcPr>
                  <w:tcW w:w="1571" w:type="dxa"/>
                  <w:tcBorders>
                    <w:lef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480000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Merge w:val="continue"/>
                  <w:tcBorders>
                    <w:righ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4368" w:type="dxa"/>
                  <w:gridSpan w:val="3"/>
                  <w:tcBorders>
                    <w:lef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合计</w:t>
                  </w:r>
                </w:p>
              </w:tc>
              <w:tc>
                <w:tcPr>
                  <w:tcW w:w="1570" w:type="dxa"/>
                  <w:tcBorders>
                    <w:righ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910</w:t>
                  </w:r>
                </w:p>
              </w:tc>
              <w:tc>
                <w:tcPr>
                  <w:tcW w:w="1571" w:type="dxa"/>
                  <w:tcBorders>
                    <w:lef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i w:val="0"/>
                      <w:iCs w:val="0"/>
                      <w:color w:val="000000" w:themeColor="text1"/>
                      <w:kern w:val="2"/>
                      <w:sz w:val="18"/>
                      <w:szCs w:val="18"/>
                      <w:u w:val="none"/>
                      <w:lang w:val="en-US" w:eastAsia="zh-CN" w:bidi="ar-SA"/>
                      <w14:textFill>
                        <w14:solidFill>
                          <w14:schemeClr w14:val="tx1"/>
                        </w14:solidFill>
                      </w14:textFill>
                    </w:rPr>
                  </w:pPr>
                  <w:r>
                    <w:rPr>
                      <w:rFonts w:hint="default" w:ascii="Times New Roman" w:hAnsi="Times New Roman" w:cs="Times New Roman"/>
                      <w:i w:val="0"/>
                      <w:iCs w:val="0"/>
                      <w:color w:val="000000" w:themeColor="text1"/>
                      <w:kern w:val="2"/>
                      <w:sz w:val="18"/>
                      <w:szCs w:val="18"/>
                      <w:u w:val="none"/>
                      <w:lang w:val="en-US" w:eastAsia="zh-CN" w:bidi="ar-SA"/>
                      <w14:textFill>
                        <w14:solidFill>
                          <w14:schemeClr w14:val="tx1"/>
                        </w14:solidFill>
                      </w14:textFill>
                    </w:rPr>
                    <w:t>2184000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Merge w:val="restart"/>
                  <w:tcBorders>
                    <w:righ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bidi="ar-SA"/>
                      <w14:textFill>
                        <w14:solidFill>
                          <w14:schemeClr w14:val="tx1"/>
                        </w14:solidFill>
                      </w14:textFill>
                    </w:rPr>
                    <w:t>本次扩建工程</w:t>
                  </w:r>
                </w:p>
              </w:tc>
              <w:tc>
                <w:tcPr>
                  <w:tcW w:w="1557" w:type="dxa"/>
                  <w:tcBorders>
                    <w:lef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6#燃气加热炉</w:t>
                  </w:r>
                </w:p>
              </w:tc>
              <w:tc>
                <w:tcPr>
                  <w:tcW w:w="1582"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8.5m×8m×2.5m</w:t>
                  </w:r>
                </w:p>
              </w:tc>
              <w:tc>
                <w:tcPr>
                  <w:tcW w:w="1229" w:type="dxa"/>
                  <w:tcBorders>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2400h</w:t>
                  </w:r>
                </w:p>
              </w:tc>
              <w:tc>
                <w:tcPr>
                  <w:tcW w:w="1570" w:type="dxa"/>
                  <w:tcBorders>
                    <w:righ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200</w:t>
                  </w:r>
                </w:p>
              </w:tc>
              <w:tc>
                <w:tcPr>
                  <w:tcW w:w="1571" w:type="dxa"/>
                  <w:tcBorders>
                    <w:lef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480000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Merge w:val="continue"/>
                  <w:tcBorders>
                    <w:righ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bidi="ar-SA"/>
                      <w14:textFill>
                        <w14:solidFill>
                          <w14:schemeClr w14:val="tx1"/>
                        </w14:solidFill>
                      </w14:textFill>
                    </w:rPr>
                  </w:pPr>
                </w:p>
              </w:tc>
              <w:tc>
                <w:tcPr>
                  <w:tcW w:w="1557" w:type="dxa"/>
                  <w:tcBorders>
                    <w:lef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7#燃气加热炉</w:t>
                  </w:r>
                </w:p>
              </w:tc>
              <w:tc>
                <w:tcPr>
                  <w:tcW w:w="1582"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10m×10m×2.5m</w:t>
                  </w:r>
                </w:p>
              </w:tc>
              <w:tc>
                <w:tcPr>
                  <w:tcW w:w="1229" w:type="dxa"/>
                  <w:tcBorders>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2400h</w:t>
                  </w:r>
                </w:p>
              </w:tc>
              <w:tc>
                <w:tcPr>
                  <w:tcW w:w="1570" w:type="dxa"/>
                  <w:tcBorders>
                    <w:righ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250</w:t>
                  </w:r>
                </w:p>
              </w:tc>
              <w:tc>
                <w:tcPr>
                  <w:tcW w:w="1571" w:type="dxa"/>
                  <w:tcBorders>
                    <w:lef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600000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Merge w:val="continue"/>
                  <w:tcBorders>
                    <w:righ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p>
              </w:tc>
              <w:tc>
                <w:tcPr>
                  <w:tcW w:w="4368" w:type="dxa"/>
                  <w:gridSpan w:val="3"/>
                  <w:tcBorders>
                    <w:lef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合计</w:t>
                  </w:r>
                </w:p>
              </w:tc>
              <w:tc>
                <w:tcPr>
                  <w:tcW w:w="1570" w:type="dxa"/>
                  <w:tcBorders>
                    <w:right w:val="single" w:color="000000" w:sz="4" w:space="0"/>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450</w:t>
                  </w:r>
                </w:p>
              </w:tc>
              <w:tc>
                <w:tcPr>
                  <w:tcW w:w="1571" w:type="dxa"/>
                  <w:tcBorders>
                    <w:lef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i w:val="0"/>
                      <w:iCs w:val="0"/>
                      <w:color w:val="000000" w:themeColor="text1"/>
                      <w:kern w:val="2"/>
                      <w:sz w:val="18"/>
                      <w:szCs w:val="18"/>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1080000</w:t>
                  </w:r>
                </w:p>
              </w:tc>
            </w:tr>
          </w:tbl>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b w:val="0"/>
                <w:bCs/>
                <w:color w:val="000000" w:themeColor="text1"/>
                <w:kern w:val="0"/>
                <w:szCs w:val="21"/>
                <w:highlight w:val="none"/>
                <w:lang w:eastAsia="zh-CN"/>
                <w14:textFill>
                  <w14:solidFill>
                    <w14:schemeClr w14:val="tx1"/>
                  </w14:solidFill>
                </w14:textFill>
              </w:rPr>
            </w:pPr>
            <w:r>
              <w:rPr>
                <w:rFonts w:hint="default" w:ascii="Times New Roman" w:hAnsi="Times New Roman" w:cs="Times New Roman"/>
                <w:b w:val="0"/>
                <w:bCs/>
                <w:color w:val="000000" w:themeColor="text1"/>
                <w:kern w:val="0"/>
                <w:sz w:val="21"/>
                <w:szCs w:val="21"/>
                <w:highlight w:val="none"/>
                <w:lang w:val="en-US" w:eastAsia="zh-CN"/>
                <w14:textFill>
                  <w14:solidFill>
                    <w14:schemeClr w14:val="tx1"/>
                  </w14:solidFill>
                </w14:textFill>
              </w:rPr>
              <w:t>由上表可知，现有工程天然气消耗量为</w:t>
            </w:r>
            <w:r>
              <w:rPr>
                <w:rFonts w:hint="eastAsia" w:cs="Times New Roman"/>
                <w:b w:val="0"/>
                <w:bCs/>
                <w:color w:val="000000" w:themeColor="text1"/>
                <w:kern w:val="0"/>
                <w:sz w:val="21"/>
                <w:szCs w:val="21"/>
                <w:highlight w:val="none"/>
                <w:lang w:val="en-US" w:eastAsia="zh-CN"/>
                <w14:textFill>
                  <w14:solidFill>
                    <w14:schemeClr w14:val="tx1"/>
                  </w14:solidFill>
                </w14:textFill>
              </w:rPr>
              <w:t>910</w:t>
            </w:r>
            <w:r>
              <w:rPr>
                <w:rFonts w:hint="default" w:ascii="Times New Roman" w:hAnsi="Times New Roman" w:cs="Times New Roman"/>
                <w:b w:val="0"/>
                <w:bCs/>
                <w:color w:val="000000" w:themeColor="text1"/>
                <w:kern w:val="0"/>
                <w:sz w:val="21"/>
                <w:szCs w:val="21"/>
                <w:highlight w:val="none"/>
                <w:lang w:val="en-US" w:eastAsia="zh-CN"/>
                <w14:textFill>
                  <w14:solidFill>
                    <w14:schemeClr w14:val="tx1"/>
                  </w14:solidFill>
                </w14:textFill>
              </w:rPr>
              <w:t>m</w:t>
            </w:r>
            <w:r>
              <w:rPr>
                <w:rFonts w:hint="default" w:ascii="Times New Roman" w:hAnsi="Times New Roman" w:cs="Times New Roman"/>
                <w:b w:val="0"/>
                <w:bCs/>
                <w:color w:val="000000" w:themeColor="text1"/>
                <w:kern w:val="0"/>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b w:val="0"/>
                <w:bCs/>
                <w:color w:val="000000" w:themeColor="text1"/>
                <w:kern w:val="0"/>
                <w:sz w:val="21"/>
                <w:szCs w:val="21"/>
                <w:highlight w:val="none"/>
                <w:lang w:val="en-US" w:eastAsia="zh-CN"/>
                <w14:textFill>
                  <w14:solidFill>
                    <w14:schemeClr w14:val="tx1"/>
                  </w14:solidFill>
                </w14:textFill>
              </w:rPr>
              <w:t>/</w:t>
            </w:r>
            <w:r>
              <w:rPr>
                <w:rFonts w:hint="eastAsia" w:cs="Times New Roman"/>
                <w:b w:val="0"/>
                <w:bCs/>
                <w:color w:val="000000" w:themeColor="text1"/>
                <w:kern w:val="0"/>
                <w:sz w:val="21"/>
                <w:szCs w:val="21"/>
                <w:highlight w:val="none"/>
                <w:lang w:val="en-US" w:eastAsia="zh-CN"/>
                <w14:textFill>
                  <w14:solidFill>
                    <w14:schemeClr w14:val="tx1"/>
                  </w14:solidFill>
                </w14:textFill>
              </w:rPr>
              <w:t>h</w:t>
            </w:r>
            <w:r>
              <w:rPr>
                <w:rFonts w:hint="default" w:ascii="Times New Roman" w:hAnsi="Times New Roman" w:cs="Times New Roman"/>
                <w:b w:val="0"/>
                <w:bCs/>
                <w:color w:val="000000" w:themeColor="text1"/>
                <w:kern w:val="0"/>
                <w:sz w:val="21"/>
                <w:szCs w:val="21"/>
                <w:highlight w:val="none"/>
                <w:lang w:val="en-US" w:eastAsia="zh-CN"/>
                <w14:textFill>
                  <w14:solidFill>
                    <w14:schemeClr w14:val="tx1"/>
                  </w14:solidFill>
                </w14:textFill>
              </w:rPr>
              <w:t>，本次扩建工程</w:t>
            </w:r>
            <w:r>
              <w:rPr>
                <w:rFonts w:hint="eastAsia" w:cs="Times New Roman"/>
                <w:b w:val="0"/>
                <w:bCs/>
                <w:color w:val="000000" w:themeColor="text1"/>
                <w:kern w:val="0"/>
                <w:sz w:val="21"/>
                <w:szCs w:val="21"/>
                <w:highlight w:val="none"/>
                <w:lang w:val="en-US" w:eastAsia="zh-CN"/>
                <w14:textFill>
                  <w14:solidFill>
                    <w14:schemeClr w14:val="tx1"/>
                  </w14:solidFill>
                </w14:textFill>
              </w:rPr>
              <w:t>新增</w:t>
            </w:r>
            <w:r>
              <w:rPr>
                <w:rFonts w:hint="default" w:ascii="Times New Roman" w:hAnsi="Times New Roman" w:cs="Times New Roman"/>
                <w:b w:val="0"/>
                <w:bCs/>
                <w:color w:val="000000" w:themeColor="text1"/>
                <w:kern w:val="0"/>
                <w:sz w:val="21"/>
                <w:szCs w:val="21"/>
                <w:highlight w:val="none"/>
                <w:lang w:val="en-US" w:eastAsia="zh-CN"/>
                <w14:textFill>
                  <w14:solidFill>
                    <w14:schemeClr w14:val="tx1"/>
                  </w14:solidFill>
                </w14:textFill>
              </w:rPr>
              <w:t>天然气消耗量为</w:t>
            </w:r>
            <w:r>
              <w:rPr>
                <w:rFonts w:hint="eastAsia" w:cs="Times New Roman"/>
                <w:b w:val="0"/>
                <w:bCs/>
                <w:color w:val="000000" w:themeColor="text1"/>
                <w:kern w:val="0"/>
                <w:sz w:val="21"/>
                <w:szCs w:val="21"/>
                <w:highlight w:val="none"/>
                <w:lang w:val="en-US" w:eastAsia="zh-CN"/>
                <w14:textFill>
                  <w14:solidFill>
                    <w14:schemeClr w14:val="tx1"/>
                  </w14:solidFill>
                </w14:textFill>
              </w:rPr>
              <w:t>450</w:t>
            </w:r>
            <w:r>
              <w:rPr>
                <w:rFonts w:hint="default" w:ascii="Times New Roman" w:hAnsi="Times New Roman" w:cs="Times New Roman"/>
                <w:b w:val="0"/>
                <w:bCs/>
                <w:color w:val="000000" w:themeColor="text1"/>
                <w:kern w:val="0"/>
                <w:sz w:val="21"/>
                <w:szCs w:val="21"/>
                <w:highlight w:val="none"/>
                <w:lang w:val="en-US" w:eastAsia="zh-CN"/>
                <w14:textFill>
                  <w14:solidFill>
                    <w14:schemeClr w14:val="tx1"/>
                  </w14:solidFill>
                </w14:textFill>
              </w:rPr>
              <w:t>m</w:t>
            </w:r>
            <w:r>
              <w:rPr>
                <w:rFonts w:hint="default" w:ascii="Times New Roman" w:hAnsi="Times New Roman" w:cs="Times New Roman"/>
                <w:b w:val="0"/>
                <w:bCs/>
                <w:color w:val="000000" w:themeColor="text1"/>
                <w:kern w:val="0"/>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b w:val="0"/>
                <w:bCs/>
                <w:color w:val="000000" w:themeColor="text1"/>
                <w:kern w:val="0"/>
                <w:sz w:val="21"/>
                <w:szCs w:val="21"/>
                <w:highlight w:val="none"/>
                <w:lang w:val="en-US" w:eastAsia="zh-CN"/>
                <w14:textFill>
                  <w14:solidFill>
                    <w14:schemeClr w14:val="tx1"/>
                  </w14:solidFill>
                </w14:textFill>
              </w:rPr>
              <w:t>/</w:t>
            </w:r>
            <w:r>
              <w:rPr>
                <w:rFonts w:hint="eastAsia" w:cs="Times New Roman"/>
                <w:b w:val="0"/>
                <w:bCs/>
                <w:color w:val="000000" w:themeColor="text1"/>
                <w:kern w:val="0"/>
                <w:sz w:val="21"/>
                <w:szCs w:val="21"/>
                <w:highlight w:val="none"/>
                <w:lang w:val="en-US" w:eastAsia="zh-CN"/>
                <w14:textFill>
                  <w14:solidFill>
                    <w14:schemeClr w14:val="tx1"/>
                  </w14:solidFill>
                </w14:textFill>
              </w:rPr>
              <w:t>h，扩建后全厂天然气用量为1360</w:t>
            </w:r>
            <w:r>
              <w:rPr>
                <w:rFonts w:hint="default" w:ascii="Times New Roman" w:hAnsi="Times New Roman" w:cs="Times New Roman"/>
                <w:b w:val="0"/>
                <w:bCs/>
                <w:color w:val="000000" w:themeColor="text1"/>
                <w:kern w:val="0"/>
                <w:sz w:val="21"/>
                <w:szCs w:val="21"/>
                <w:highlight w:val="none"/>
                <w:lang w:val="en-US" w:eastAsia="zh-CN"/>
                <w14:textFill>
                  <w14:solidFill>
                    <w14:schemeClr w14:val="tx1"/>
                  </w14:solidFill>
                </w14:textFill>
              </w:rPr>
              <w:t>m</w:t>
            </w:r>
            <w:r>
              <w:rPr>
                <w:rFonts w:hint="default" w:ascii="Times New Roman" w:hAnsi="Times New Roman" w:cs="Times New Roman"/>
                <w:b w:val="0"/>
                <w:bCs/>
                <w:color w:val="000000" w:themeColor="text1"/>
                <w:kern w:val="0"/>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b w:val="0"/>
                <w:bCs/>
                <w:color w:val="000000" w:themeColor="text1"/>
                <w:kern w:val="0"/>
                <w:sz w:val="21"/>
                <w:szCs w:val="21"/>
                <w:highlight w:val="none"/>
                <w:lang w:val="en-US" w:eastAsia="zh-CN"/>
                <w14:textFill>
                  <w14:solidFill>
                    <w14:schemeClr w14:val="tx1"/>
                  </w14:solidFill>
                </w14:textFill>
              </w:rPr>
              <w:t>/</w:t>
            </w:r>
            <w:r>
              <w:rPr>
                <w:rFonts w:hint="eastAsia" w:cs="Times New Roman"/>
                <w:b w:val="0"/>
                <w:bCs/>
                <w:color w:val="000000" w:themeColor="text1"/>
                <w:kern w:val="0"/>
                <w:sz w:val="21"/>
                <w:szCs w:val="21"/>
                <w:highlight w:val="none"/>
                <w:lang w:val="en-US" w:eastAsia="zh-CN"/>
                <w14:textFill>
                  <w14:solidFill>
                    <w14:schemeClr w14:val="tx1"/>
                  </w14:solidFill>
                </w14:textFill>
              </w:rPr>
              <w:t>h，</w:t>
            </w:r>
            <w:r>
              <w:rPr>
                <w:rFonts w:hint="default" w:ascii="Times New Roman" w:hAnsi="Times New Roman" w:cs="Times New Roman"/>
                <w:b w:val="0"/>
                <w:bCs/>
                <w:color w:val="000000" w:themeColor="text1"/>
                <w:kern w:val="0"/>
                <w:sz w:val="21"/>
                <w:szCs w:val="21"/>
                <w:highlight w:val="none"/>
                <w:lang w:val="en-US" w:eastAsia="zh-CN"/>
                <w14:textFill>
                  <w14:solidFill>
                    <w14:schemeClr w14:val="tx1"/>
                  </w14:solidFill>
                </w14:textFill>
              </w:rPr>
              <w:t>本次工程依托厂区内现有</w:t>
            </w:r>
            <w:r>
              <w:rPr>
                <w:rFonts w:hint="default" w:ascii="Times New Roman" w:hAnsi="Times New Roman" w:cs="Times New Roman"/>
                <w:b w:val="0"/>
                <w:bCs/>
                <w:color w:val="000000" w:themeColor="text1"/>
                <w:kern w:val="0"/>
                <w:sz w:val="21"/>
                <w:szCs w:val="21"/>
                <w:highlight w:val="none"/>
                <w:lang w:eastAsia="zh-CN"/>
                <w14:textFill>
                  <w14:solidFill>
                    <w14:schemeClr w14:val="tx1"/>
                  </w14:solidFill>
                </w14:textFill>
              </w:rPr>
              <w:t>天然气燃气管道供应，由新乡县欣鹏燃气有限公司提供，天然</w:t>
            </w:r>
            <w:r>
              <w:rPr>
                <w:rFonts w:hint="default" w:ascii="Times New Roman" w:hAnsi="Times New Roman" w:cs="Times New Roman"/>
                <w:b w:val="0"/>
                <w:bCs/>
                <w:color w:val="000000" w:themeColor="text1"/>
                <w:kern w:val="0"/>
                <w:szCs w:val="21"/>
                <w:highlight w:val="none"/>
                <w:lang w:eastAsia="zh-CN"/>
                <w14:textFill>
                  <w14:solidFill>
                    <w14:schemeClr w14:val="tx1"/>
                  </w14:solidFill>
                </w14:textFill>
              </w:rPr>
              <w:t>气来源为“西气东输”，目前管线最大供气能力可达</w:t>
            </w:r>
            <w:r>
              <w:rPr>
                <w:rFonts w:hint="default" w:ascii="Times New Roman" w:hAnsi="Times New Roman" w:cs="Times New Roman"/>
                <w:b w:val="0"/>
                <w:bCs/>
                <w:color w:val="000000" w:themeColor="text1"/>
                <w:kern w:val="0"/>
                <w:szCs w:val="21"/>
                <w:highlight w:val="none"/>
                <w:lang w:val="en-US" w:eastAsia="zh-CN"/>
                <w14:textFill>
                  <w14:solidFill>
                    <w14:schemeClr w14:val="tx1"/>
                  </w14:solidFill>
                </w14:textFill>
              </w:rPr>
              <w:t>1500m</w:t>
            </w:r>
            <w:r>
              <w:rPr>
                <w:rFonts w:hint="default" w:ascii="Times New Roman" w:hAnsi="Times New Roman" w:cs="Times New Roman"/>
                <w:b w:val="0"/>
                <w:bCs/>
                <w:color w:val="000000" w:themeColor="text1"/>
                <w:kern w:val="0"/>
                <w:szCs w:val="21"/>
                <w:highlight w:val="none"/>
                <w:vertAlign w:val="superscript"/>
                <w:lang w:val="en-US" w:eastAsia="zh-CN"/>
                <w14:textFill>
                  <w14:solidFill>
                    <w14:schemeClr w14:val="tx1"/>
                  </w14:solidFill>
                </w14:textFill>
              </w:rPr>
              <w:t>3</w:t>
            </w:r>
            <w:r>
              <w:rPr>
                <w:rFonts w:hint="default" w:ascii="Times New Roman" w:hAnsi="Times New Roman" w:cs="Times New Roman"/>
                <w:b w:val="0"/>
                <w:bCs/>
                <w:color w:val="000000" w:themeColor="text1"/>
                <w:kern w:val="0"/>
                <w:szCs w:val="21"/>
                <w:highlight w:val="none"/>
                <w:lang w:val="en-US" w:eastAsia="zh-CN"/>
                <w14:textFill>
                  <w14:solidFill>
                    <w14:schemeClr w14:val="tx1"/>
                  </w14:solidFill>
                </w14:textFill>
              </w:rPr>
              <w:t>/h，能够满足本次扩建工程生产需求</w:t>
            </w:r>
            <w:r>
              <w:rPr>
                <w:rFonts w:hint="default" w:ascii="Times New Roman" w:hAnsi="Times New Roman" w:cs="Times New Roman"/>
                <w:b w:val="0"/>
                <w:bCs/>
                <w:color w:val="000000" w:themeColor="text1"/>
                <w:kern w:val="0"/>
                <w:szCs w:val="21"/>
                <w:highlight w:val="none"/>
                <w:lang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
                <w:color w:val="000000" w:themeColor="text1"/>
                <w:kern w:val="0"/>
                <w:sz w:val="21"/>
                <w:szCs w:val="21"/>
                <w:highlight w:val="none"/>
                <w14:textFill>
                  <w14:solidFill>
                    <w14:schemeClr w14:val="tx1"/>
                  </w14:solidFill>
                </w14:textFill>
              </w:rPr>
            </w:pPr>
            <w:r>
              <w:rPr>
                <w:rFonts w:hint="default" w:ascii="Times New Roman" w:hAnsi="Times New Roman" w:cs="Times New Roman"/>
                <w:b/>
                <w:bCs w:val="0"/>
                <w:color w:val="000000" w:themeColor="text1"/>
                <w:kern w:val="0"/>
                <w:szCs w:val="21"/>
                <w:highlight w:val="none"/>
                <w:lang w:val="en-US" w:eastAsia="zh-CN"/>
                <w14:textFill>
                  <w14:solidFill>
                    <w14:schemeClr w14:val="tx1"/>
                  </w14:solidFill>
                </w14:textFill>
              </w:rPr>
              <w:t>8、</w:t>
            </w:r>
            <w:r>
              <w:rPr>
                <w:rFonts w:hint="default" w:ascii="Times New Roman" w:hAnsi="Times New Roman" w:cs="Times New Roman"/>
                <w:b/>
                <w:bCs w:val="0"/>
                <w:color w:val="000000" w:themeColor="text1"/>
                <w:kern w:val="0"/>
                <w:sz w:val="21"/>
                <w:szCs w:val="21"/>
                <w:highlight w:val="none"/>
                <w14:textFill>
                  <w14:solidFill>
                    <w14:schemeClr w14:val="tx1"/>
                  </w14:solidFill>
                </w14:textFill>
              </w:rPr>
              <w:t>工作制度与劳动定员</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eastAsia="宋体" w:cs="Times New Roman"/>
                <w:bCs/>
                <w:color w:val="000000" w:themeColor="text1"/>
                <w:szCs w:val="21"/>
                <w:highlight w:val="cyan"/>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现有工程劳动定员</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40人，本次扩建工程新增</w:t>
            </w:r>
            <w:r>
              <w:rPr>
                <w:rFonts w:hint="default" w:ascii="Times New Roman" w:hAnsi="Times New Roman" w:cs="Times New Roman"/>
                <w:color w:val="000000" w:themeColor="text1"/>
                <w:sz w:val="21"/>
                <w:szCs w:val="21"/>
                <w:highlight w:val="none"/>
                <w:lang w:eastAsia="zh-CN"/>
                <w14:textFill>
                  <w14:solidFill>
                    <w14:schemeClr w14:val="tx1"/>
                  </w14:solidFill>
                </w14:textFill>
              </w:rPr>
              <w:t>劳动定员</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20人</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eastAsia="zh-CN"/>
                <w14:textFill>
                  <w14:solidFill>
                    <w14:schemeClr w14:val="tx1"/>
                  </w14:solidFill>
                </w14:textFill>
              </w:rPr>
              <w:t>均不在厂区内食宿，</w:t>
            </w:r>
            <w:r>
              <w:rPr>
                <w:rFonts w:hint="default" w:ascii="Times New Roman" w:hAnsi="Times New Roman" w:cs="Times New Roman"/>
                <w:color w:val="000000" w:themeColor="text1"/>
                <w:sz w:val="21"/>
                <w:szCs w:val="21"/>
                <w:highlight w:val="none"/>
                <w14:textFill>
                  <w14:solidFill>
                    <w14:schemeClr w14:val="tx1"/>
                  </w14:solidFill>
                </w14:textFill>
              </w:rPr>
              <w:t>年工作日</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300</w:t>
            </w:r>
            <w:r>
              <w:rPr>
                <w:rFonts w:hint="default" w:ascii="Times New Roman" w:hAnsi="Times New Roman" w:cs="Times New Roman"/>
                <w:color w:val="000000" w:themeColor="text1"/>
                <w:sz w:val="21"/>
                <w:szCs w:val="21"/>
                <w:highlight w:val="none"/>
                <w14:textFill>
                  <w14:solidFill>
                    <w14:schemeClr w14:val="tx1"/>
                  </w14:solidFill>
                </w14:textFill>
              </w:rPr>
              <w:t>天</w:t>
            </w:r>
            <w:r>
              <w:rPr>
                <w:rFonts w:hint="default" w:ascii="Times New Roman" w:hAnsi="Times New Roman" w:cs="Times New Roman"/>
                <w:color w:val="000000" w:themeColor="text1"/>
                <w:sz w:val="21"/>
                <w:szCs w:val="21"/>
                <w:highlight w:val="none"/>
                <w:lang w:eastAsia="zh-CN"/>
                <w14:textFill>
                  <w14:solidFill>
                    <w14:schemeClr w14:val="tx1"/>
                  </w14:solidFill>
                </w14:textFill>
              </w:rPr>
              <w:t>，每天</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1班制，</w:t>
            </w:r>
            <w:r>
              <w:rPr>
                <w:rFonts w:hint="default" w:ascii="Times New Roman" w:hAnsi="Times New Roman" w:cs="Times New Roman"/>
                <w:color w:val="000000" w:themeColor="text1"/>
                <w:sz w:val="21"/>
                <w:szCs w:val="21"/>
                <w:highlight w:val="none"/>
                <w14:textFill>
                  <w14:solidFill>
                    <w14:schemeClr w14:val="tx1"/>
                  </w14:solidFill>
                </w14:textFill>
              </w:rPr>
              <w:t>每</w:t>
            </w:r>
            <w:r>
              <w:rPr>
                <w:rFonts w:hint="default" w:ascii="Times New Roman" w:hAnsi="Times New Roman" w:cs="Times New Roman"/>
                <w:color w:val="000000" w:themeColor="text1"/>
                <w:sz w:val="21"/>
                <w:szCs w:val="21"/>
                <w:highlight w:val="none"/>
                <w:lang w:eastAsia="zh-CN"/>
                <w14:textFill>
                  <w14:solidFill>
                    <w14:schemeClr w14:val="tx1"/>
                  </w14:solidFill>
                </w14:textFill>
              </w:rPr>
              <w:t>班</w:t>
            </w:r>
            <w:r>
              <w:rPr>
                <w:rFonts w:hint="default" w:ascii="Times New Roman" w:hAnsi="Times New Roman" w:cs="Times New Roman"/>
                <w:color w:val="000000" w:themeColor="text1"/>
                <w:sz w:val="21"/>
                <w:szCs w:val="21"/>
                <w:highlight w:val="none"/>
                <w14:textFill>
                  <w14:solidFill>
                    <w14:schemeClr w14:val="tx1"/>
                  </w14:solidFill>
                </w14:textFill>
              </w:rPr>
              <w:t>8h。</w:t>
            </w:r>
            <w:r>
              <w:rPr>
                <w:rFonts w:hint="default" w:ascii="Times New Roman" w:hAnsi="Times New Roman" w:cs="Times New Roman"/>
                <w:color w:val="000000" w:themeColor="text1"/>
                <w:sz w:val="21"/>
                <w:szCs w:val="21"/>
                <w:highlight w:val="none"/>
                <w14:textFill>
                  <w14:solidFill>
                    <w14:schemeClr w14:val="tx1"/>
                  </w14:solidFill>
                </w14:textFill>
              </w:rPr>
              <w:br w:type="textWrapping"/>
            </w:r>
            <w:r>
              <w:rPr>
                <w:rFonts w:hint="default" w:ascii="Times New Roman" w:hAnsi="Times New Roman" w:cs="Times New Roman"/>
                <w:color w:val="000000" w:themeColor="text1"/>
                <w:sz w:val="21"/>
                <w:szCs w:val="21"/>
                <w:highlight w:val="none"/>
                <w14:textFill>
                  <w14:solidFill>
                    <w14:schemeClr w14:val="tx1"/>
                  </w14:solidFill>
                </w14:textFill>
              </w:rPr>
              <w:br w:type="textWrapping"/>
            </w:r>
            <w:r>
              <w:rPr>
                <w:rFonts w:hint="default" w:ascii="Times New Roman" w:hAnsi="Times New Roman" w:cs="Times New Roman"/>
                <w:color w:val="000000" w:themeColor="text1"/>
                <w:sz w:val="21"/>
                <w:szCs w:val="21"/>
                <w:highlight w:val="none"/>
                <w14:textFill>
                  <w14:solidFill>
                    <w14:schemeClr w14:val="tx1"/>
                  </w14:solidFill>
                </w14:textFill>
              </w:rPr>
              <w:br w:type="textWrapping"/>
            </w:r>
            <w:r>
              <w:rPr>
                <w:rFonts w:hint="default" w:ascii="Times New Roman" w:hAnsi="Times New Roman" w:cs="Times New Roman"/>
                <w:color w:val="000000" w:themeColor="text1"/>
                <w:sz w:val="21"/>
                <w:szCs w:val="21"/>
                <w:highlight w:val="none"/>
                <w14:textFill>
                  <w14:solidFill>
                    <w14:schemeClr w14:val="tx1"/>
                  </w14:solidFill>
                </w14:textFill>
              </w:rPr>
              <w:br w:type="textWrapping"/>
            </w:r>
            <w:r>
              <w:rPr>
                <w:rFonts w:hint="default" w:ascii="Times New Roman" w:hAnsi="Times New Roman" w:cs="Times New Roman"/>
                <w:color w:val="000000" w:themeColor="text1"/>
                <w:sz w:val="21"/>
                <w:szCs w:val="21"/>
                <w:highlight w:val="none"/>
                <w14:textFill>
                  <w14:solidFill>
                    <w14:schemeClr w14:val="tx1"/>
                  </w14:solidFill>
                </w14:textFill>
              </w:rPr>
              <w:br w:type="textWrapping"/>
            </w:r>
            <w:r>
              <w:rPr>
                <w:rFonts w:hint="default" w:ascii="Times New Roman" w:hAnsi="Times New Roman" w:cs="Times New Roman"/>
                <w:color w:val="000000" w:themeColor="text1"/>
                <w:sz w:val="21"/>
                <w:szCs w:val="21"/>
                <w:highlight w:val="none"/>
                <w14:textFill>
                  <w14:solidFill>
                    <w14:schemeClr w14:val="tx1"/>
                  </w14:solidFill>
                </w14:textFill>
              </w:rPr>
              <w:br w:type="textWrapping"/>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90" w:hRule="atLeast"/>
          <w:jc w:val="center"/>
        </w:trPr>
        <w:tc>
          <w:tcPr>
            <w:tcW w:w="457" w:type="pct"/>
            <w:noWrap w:val="0"/>
            <w:vAlign w:val="center"/>
          </w:tcPr>
          <w:p>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320" w:lineRule="exact"/>
              <w:ind w:left="0" w:leftChars="0" w:firstLine="0" w:firstLineChars="0"/>
              <w:jc w:val="center"/>
              <w:textAlignment w:val="auto"/>
              <w:rPr>
                <w:rFonts w:hint="default" w:ascii="Times New Roman" w:hAnsi="Times New Roman" w:cs="Times New Roman"/>
                <w:color w:val="000000" w:themeColor="text1"/>
                <w:sz w:val="21"/>
                <w:szCs w:val="21"/>
                <w:highlight w:val="cya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工艺流程和产排污环节</w:t>
            </w:r>
          </w:p>
        </w:tc>
        <w:tc>
          <w:tcPr>
            <w:tcW w:w="4542" w:type="pct"/>
            <w:noWrap w:val="0"/>
            <w:vAlign w:val="top"/>
          </w:tcPr>
          <w:p>
            <w:pPr>
              <w:keepNext w:val="0"/>
              <w:keepLines w:val="0"/>
              <w:pageBreakBefore w:val="0"/>
              <w:widowControl w:val="0"/>
              <w:numPr>
                <w:ilvl w:val="0"/>
                <w:numId w:val="8"/>
              </w:numPr>
              <w:kinsoku/>
              <w:wordWrap/>
              <w:overflowPunct/>
              <w:topLinePunct w:val="0"/>
              <w:autoSpaceDE w:val="0"/>
              <w:autoSpaceDN w:val="0"/>
              <w:bidi w:val="0"/>
              <w:adjustRightInd/>
              <w:snapToGrid/>
              <w:spacing w:line="360" w:lineRule="auto"/>
              <w:ind w:left="0" w:leftChars="0"/>
              <w:textAlignment w:val="auto"/>
              <w:rPr>
                <w:rFonts w:hint="default" w:ascii="Times New Roman" w:hAnsi="Times New Roman" w:eastAsia="宋体" w:cs="Times New Roman"/>
                <w:b/>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b/>
                <w:color w:val="000000" w:themeColor="text1"/>
                <w:kern w:val="0"/>
                <w:szCs w:val="21"/>
                <w:highlight w:val="none"/>
                <w14:textFill>
                  <w14:solidFill>
                    <w14:schemeClr w14:val="tx1"/>
                  </w14:solidFill>
                </w14:textFill>
              </w:rPr>
              <w:t>工程工艺流程及产污环节</w:t>
            </w:r>
          </w:p>
          <w:p>
            <w:pPr>
              <w:pStyle w:val="2"/>
              <w:rPr>
                <w:rFonts w:hint="eastAsia" w:eastAsia="宋体"/>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项目制作的封头包括热压封头、冷压封头和旋压封头，各类封头根据制作过程所用钢材种类、厚度的不同，所采用的制型方式有所区别，其中热压封头由于多使用厚钢板进行制作，为便于后续压制成型，需在制作前对其进行高温加热处理后再进行压制作业，而冷压封头和旋压封头多采用薄钢板制作，因此无需采取加热处理，直接使用相应制型设备加工成型，具体制作工艺介绍如下：</w:t>
            </w:r>
          </w:p>
          <w:p>
            <w:pPr>
              <w:pStyle w:val="27"/>
              <w:keepNext w:val="0"/>
              <w:keepLines w:val="0"/>
              <w:pageBreakBefore w:val="0"/>
              <w:widowControl w:val="0"/>
              <w:kinsoku/>
              <w:wordWrap/>
              <w:overflowPunct/>
              <w:topLinePunct w:val="0"/>
              <w:autoSpaceDE/>
              <w:autoSpaceDN/>
              <w:bidi w:val="0"/>
              <w:adjustRightInd/>
              <w:snapToGrid/>
              <w:spacing w:before="0"/>
              <w:ind w:left="0" w:leftChars="0" w:firstLine="0" w:firstLineChars="0"/>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黑体" w:cs="Times New Roman"/>
                <w:color w:val="000000" w:themeColor="text1"/>
                <w:highlight w:val="none"/>
                <w:lang w:eastAsia="zh-CN"/>
                <w14:textFill>
                  <w14:solidFill>
                    <w14:schemeClr w14:val="tx1"/>
                  </w14:solidFill>
                </w14:textFill>
              </w:rPr>
              <w:object>
                <v:shape id="_x0000_i1025" o:spt="75" type="#_x0000_t75" style="height:405.55pt;width:344.6pt;" o:ole="t" filled="f" o:preferrelative="t" stroked="f" coordsize="21600,21600">
                  <v:path/>
                  <v:fill on="f" focussize="0,0"/>
                  <v:stroke on="f"/>
                  <v:imagedata r:id="rId16" croptop="2022f" cropbottom="2528f" o:title=""/>
                  <o:lock v:ext="edit" aspectratio="t"/>
                  <w10:wrap type="none"/>
                  <w10:anchorlock/>
                </v:shape>
                <o:OLEObject Type="Embed" ProgID="Visio.Drawing.15" ShapeID="_x0000_i1025" DrawAspect="Content" ObjectID="_1468075725" r:id="rId15">
                  <o:LockedField>false</o:LockedField>
                </o:OLEObject>
              </w:object>
            </w:r>
          </w:p>
          <w:p>
            <w:pPr>
              <w:pStyle w:val="26"/>
              <w:keepNext w:val="0"/>
              <w:keepLines w:val="0"/>
              <w:pageBreakBefore w:val="0"/>
              <w:widowControl w:val="0"/>
              <w:numPr>
                <w:ilvl w:val="0"/>
                <w:numId w:val="9"/>
              </w:numPr>
              <w:kinsoku/>
              <w:wordWrap/>
              <w:overflowPunct/>
              <w:topLinePunct w:val="0"/>
              <w:bidi w:val="0"/>
              <w:adjustRightInd/>
              <w:snapToGrid/>
              <w:spacing w:line="360" w:lineRule="auto"/>
              <w:ind w:left="0" w:leftChars="0" w:hanging="420" w:firstLineChars="0"/>
              <w:textAlignment w:val="auto"/>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工艺流程及产污环节图</w:t>
            </w:r>
          </w:p>
          <w:p>
            <w:pPr>
              <w:pStyle w:val="26"/>
              <w:keepNext w:val="0"/>
              <w:keepLines w:val="0"/>
              <w:pageBreakBefore w:val="0"/>
              <w:widowControl w:val="0"/>
              <w:kinsoku/>
              <w:wordWrap/>
              <w:overflowPunct/>
              <w:topLinePunct w:val="0"/>
              <w:autoSpaceDE w:val="0"/>
              <w:autoSpaceDN w:val="0"/>
              <w:bidi w:val="0"/>
              <w:adjustRightInd/>
              <w:snapToGrid/>
              <w:spacing w:line="360" w:lineRule="auto"/>
              <w:ind w:left="0" w:leftChars="0" w:firstLine="422" w:firstLineChars="200"/>
              <w:jc w:val="both"/>
              <w:textAlignment w:val="auto"/>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工艺流程及产污环节叙述如下：</w:t>
            </w:r>
          </w:p>
          <w:p>
            <w:pPr>
              <w:keepNext w:val="0"/>
              <w:keepLines w:val="0"/>
              <w:pageBreakBefore w:val="0"/>
              <w:widowControl w:val="0"/>
              <w:numPr>
                <w:ilvl w:val="0"/>
                <w:numId w:val="10"/>
              </w:numPr>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bCs w:val="0"/>
                <w:color w:val="000000" w:themeColor="text1"/>
                <w:kern w:val="0"/>
                <w:sz w:val="21"/>
                <w:szCs w:val="21"/>
                <w:highlight w:val="none"/>
                <w:lang w:val="en-US" w:eastAsia="zh-CN"/>
                <w14:textFill>
                  <w14:solidFill>
                    <w14:schemeClr w14:val="tx1"/>
                  </w14:solidFill>
                </w14:textFill>
              </w:rPr>
              <w:t>下料</w:t>
            </w:r>
          </w:p>
          <w:p>
            <w:pPr>
              <w:pStyle w:val="2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下料工序根据外购钢板厚度和材质的不同，分别使用切割机、半自动切割机、等离子火焰切割机和磁力切割机进行切割下料，得到所需尺寸、形状的板材。工程下料过程均在设置的二次密闭下料间进行，并通过在切切割机上方、气割刀头处设置负压集气装置进行收集后，通过1套脉冲袋式除尘器（TA002）处理后，经车间外15m高排气筒（DA002）排放。</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该工序产污环节为：切割下料工序产生的颗粒物粉尘、边角料和噪声。</w:t>
            </w:r>
          </w:p>
          <w:p>
            <w:pPr>
              <w:pStyle w:val="20"/>
              <w:keepNext w:val="0"/>
              <w:keepLines w:val="0"/>
              <w:pageBreakBefore w:val="0"/>
              <w:widowControl w:val="0"/>
              <w:numPr>
                <w:ilvl w:val="0"/>
                <w:numId w:val="10"/>
              </w:numPr>
              <w:kinsoku/>
              <w:wordWrap/>
              <w:overflowPunct/>
              <w:topLinePunct w:val="0"/>
              <w:autoSpaceDE/>
              <w:autoSpaceDN/>
              <w:bidi w:val="0"/>
              <w:adjustRightInd/>
              <w:snapToGrid/>
              <w:spacing w:after="0" w:line="360" w:lineRule="auto"/>
              <w:ind w:left="0" w:leftChars="0" w:firstLine="422" w:firstLineChars="200"/>
              <w:textAlignment w:val="auto"/>
              <w:rPr>
                <w:rFonts w:hint="default" w:ascii="Times New Roman" w:hAnsi="Times New Roman" w:cs="Times New Roman"/>
                <w:b/>
                <w:bCs w:val="0"/>
                <w:color w:val="000000" w:themeColor="text1"/>
                <w:sz w:val="21"/>
                <w:szCs w:val="21"/>
                <w:lang w:val="en-US" w:eastAsia="zh-CN"/>
                <w14:textFill>
                  <w14:solidFill>
                    <w14:schemeClr w14:val="tx1"/>
                  </w14:solidFill>
                </w14:textFill>
              </w:rPr>
            </w:pPr>
            <w:r>
              <w:rPr>
                <w:rFonts w:hint="default" w:ascii="Times New Roman" w:hAnsi="Times New Roman" w:cs="Times New Roman"/>
                <w:b/>
                <w:bCs w:val="0"/>
                <w:color w:val="000000" w:themeColor="text1"/>
                <w:sz w:val="21"/>
                <w:szCs w:val="21"/>
                <w:lang w:val="en-US" w:eastAsia="zh-CN"/>
                <w14:textFill>
                  <w14:solidFill>
                    <w14:schemeClr w14:val="tx1"/>
                  </w14:solidFill>
                </w14:textFill>
              </w:rPr>
              <w:t>拼板焊接</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项目部分热压封头由于尺寸较大，制作过程中由于受钢板尺寸限值，无法通过1块完整钢板直接压制成型，因此需将多块同类钢板焊接成整块钢板后使用。拼版焊接过程主要采用埋弧焊方式，焊接过程均在设置的密闭间内进行，通过在焊接区域上方设置负压集气罩进行收集后，通过1套脉冲袋式除尘器（TA003）进行处理后，经1根15m高排气筒（DA003）排放。</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该工序产污环节为：</w:t>
            </w:r>
            <w:r>
              <w:rPr>
                <w:rFonts w:hint="default" w:ascii="Times New Roman" w:hAnsi="Times New Roman" w:cs="Times New Roman"/>
                <w:color w:val="000000" w:themeColor="text1"/>
                <w:sz w:val="21"/>
                <w:szCs w:val="21"/>
                <w:lang w:val="en-US" w:eastAsia="zh-CN"/>
                <w14:textFill>
                  <w14:solidFill>
                    <w14:schemeClr w14:val="tx1"/>
                  </w14:solidFill>
                </w14:textFill>
              </w:rPr>
              <w:t>焊接过程产生的焊接烟尘和噪声，焊接后剩余的废焊材</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p>
            <w:pPr>
              <w:pStyle w:val="20"/>
              <w:keepNext w:val="0"/>
              <w:keepLines w:val="0"/>
              <w:pageBreakBefore w:val="0"/>
              <w:widowControl w:val="0"/>
              <w:numPr>
                <w:ilvl w:val="0"/>
                <w:numId w:val="10"/>
              </w:numPr>
              <w:kinsoku/>
              <w:wordWrap/>
              <w:overflowPunct/>
              <w:topLinePunct w:val="0"/>
              <w:autoSpaceDE/>
              <w:autoSpaceDN/>
              <w:bidi w:val="0"/>
              <w:adjustRightInd/>
              <w:snapToGrid/>
              <w:spacing w:after="0" w:line="360" w:lineRule="auto"/>
              <w:ind w:left="0" w:leftChars="0" w:firstLine="422" w:firstLineChars="200"/>
              <w:jc w:val="both"/>
              <w:textAlignment w:val="auto"/>
              <w:rPr>
                <w:rFonts w:hint="default" w:ascii="Times New Roman" w:hAnsi="Times New Roman" w:cs="Times New Roman"/>
                <w:b/>
                <w:bCs w:val="0"/>
                <w:color w:val="000000" w:themeColor="text1"/>
                <w:sz w:val="21"/>
                <w:szCs w:val="21"/>
                <w:lang w:val="en-US" w:eastAsia="zh-CN"/>
                <w14:textFill>
                  <w14:solidFill>
                    <w14:schemeClr w14:val="tx1"/>
                  </w14:solidFill>
                </w14:textFill>
              </w:rPr>
            </w:pPr>
            <w:r>
              <w:rPr>
                <w:rFonts w:hint="default" w:ascii="Times New Roman" w:hAnsi="Times New Roman" w:cs="Times New Roman"/>
                <w:b/>
                <w:bCs w:val="0"/>
                <w:color w:val="000000" w:themeColor="text1"/>
                <w:sz w:val="21"/>
                <w:szCs w:val="21"/>
                <w:lang w:val="en-US" w:eastAsia="zh-CN"/>
                <w14:textFill>
                  <w14:solidFill>
                    <w14:schemeClr w14:val="tx1"/>
                  </w14:solidFill>
                </w14:textFill>
              </w:rPr>
              <w:t>加热</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项目</w:t>
            </w:r>
            <w:r>
              <w:rPr>
                <w:rFonts w:hint="eastAsia" w:cs="Times New Roman"/>
                <w:color w:val="000000" w:themeColor="text1"/>
                <w:sz w:val="21"/>
                <w:szCs w:val="21"/>
                <w:highlight w:val="none"/>
                <w:lang w:val="en-US" w:eastAsia="zh-CN"/>
                <w14:textFill>
                  <w14:solidFill>
                    <w14:schemeClr w14:val="tx1"/>
                  </w14:solidFill>
                </w14:textFill>
              </w:rPr>
              <w:t>封头制作过程中，由于</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厚度在40mm以上的</w:t>
            </w:r>
            <w:r>
              <w:rPr>
                <w:rFonts w:hint="eastAsia" w:cs="Times New Roman"/>
                <w:color w:val="000000" w:themeColor="text1"/>
                <w:sz w:val="21"/>
                <w:szCs w:val="21"/>
                <w:highlight w:val="none"/>
                <w:lang w:val="en-US" w:eastAsia="zh-CN"/>
                <w14:textFill>
                  <w14:solidFill>
                    <w14:schemeClr w14:val="tx1"/>
                  </w14:solidFill>
                </w14:textFill>
              </w:rPr>
              <w:t>不锈</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钢板、碳钢板厚度较大</w:t>
            </w:r>
            <w:r>
              <w:rPr>
                <w:rFonts w:hint="eastAsia" w:cs="Times New Roman"/>
                <w:color w:val="000000" w:themeColor="text1"/>
                <w:sz w:val="21"/>
                <w:szCs w:val="21"/>
                <w:highlight w:val="none"/>
                <w:lang w:val="en-US" w:eastAsia="zh-CN"/>
                <w14:textFill>
                  <w14:solidFill>
                    <w14:schemeClr w14:val="tx1"/>
                  </w14:solidFill>
                </w14:textFill>
              </w:rPr>
              <w:t>，需</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在压制成型前</w:t>
            </w:r>
            <w:r>
              <w:rPr>
                <w:rFonts w:hint="eastAsia" w:cs="Times New Roman"/>
                <w:color w:val="000000" w:themeColor="text1"/>
                <w:sz w:val="21"/>
                <w:szCs w:val="21"/>
                <w:highlight w:val="none"/>
                <w:lang w:val="en-US" w:eastAsia="zh-CN"/>
                <w14:textFill>
                  <w14:solidFill>
                    <w14:schemeClr w14:val="tx1"/>
                  </w14:solidFill>
                </w14:textFill>
              </w:rPr>
              <w:t>将该部分钢材</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放入天然气加热炉内进行</w:t>
            </w:r>
            <w:r>
              <w:rPr>
                <w:rFonts w:hint="eastAsia" w:cs="Times New Roman"/>
                <w:color w:val="000000" w:themeColor="text1"/>
                <w:sz w:val="21"/>
                <w:szCs w:val="21"/>
                <w:highlight w:val="none"/>
                <w:lang w:val="en-US" w:eastAsia="zh-CN"/>
                <w14:textFill>
                  <w14:solidFill>
                    <w14:schemeClr w14:val="tx1"/>
                  </w14:solidFill>
                </w14:textFill>
              </w:rPr>
              <w:t>加热处理</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加热的</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主要目的</w:t>
            </w:r>
            <w:r>
              <w:rPr>
                <w:rFonts w:hint="eastAsia" w:cs="Times New Roman"/>
                <w:color w:val="000000" w:themeColor="text1"/>
                <w:sz w:val="21"/>
                <w:szCs w:val="21"/>
                <w:highlight w:val="none"/>
                <w:lang w:val="en-US" w:eastAsia="zh-CN"/>
                <w14:textFill>
                  <w14:solidFill>
                    <w14:schemeClr w14:val="tx1"/>
                  </w14:solidFill>
                </w14:textFill>
              </w:rPr>
              <w:t>一是</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增加钢材塑性，</w:t>
            </w:r>
            <w:r>
              <w:rPr>
                <w:rFonts w:hint="eastAsia" w:cs="Times New Roman"/>
                <w:color w:val="000000" w:themeColor="text1"/>
                <w:sz w:val="21"/>
                <w:szCs w:val="21"/>
                <w:highlight w:val="none"/>
                <w:lang w:val="en-US" w:eastAsia="zh-CN"/>
                <w14:textFill>
                  <w14:solidFill>
                    <w14:schemeClr w14:val="tx1"/>
                  </w14:solidFill>
                </w14:textFill>
              </w:rPr>
              <w:t>二是</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便于后续压制成型</w:t>
            </w:r>
            <w:r>
              <w:rPr>
                <w:rFonts w:hint="eastAsia" w:cs="Times New Roman"/>
                <w:color w:val="000000" w:themeColor="text1"/>
                <w:sz w:val="21"/>
                <w:szCs w:val="21"/>
                <w:highlight w:val="none"/>
                <w:lang w:val="en-US" w:eastAsia="zh-CN"/>
                <w14:textFill>
                  <w14:solidFill>
                    <w14:schemeClr w14:val="tx1"/>
                  </w14:solidFill>
                </w14:textFill>
              </w:rPr>
              <w:t>。加热处理过程中</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加热温度区间</w:t>
            </w:r>
            <w:r>
              <w:rPr>
                <w:rFonts w:hint="eastAsia" w:cs="Times New Roman"/>
                <w:color w:val="000000" w:themeColor="text1"/>
                <w:sz w:val="21"/>
                <w:szCs w:val="21"/>
                <w:highlight w:val="none"/>
                <w:lang w:val="en-US" w:eastAsia="zh-CN"/>
                <w14:textFill>
                  <w14:solidFill>
                    <w14:schemeClr w14:val="tx1"/>
                  </w14:solidFill>
                </w14:textFill>
              </w:rPr>
              <w:t>一般</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600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~1100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，每批钢材的加热时间平均约为30min~40min</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项目</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加热炉</w:t>
            </w:r>
            <w:r>
              <w:rPr>
                <w:rFonts w:hint="eastAsia" w:cs="Times New Roman"/>
                <w:color w:val="000000" w:themeColor="text1"/>
                <w:sz w:val="21"/>
                <w:szCs w:val="21"/>
                <w:highlight w:val="none"/>
                <w:lang w:val="en-US" w:eastAsia="zh-CN"/>
                <w14:textFill>
                  <w14:solidFill>
                    <w14:schemeClr w14:val="tx1"/>
                  </w14:solidFill>
                </w14:textFill>
              </w:rPr>
              <w:t>均</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以天然气为燃料，通过加热空气而间接对加热炉内原料进行加热，加热过程产生的废气通过加热炉自带排气管道通入1套</w:t>
            </w:r>
            <w:r>
              <w:rPr>
                <w:rFonts w:hint="default"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选择性催化还原（SCR）脱硝装置</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（TA001）进行处理后，经1根15m高排气筒（DA001）排放。</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该工序产污环节为：</w:t>
            </w:r>
            <w:r>
              <w:rPr>
                <w:rFonts w:hint="default" w:ascii="Times New Roman" w:hAnsi="Times New Roman" w:cs="Times New Roman"/>
                <w:color w:val="000000" w:themeColor="text1"/>
                <w:sz w:val="21"/>
                <w:szCs w:val="21"/>
                <w:lang w:val="en-US" w:eastAsia="zh-CN"/>
                <w14:textFill>
                  <w14:solidFill>
                    <w14:schemeClr w14:val="tx1"/>
                  </w14:solidFill>
                </w14:textFill>
              </w:rPr>
              <w:t>加热炉燃气</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产生的废气。</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22" w:firstLineChars="200"/>
              <w:jc w:val="both"/>
              <w:textAlignment w:val="auto"/>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val="0"/>
                <w:color w:val="000000" w:themeColor="text1"/>
                <w:sz w:val="21"/>
                <w:szCs w:val="21"/>
                <w:lang w:val="en-US" w:eastAsia="zh-CN"/>
                <w14:textFill>
                  <w14:solidFill>
                    <w14:schemeClr w14:val="tx1"/>
                  </w14:solidFill>
                </w14:textFill>
              </w:rPr>
              <w:t>压制</w:t>
            </w:r>
            <w:r>
              <w:rPr>
                <w:rFonts w:hint="eastAsia" w:cs="Times New Roman"/>
                <w:b/>
                <w:bCs w:val="0"/>
                <w:color w:val="000000" w:themeColor="text1"/>
                <w:sz w:val="21"/>
                <w:szCs w:val="21"/>
                <w:lang w:val="en-US" w:eastAsia="zh-CN"/>
                <w14:textFill>
                  <w14:solidFill>
                    <w14:schemeClr w14:val="tx1"/>
                  </w14:solidFill>
                </w14:textFill>
              </w:rPr>
              <w:t>（冷压、旋压、热压）</w:t>
            </w:r>
          </w:p>
          <w:p>
            <w:pPr>
              <w:pStyle w:val="2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jc w:val="both"/>
              <w:textAlignment w:val="auto"/>
              <w:rPr>
                <w:rFonts w:hint="default" w:ascii="Times New Roman" w:hAnsi="Times New Roman" w:cs="Times New Roman"/>
                <w:color w:val="000000" w:themeColor="text1"/>
                <w:sz w:val="21"/>
                <w:szCs w:val="21"/>
                <w:highlight w:val="cyan"/>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项目各类封头根据材质、厚度不同，以及所制作封头种类不同，分别使用不同压制成型设备制作，其中热压封头均采用四柱式油压机进行压制成型，冷压封头采用四柱式冷压机压制成型，旋压封头采用卷板机、旋压机、打片机、压片机压制成型。</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该工序产污环节为：</w:t>
            </w:r>
            <w:r>
              <w:rPr>
                <w:rFonts w:hint="default" w:ascii="Times New Roman" w:hAnsi="Times New Roman" w:cs="Times New Roman"/>
                <w:color w:val="000000" w:themeColor="text1"/>
                <w:sz w:val="21"/>
                <w:szCs w:val="21"/>
                <w:lang w:val="en-US" w:eastAsia="zh-CN"/>
                <w14:textFill>
                  <w14:solidFill>
                    <w14:schemeClr w14:val="tx1"/>
                  </w14:solidFill>
                </w14:textFill>
              </w:rPr>
              <w:t>压制设备运行过程产生的噪声，机械设备定期维护更换的废液压油、废润滑油</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22" w:firstLineChars="200"/>
              <w:jc w:val="both"/>
              <w:textAlignment w:val="auto"/>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t>成型</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项目压制后封头产品需采用二氧化碳保护焊方式对焊缝有缺陷处进行补修，并使用磨边机将焊接过程焊缝及切割过程的切割边打磨平整后最终成型，以保证产品密封性和美观性。打磨过程于设置的密闭打磨间内进行，通过在磨边机上方设置负压集气罩进行收集，并通过1套脉冲袋式除尘器（TA003）进行处理后，经1根15m高排气筒（DA003）排放。</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该工序产污环节为：</w:t>
            </w:r>
            <w:r>
              <w:rPr>
                <w:rFonts w:hint="default" w:ascii="Times New Roman" w:hAnsi="Times New Roman" w:cs="Times New Roman"/>
                <w:color w:val="000000" w:themeColor="text1"/>
                <w:sz w:val="21"/>
                <w:szCs w:val="21"/>
                <w:lang w:val="en-US" w:eastAsia="zh-CN"/>
                <w14:textFill>
                  <w14:solidFill>
                    <w14:schemeClr w14:val="tx1"/>
                  </w14:solidFill>
                </w14:textFill>
              </w:rPr>
              <w:t>焊接过程产生的焊接烟尘，打磨过程产生的打磨粉尘和噪声</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22" w:firstLineChars="200"/>
              <w:jc w:val="both"/>
              <w:textAlignment w:val="auto"/>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t>酸洗（仅不锈钢类封头）</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工程不锈钢类封头产品在制作过程中因焊接、加热等工序会使得表层的不锈钢防护膜会受到损坏，从而降低使用寿命，因此需对工件进行酸洗处理以提高其耐腐蚀性能，同时增加使用寿命。因此，酸洗主要目的即是对工件的焊接缝及表面粘有污染的酸洗钝化处理，去除焊接、高温加工处理后产生的氧化皮，使之银亮有光，并使处理后的表面形成一层氧化膜，不会再产生二次氧蚀。</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酸洗过程主要</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将适量</w:t>
            </w:r>
            <w:r>
              <w:rPr>
                <w:rFonts w:hint="eastAsia" w:cs="Times New Roman"/>
                <w:color w:val="000000" w:themeColor="text1"/>
                <w:kern w:val="2"/>
                <w:sz w:val="21"/>
                <w:szCs w:val="21"/>
                <w:highlight w:val="none"/>
                <w:lang w:val="en-US" w:eastAsia="zh-CN" w:bidi="ar-SA"/>
                <w14:textFill>
                  <w14:solidFill>
                    <w14:schemeClr w14:val="tx1"/>
                  </w14:solidFill>
                </w14:textFill>
              </w:rPr>
              <w:t>酸洗钝化膏</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涂抹在工件表面</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焊缝及污染区域</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涂抹</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厚度</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约</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1-2毫米，保持5-</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0分钟（具体时间由污垢、板材材质和处理要求而定）</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处理过程中顽固锈焊斑氧化皮</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使</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用刷子刷洗</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若干次</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待</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反应完全完成后，</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使用清水冲净</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酸洗过程</w:t>
            </w:r>
            <w:r>
              <w:rPr>
                <w:rFonts w:hint="eastAsia" w:cs="Times New Roman"/>
                <w:color w:val="000000" w:themeColor="text1"/>
                <w:kern w:val="2"/>
                <w:sz w:val="21"/>
                <w:szCs w:val="21"/>
                <w:highlight w:val="none"/>
                <w:lang w:val="en-US" w:eastAsia="zh-CN" w:bidi="ar-SA"/>
                <w14:textFill>
                  <w14:solidFill>
                    <w14:schemeClr w14:val="tx1"/>
                  </w14:solidFill>
                </w14:textFill>
              </w:rPr>
              <w:t>酸洗钝化膏</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挥发的酸雾废气通过车间内设置的二次密闭酸洗间进行收集后，通过1套</w:t>
            </w:r>
            <w:r>
              <w:rPr>
                <w:rFonts w:hint="eastAsia" w:cs="Times New Roman"/>
                <w:color w:val="000000" w:themeColor="text1"/>
                <w:kern w:val="2"/>
                <w:sz w:val="21"/>
                <w:szCs w:val="21"/>
                <w:highlight w:val="none"/>
                <w:lang w:val="en-US" w:eastAsia="zh-CN" w:bidi="ar-SA"/>
                <w14:textFill>
                  <w14:solidFill>
                    <w14:schemeClr w14:val="tx1"/>
                  </w14:solidFill>
                </w14:textFill>
              </w:rPr>
              <w:t>两级酸雾喷淋塔</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（TA004）处理后，经15m高排气筒（DA004）排放。冲洗废水经</w:t>
            </w:r>
            <w:r>
              <w:rPr>
                <w:rFonts w:hint="eastAsia" w:ascii="Times New Roman" w:hAnsi="Times New Roman" w:cs="Times New Roman"/>
                <w:color w:val="000000" w:themeColor="text1"/>
                <w:kern w:val="2"/>
                <w:sz w:val="21"/>
                <w:szCs w:val="21"/>
                <w:highlight w:val="none"/>
                <w:lang w:val="en-US" w:eastAsia="zh-CN" w:bidi="ar-SA"/>
                <w14:textFill>
                  <w14:solidFill>
                    <w14:schemeClr w14:val="tx1"/>
                  </w14:solidFill>
                </w14:textFill>
              </w:rPr>
              <w:t>酸洗间地面</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设置导流沟</w:t>
            </w:r>
            <w:r>
              <w:rPr>
                <w:rFonts w:hint="eastAsia" w:ascii="Times New Roman" w:hAnsi="Times New Roman" w:cs="Times New Roman"/>
                <w:color w:val="000000" w:themeColor="text1"/>
                <w:kern w:val="2"/>
                <w:sz w:val="21"/>
                <w:szCs w:val="21"/>
                <w:highlight w:val="none"/>
                <w:lang w:val="en-US" w:eastAsia="zh-CN" w:bidi="ar-SA"/>
                <w14:textFill>
                  <w14:solidFill>
                    <w14:schemeClr w14:val="tx1"/>
                  </w14:solidFill>
                </w14:textFill>
              </w:rPr>
              <w:t>流入</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自建1套污水处理设施（采用“隔油沉淀+调节+气浮+pH调节（调酸）+芬顿氧化+中和（调碱）+混凝沉淀+中和+水解酸化+MBR（微滤）+RO+高效蒸发器”工艺）处理后，RO过滤出的清水回用于冲洗环节，浓水则经高效蒸发器处理后，</w:t>
            </w:r>
            <w:r>
              <w:rPr>
                <w:rFonts w:hint="eastAsia" w:ascii="Times New Roman" w:hAnsi="Times New Roman" w:cs="Times New Roman"/>
                <w:color w:val="000000" w:themeColor="text1"/>
                <w:kern w:val="2"/>
                <w:sz w:val="21"/>
                <w:szCs w:val="21"/>
                <w:highlight w:val="none"/>
                <w:lang w:val="en-US" w:eastAsia="zh-CN" w:bidi="ar-SA"/>
                <w14:textFill>
                  <w14:solidFill>
                    <w14:schemeClr w14:val="tx1"/>
                  </w14:solidFill>
                </w14:textFill>
              </w:rPr>
              <w:t>浓缩</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残渣作为危废处理。</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该工序产污环节为：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酸洗过程产生的酸雾废气</w:t>
            </w:r>
            <w:r>
              <w:rPr>
                <w:rFonts w:hint="default" w:ascii="Times New Roman" w:hAnsi="Times New Roman" w:cs="Times New Roman"/>
                <w:color w:val="000000" w:themeColor="text1"/>
                <w:sz w:val="21"/>
                <w:szCs w:val="21"/>
                <w:lang w:val="en-US" w:eastAsia="zh-CN"/>
                <w14:textFill>
                  <w14:solidFill>
                    <w14:schemeClr w14:val="tx1"/>
                  </w14:solidFill>
                </w14:textFill>
              </w:rPr>
              <w:t>，冲洗产生的冲洗废水</w:t>
            </w:r>
            <w:r>
              <w:rPr>
                <w:rFonts w:hint="eastAsia" w:cs="Times New Roman"/>
                <w:color w:val="000000" w:themeColor="text1"/>
                <w:sz w:val="21"/>
                <w:szCs w:val="21"/>
                <w:lang w:val="en-US" w:eastAsia="zh-CN"/>
                <w14:textFill>
                  <w14:solidFill>
                    <w14:schemeClr w14:val="tx1"/>
                  </w14:solidFill>
                </w14:textFill>
              </w:rPr>
              <w:t>，污水处理设施清理的污泥、油污和高效蒸发残渣</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22" w:firstLineChars="200"/>
              <w:jc w:val="both"/>
              <w:textAlignment w:val="auto"/>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检验</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首先人工目视检查焊接缝隙的完整程度，之后再通过X射线探伤机检查焊缝及封头整体内部是否存在缺陷。项目X射线探伤机为辐射检测设备，需另行评价，不在本次评价范围内。</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22" w:firstLineChars="200"/>
              <w:jc w:val="both"/>
              <w:textAlignment w:val="auto"/>
              <w:rPr>
                <w:rFonts w:hint="default" w:ascii="Times New Roman" w:hAnsi="Times New Roman" w:cs="Times New Roman"/>
                <w:b/>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kern w:val="0"/>
                <w:sz w:val="21"/>
                <w:szCs w:val="21"/>
                <w:highlight w:val="none"/>
                <w:lang w:val="en-US" w:eastAsia="zh-CN"/>
                <w14:textFill>
                  <w14:solidFill>
                    <w14:schemeClr w14:val="tx1"/>
                  </w14:solidFill>
                </w14:textFill>
              </w:rPr>
              <w:t>水平衡分析</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本次扩建工程用水包括生活用水和生产用水，具体水平衡情况如下：</w:t>
            </w:r>
          </w:p>
          <w:p>
            <w:pPr>
              <w:pStyle w:val="2"/>
              <w:rPr>
                <w:rFonts w:hint="default" w:ascii="Times New Roman" w:hAnsi="Times New Roman" w:cs="Times New Roman"/>
                <w:b/>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（1）本次扩建工程水平衡图</w:t>
            </w:r>
            <w:r>
              <w:rPr>
                <w:rFonts w:hint="default" w:ascii="Times New Roman" w:hAnsi="Times New Roman" w:cs="Times New Roman"/>
                <w:color w:val="000000" w:themeColor="text1"/>
                <w:highlight w:val="none"/>
                <w:lang w:val="en-US" w:eastAsia="zh-CN"/>
                <w14:textFill>
                  <w14:solidFill>
                    <w14:schemeClr w14:val="tx1"/>
                  </w14:solidFill>
                </w14:textFill>
              </w:rPr>
              <w:br w:type="textWrapping"/>
            </w:r>
            <w:r>
              <w:rPr>
                <w:rFonts w:hint="default" w:ascii="Times New Roman" w:hAnsi="Times New Roman" w:cs="Times New Roman"/>
                <w:color w:val="000000" w:themeColor="text1"/>
                <w:highlight w:val="cyan"/>
                <w:lang w:val="en-US" w:eastAsia="zh-CN"/>
                <w14:textFill>
                  <w14:solidFill>
                    <w14:schemeClr w14:val="tx1"/>
                  </w14:solidFill>
                </w14:textFill>
              </w:rPr>
              <w:br w:type="textWrapping"/>
            </w:r>
            <w:r>
              <w:rPr>
                <w:rFonts w:hint="default" w:ascii="Times New Roman" w:hAnsi="Times New Roman" w:cs="Times New Roman"/>
                <w:color w:val="000000" w:themeColor="text1"/>
                <w:highlight w:val="cyan"/>
                <w:lang w:val="en-US" w:eastAsia="zh-CN"/>
                <w14:textFill>
                  <w14:solidFill>
                    <w14:schemeClr w14:val="tx1"/>
                  </w14:solidFill>
                </w14:textFill>
              </w:rPr>
              <w:br w:type="textWrapping"/>
            </w:r>
            <w:r>
              <w:rPr>
                <w:rFonts w:hint="default" w:ascii="Times New Roman" w:hAnsi="Times New Roman" w:cs="Times New Roman"/>
                <w:color w:val="000000" w:themeColor="text1"/>
                <w:highlight w:val="cyan"/>
                <w:lang w:val="en-US" w:eastAsia="zh-CN"/>
                <w14:textFill>
                  <w14:solidFill>
                    <w14:schemeClr w14:val="tx1"/>
                  </w14:solidFill>
                </w14:textFill>
              </w:rPr>
              <w:br w:type="textWrapping"/>
            </w:r>
            <w:r>
              <w:rPr>
                <w:rFonts w:hint="default" w:ascii="Times New Roman" w:hAnsi="Times New Roman" w:cs="Times New Roman"/>
                <w:color w:val="000000" w:themeColor="text1"/>
                <w:highlight w:val="cyan"/>
                <w:lang w:val="en-US" w:eastAsia="zh-CN"/>
                <w14:textFill>
                  <w14:solidFill>
                    <w14:schemeClr w14:val="tx1"/>
                  </w14:solidFill>
                </w14:textFill>
              </w:rPr>
              <w:br w:type="textWrapping"/>
            </w:r>
            <w:r>
              <w:rPr>
                <w:rFonts w:hint="default" w:ascii="Times New Roman" w:hAnsi="Times New Roman" w:cs="Times New Roman"/>
                <w:color w:val="000000" w:themeColor="text1"/>
                <w:highlight w:val="cyan"/>
                <w:lang w:val="en-US" w:eastAsia="zh-CN"/>
                <w14:textFill>
                  <w14:solidFill>
                    <w14:schemeClr w14:val="tx1"/>
                  </w14:solidFill>
                </w14:textFill>
              </w:rPr>
              <w:br w:type="textWrapping"/>
            </w:r>
            <w:r>
              <w:rPr>
                <w:rFonts w:hint="default" w:ascii="Times New Roman" w:hAnsi="Times New Roman" w:cs="Times New Roman"/>
                <w:color w:val="000000" w:themeColor="text1"/>
                <w:highlight w:val="cyan"/>
                <w:lang w:val="en-US" w:eastAsia="zh-CN"/>
                <w14:textFill>
                  <w14:solidFill>
                    <w14:schemeClr w14:val="tx1"/>
                  </w14:solidFill>
                </w14:textFill>
              </w:rPr>
              <w:br w:type="textWrapping"/>
            </w:r>
            <w:r>
              <w:rPr>
                <w:rFonts w:hint="default" w:ascii="Times New Roman" w:hAnsi="Times New Roman" w:cs="Times New Roman"/>
                <w:color w:val="000000" w:themeColor="text1"/>
                <w:highlight w:val="cyan"/>
                <w:lang w:val="en-US" w:eastAsia="zh-CN"/>
                <w14:textFill>
                  <w14:solidFill>
                    <w14:schemeClr w14:val="tx1"/>
                  </w14:solidFill>
                </w14:textFill>
              </w:rPr>
              <w:br w:type="textWrapping"/>
            </w:r>
            <w:r>
              <w:rPr>
                <w:rFonts w:hint="default" w:ascii="Times New Roman" w:hAnsi="Times New Roman" w:cs="Times New Roman"/>
                <w:color w:val="000000" w:themeColor="text1"/>
                <w:highlight w:val="cyan"/>
                <w:lang w:val="en-US" w:eastAsia="zh-CN"/>
                <w14:textFill>
                  <w14:solidFill>
                    <w14:schemeClr w14:val="tx1"/>
                  </w14:solidFill>
                </w14:textFill>
              </w:rPr>
              <w:br w:type="textWrapping"/>
            </w:r>
            <w:r>
              <w:rPr>
                <w:rFonts w:hint="default" w:ascii="Times New Roman" w:hAnsi="Times New Roman" w:cs="Times New Roman"/>
                <w:color w:val="000000" w:themeColor="text1"/>
                <w:highlight w:val="cyan"/>
                <w:lang w:val="en-US" w:eastAsia="zh-CN"/>
                <w14:textFill>
                  <w14:solidFill>
                    <w14:schemeClr w14:val="tx1"/>
                  </w14:solidFill>
                </w14:textFill>
              </w:rPr>
              <w:br w:type="textWrapping"/>
            </w:r>
            <w:r>
              <w:rPr>
                <w:rFonts w:hint="default" w:ascii="Times New Roman" w:hAnsi="Times New Roman" w:cs="Times New Roman"/>
                <w:color w:val="000000" w:themeColor="text1"/>
                <w:highlight w:val="cyan"/>
                <w:lang w:val="en-US" w:eastAsia="zh-CN"/>
                <w14:textFill>
                  <w14:solidFill>
                    <w14:schemeClr w14:val="tx1"/>
                  </w14:solidFill>
                </w14:textFill>
              </w:rPr>
              <w:br w:type="textWrapping"/>
            </w:r>
            <w:r>
              <w:rPr>
                <w:rFonts w:hint="default" w:ascii="Times New Roman" w:hAnsi="Times New Roman" w:cs="Times New Roman"/>
                <w:color w:val="000000" w:themeColor="text1"/>
                <w:highlight w:val="cyan"/>
                <w:lang w:val="en-US" w:eastAsia="zh-CN"/>
                <w14:textFill>
                  <w14:solidFill>
                    <w14:schemeClr w14:val="tx1"/>
                  </w14:solidFill>
                </w14:textFill>
              </w:rPr>
              <w:br w:type="textWrapping"/>
            </w:r>
            <w:r>
              <w:rPr>
                <w:rFonts w:hint="default" w:ascii="Times New Roman" w:hAnsi="Times New Roman" w:cs="Times New Roman"/>
                <w:b/>
                <w:color w:val="000000" w:themeColor="text1"/>
                <w:kern w:val="0"/>
                <w:sz w:val="21"/>
                <w:szCs w:val="21"/>
                <w:highlight w:val="none"/>
                <w:lang w:val="en-US" w:eastAsia="zh-CN"/>
                <w14:textFill>
                  <w14:solidFill>
                    <w14:schemeClr w14:val="tx1"/>
                  </w14:solidFill>
                </w14:textFill>
              </w:rPr>
              <w:object>
                <v:shape id="_x0000_i1026" o:spt="75" type="#_x0000_t75" style="height:226.35pt;width:396.35pt;" o:ole="t" filled="f" o:preferrelative="t" stroked="f" coordsize="21600,21600">
                  <v:path/>
                  <v:fill on="f" focussize="0,0"/>
                  <v:stroke on="f"/>
                  <v:imagedata r:id="rId18" o:title=""/>
                  <o:lock v:ext="edit" aspectratio="t"/>
                  <w10:wrap type="none"/>
                  <w10:anchorlock/>
                </v:shape>
                <o:OLEObject Type="Embed" ProgID="Visio.Drawing.15" ShapeID="_x0000_i1026" DrawAspect="Content" ObjectID="_1468075726" r:id="rId17">
                  <o:LockedField>false</o:LockedField>
                </o:OLEObject>
              </w:object>
            </w:r>
          </w:p>
          <w:p>
            <w:pPr>
              <w:pStyle w:val="26"/>
              <w:keepNext w:val="0"/>
              <w:keepLines w:val="0"/>
              <w:pageBreakBefore w:val="0"/>
              <w:widowControl w:val="0"/>
              <w:numPr>
                <w:ilvl w:val="0"/>
                <w:numId w:val="9"/>
              </w:numPr>
              <w:kinsoku/>
              <w:wordWrap/>
              <w:overflowPunct/>
              <w:topLinePunct w:val="0"/>
              <w:bidi w:val="0"/>
              <w:adjustRightInd/>
              <w:snapToGrid/>
              <w:spacing w:line="360" w:lineRule="auto"/>
              <w:ind w:left="0" w:leftChars="0" w:hanging="420" w:firstLineChars="0"/>
              <w:textAlignment w:val="auto"/>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本次扩建工程水平衡图</w:t>
            </w:r>
          </w:p>
          <w:p>
            <w:pPr>
              <w:rPr>
                <w:rFonts w:hint="default" w:ascii="Times New Roman" w:hAnsi="Times New Roman" w:cs="Times New Roman"/>
                <w:b/>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kern w:val="0"/>
                <w:sz w:val="21"/>
                <w:szCs w:val="21"/>
                <w:highlight w:val="none"/>
                <w:lang w:val="en-US" w:eastAsia="zh-CN"/>
                <w14:textFill>
                  <w14:solidFill>
                    <w14:schemeClr w14:val="tx1"/>
                  </w14:solidFill>
                </w14:textFill>
              </w:rPr>
              <w:t>（2）扩建后全厂水平衡图</w:t>
            </w:r>
          </w:p>
          <w:p>
            <w:pPr>
              <w:ind w:left="0" w:leftChars="0" w:firstLine="0" w:firstLineChars="0"/>
              <w:rPr>
                <w:rFonts w:hint="default"/>
                <w:color w:val="000000" w:themeColor="text1"/>
                <w:lang w:val="en-US" w:eastAsia="zh-CN"/>
                <w14:textFill>
                  <w14:solidFill>
                    <w14:schemeClr w14:val="tx1"/>
                  </w14:solidFill>
                </w14:textFill>
              </w:rPr>
            </w:pPr>
            <w:r>
              <w:rPr>
                <w:rFonts w:hint="default" w:ascii="Times New Roman" w:hAnsi="Times New Roman" w:cs="Times New Roman"/>
                <w:b/>
                <w:color w:val="000000" w:themeColor="text1"/>
                <w:kern w:val="0"/>
                <w:sz w:val="21"/>
                <w:szCs w:val="21"/>
                <w:highlight w:val="none"/>
                <w:lang w:val="en-US" w:eastAsia="zh-CN"/>
                <w14:textFill>
                  <w14:solidFill>
                    <w14:schemeClr w14:val="tx1"/>
                  </w14:solidFill>
                </w14:textFill>
              </w:rPr>
              <w:object>
                <v:shape id="_x0000_i1027" o:spt="75" type="#_x0000_t75" style="height:226.35pt;width:396.35pt;" o:ole="t" filled="f" o:preferrelative="t" stroked="f" coordsize="21600,21600">
                  <v:path/>
                  <v:fill on="f" focussize="0,0"/>
                  <v:stroke on="f"/>
                  <v:imagedata r:id="rId20" o:title=""/>
                  <o:lock v:ext="edit" aspectratio="t"/>
                  <w10:wrap type="none"/>
                  <w10:anchorlock/>
                </v:shape>
                <o:OLEObject Type="Embed" ProgID="Visio.Drawing.15" ShapeID="_x0000_i1027" DrawAspect="Content" ObjectID="_1468075727" r:id="rId19">
                  <o:LockedField>false</o:LockedField>
                </o:OLEObject>
              </w:object>
            </w:r>
          </w:p>
          <w:p>
            <w:pPr>
              <w:pStyle w:val="26"/>
              <w:keepNext w:val="0"/>
              <w:keepLines w:val="0"/>
              <w:pageBreakBefore w:val="0"/>
              <w:widowControl w:val="0"/>
              <w:numPr>
                <w:ilvl w:val="0"/>
                <w:numId w:val="9"/>
              </w:numPr>
              <w:kinsoku/>
              <w:wordWrap/>
              <w:overflowPunct/>
              <w:topLinePunct w:val="0"/>
              <w:bidi w:val="0"/>
              <w:adjustRightInd/>
              <w:snapToGrid/>
              <w:spacing w:line="360" w:lineRule="auto"/>
              <w:ind w:left="0" w:leftChars="0" w:hanging="420" w:firstLineChars="0"/>
              <w:textAlignment w:val="auto"/>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扩建</w:t>
            </w:r>
            <w:r>
              <w:rPr>
                <w:rFonts w:hint="eastAsia" w:ascii="Times New Roman" w:eastAsia="宋体" w:cs="Times New Roman"/>
                <w:color w:val="000000" w:themeColor="text1"/>
                <w:kern w:val="2"/>
                <w:sz w:val="21"/>
                <w:szCs w:val="24"/>
                <w:highlight w:val="none"/>
                <w:lang w:val="en-US" w:eastAsia="zh-CN" w:bidi="ar-SA"/>
                <w14:textFill>
                  <w14:solidFill>
                    <w14:schemeClr w14:val="tx1"/>
                  </w14:solidFill>
                </w14:textFill>
              </w:rPr>
              <w:t>后全厂</w:t>
            </w: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水平衡图</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Times New Roman" w:hAnsi="Times New Roman" w:eastAsia="宋体" w:cs="Times New Roman"/>
                <w:b/>
                <w:color w:val="000000" w:themeColor="text1"/>
                <w:kern w:val="0"/>
                <w:sz w:val="21"/>
                <w:szCs w:val="21"/>
                <w:highlight w:val="none"/>
                <w14:textFill>
                  <w14:solidFill>
                    <w14:schemeClr w14:val="tx1"/>
                  </w14:solidFill>
                </w14:textFill>
              </w:rPr>
            </w:pPr>
            <w:r>
              <w:rPr>
                <w:rFonts w:hint="default" w:ascii="Times New Roman" w:hAnsi="Times New Roman" w:cs="Times New Roman"/>
                <w:b/>
                <w:color w:val="000000" w:themeColor="text1"/>
                <w:kern w:val="0"/>
                <w:sz w:val="21"/>
                <w:szCs w:val="21"/>
                <w:highlight w:val="none"/>
                <w:lang w:val="en-US" w:eastAsia="zh-CN"/>
                <w14:textFill>
                  <w14:solidFill>
                    <w14:schemeClr w14:val="tx1"/>
                  </w14:solidFill>
                </w14:textFill>
              </w:rPr>
              <w:t>3</w:t>
            </w:r>
            <w:r>
              <w:rPr>
                <w:rFonts w:hint="default" w:ascii="Times New Roman" w:hAnsi="Times New Roman" w:eastAsia="宋体" w:cs="Times New Roman"/>
                <w:b/>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b/>
                <w:color w:val="000000" w:themeColor="text1"/>
                <w:kern w:val="0"/>
                <w:sz w:val="21"/>
                <w:szCs w:val="21"/>
                <w:highlight w:val="none"/>
                <w14:textFill>
                  <w14:solidFill>
                    <w14:schemeClr w14:val="tx1"/>
                  </w14:solidFill>
                </w14:textFill>
              </w:rPr>
              <w:t>本项目产污环节分析</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color w:val="000000" w:themeColor="text1"/>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14:textFill>
                  <w14:solidFill>
                    <w14:schemeClr w14:val="tx1"/>
                  </w14:solidFill>
                </w14:textFill>
              </w:rPr>
              <w:t>根据上述工艺分析，拟建工程生产过程中产污环节分析详见</w:t>
            </w:r>
            <w:r>
              <w:rPr>
                <w:rFonts w:hint="default" w:ascii="Times New Roman" w:hAnsi="Times New Roman" w:eastAsia="宋体" w:cs="Times New Roman"/>
                <w:bCs/>
                <w:color w:val="000000" w:themeColor="text1"/>
                <w:kern w:val="0"/>
                <w:sz w:val="21"/>
                <w:szCs w:val="21"/>
                <w:highlight w:val="none"/>
                <w:lang w:eastAsia="zh-CN"/>
                <w14:textFill>
                  <w14:solidFill>
                    <w14:schemeClr w14:val="tx1"/>
                  </w14:solidFill>
                </w14:textFill>
              </w:rPr>
              <w:t>下表</w:t>
            </w:r>
            <w:r>
              <w:rPr>
                <w:rFonts w:hint="default" w:ascii="Times New Roman" w:hAnsi="Times New Roman" w:eastAsia="宋体" w:cs="Times New Roman"/>
                <w:bCs/>
                <w:color w:val="000000" w:themeColor="text1"/>
                <w:kern w:val="0"/>
                <w:sz w:val="21"/>
                <w:szCs w:val="21"/>
                <w:highlight w:val="none"/>
                <w14:textFill>
                  <w14:solidFill>
                    <w14:schemeClr w14:val="tx1"/>
                  </w14:solidFill>
                </w14:textFill>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项目产污节点一览表</w:t>
            </w:r>
          </w:p>
          <w:tbl>
            <w:tblPr>
              <w:tblStyle w:val="21"/>
              <w:tblW w:w="4995" w:type="pct"/>
              <w:jc w:val="center"/>
              <w:tblBorders>
                <w:top w:val="single" w:color="auto" w:sz="6" w:space="0"/>
                <w:left w:val="none" w:color="auto" w:sz="0" w:space="0"/>
                <w:bottom w:val="single" w:color="auto" w:sz="6"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86"/>
              <w:gridCol w:w="826"/>
              <w:gridCol w:w="1398"/>
              <w:gridCol w:w="1633"/>
              <w:gridCol w:w="1826"/>
              <w:gridCol w:w="1802"/>
            </w:tblGrid>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tcBorders>
                    <w:top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类别</w:t>
                  </w:r>
                </w:p>
              </w:tc>
              <w:tc>
                <w:tcPr>
                  <w:tcW w:w="1360" w:type="pct"/>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污染源名称</w:t>
                  </w:r>
                </w:p>
              </w:tc>
              <w:tc>
                <w:tcPr>
                  <w:tcW w:w="999" w:type="pct"/>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污染因子</w:t>
                  </w:r>
                </w:p>
              </w:tc>
              <w:tc>
                <w:tcPr>
                  <w:tcW w:w="2219" w:type="pct"/>
                  <w:gridSpan w:val="2"/>
                  <w:tcBorders>
                    <w:top w:val="single" w:color="auto" w:sz="6" w:space="0"/>
                    <w:left w:val="single" w:color="auto" w:sz="6" w:space="0"/>
                    <w:bottom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治理措施</w:t>
                  </w: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vMerge w:val="restart"/>
                  <w:tcBorders>
                    <w:top w:val="single" w:color="auto" w:sz="6"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废气</w:t>
                  </w:r>
                </w:p>
              </w:tc>
              <w:tc>
                <w:tcPr>
                  <w:tcW w:w="505" w:type="pct"/>
                  <w:vMerge w:val="restart"/>
                  <w:tcBorders>
                    <w:top w:val="single" w:color="auto" w:sz="6" w:space="0"/>
                    <w:left w:val="single" w:color="auto" w:sz="6" w:space="0"/>
                    <w:right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有组织</w:t>
                  </w:r>
                </w:p>
              </w:tc>
              <w:tc>
                <w:tcPr>
                  <w:tcW w:w="854" w:type="pct"/>
                  <w:tcBorders>
                    <w:top w:val="single" w:color="auto" w:sz="6" w:space="0"/>
                    <w:left w:val="single" w:color="auto" w:sz="4" w:space="0"/>
                    <w:bottom w:val="single" w:color="auto" w:sz="4" w:space="0"/>
                    <w:right w:val="single" w:color="auto" w:sz="6" w:space="0"/>
                  </w:tcBorders>
                  <w:noWrap w:val="0"/>
                  <w:vAlign w:val="center"/>
                </w:tcPr>
                <w:p>
                  <w:pPr>
                    <w:keepNext w:val="0"/>
                    <w:keepLines w:val="0"/>
                    <w:pageBreakBefore w:val="0"/>
                    <w:widowControl w:val="0"/>
                    <w:kinsoku/>
                    <w:wordWrap/>
                    <w:overflowPunct/>
                    <w:topLinePunct w:val="0"/>
                    <w:autoSpaceDE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切割下料工序</w:t>
                  </w:r>
                </w:p>
              </w:tc>
              <w:tc>
                <w:tcPr>
                  <w:tcW w:w="999" w:type="pct"/>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颗粒物</w:t>
                  </w:r>
                </w:p>
              </w:tc>
              <w:tc>
                <w:tcPr>
                  <w:tcW w:w="1117" w:type="pct"/>
                  <w:tcBorders>
                    <w:top w:val="single" w:color="auto" w:sz="6" w:space="0"/>
                    <w:left w:val="single" w:color="auto" w:sz="6" w:space="0"/>
                    <w:right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eastAsia" w:cs="Times New Roman" w:eastAsiaTheme="minorEastAsia"/>
                      <w:color w:val="000000" w:themeColor="text1"/>
                      <w:kern w:val="2"/>
                      <w:sz w:val="18"/>
                      <w:szCs w:val="18"/>
                      <w:highlight w:val="none"/>
                      <w:lang w:val="en-US" w:eastAsia="zh-CN" w:bidi="ar-SA"/>
                      <w14:textFill>
                        <w14:solidFill>
                          <w14:schemeClr w14:val="tx1"/>
                        </w14:solidFill>
                      </w14:textFill>
                    </w:rPr>
                    <w:t>密闭间+负压</w:t>
                  </w:r>
                  <w: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t>集气罩</w:t>
                  </w:r>
                </w:p>
              </w:tc>
              <w:tc>
                <w:tcPr>
                  <w:tcW w:w="1101" w:type="pct"/>
                  <w:tcBorders>
                    <w:top w:val="single" w:color="auto" w:sz="6" w:space="0"/>
                    <w:left w:val="single" w:color="auto" w:sz="4" w:space="0"/>
                    <w:bottom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t>1套脉冲袋式除尘器+15m高排气筒</w:t>
                  </w: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vMerge w:val="continue"/>
                  <w:tcBorders>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505" w:type="pct"/>
                  <w:vMerge w:val="continue"/>
                  <w:tcBorders>
                    <w:left w:val="single" w:color="auto" w:sz="6" w:space="0"/>
                    <w:right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p>
              </w:tc>
              <w:tc>
                <w:tcPr>
                  <w:tcW w:w="854" w:type="pct"/>
                  <w:tcBorders>
                    <w:top w:val="single" w:color="auto" w:sz="6" w:space="0"/>
                    <w:left w:val="single" w:color="auto" w:sz="4" w:space="0"/>
                    <w:bottom w:val="single" w:color="auto" w:sz="4" w:space="0"/>
                    <w:right w:val="single" w:color="auto" w:sz="6" w:space="0"/>
                  </w:tcBorders>
                  <w:noWrap w:val="0"/>
                  <w:vAlign w:val="center"/>
                </w:tcPr>
                <w:p>
                  <w:pPr>
                    <w:keepNext w:val="0"/>
                    <w:keepLines w:val="0"/>
                    <w:pageBreakBefore w:val="0"/>
                    <w:widowControl w:val="0"/>
                    <w:kinsoku/>
                    <w:wordWrap/>
                    <w:overflowPunct/>
                    <w:topLinePunct w:val="0"/>
                    <w:autoSpaceDE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焊接工序</w:t>
                  </w:r>
                </w:p>
              </w:tc>
              <w:tc>
                <w:tcPr>
                  <w:tcW w:w="999" w:type="pct"/>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颗粒物</w:t>
                  </w:r>
                </w:p>
              </w:tc>
              <w:tc>
                <w:tcPr>
                  <w:tcW w:w="1117" w:type="pct"/>
                  <w:tcBorders>
                    <w:top w:val="single" w:color="auto" w:sz="6" w:space="0"/>
                    <w:left w:val="single" w:color="auto" w:sz="6" w:space="0"/>
                    <w:right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eastAsia" w:cs="Times New Roman" w:eastAsiaTheme="minorEastAsia"/>
                      <w:color w:val="000000" w:themeColor="text1"/>
                      <w:kern w:val="2"/>
                      <w:sz w:val="18"/>
                      <w:szCs w:val="18"/>
                      <w:highlight w:val="none"/>
                      <w:lang w:val="en-US" w:eastAsia="zh-CN" w:bidi="ar-SA"/>
                      <w14:textFill>
                        <w14:solidFill>
                          <w14:schemeClr w14:val="tx1"/>
                        </w14:solidFill>
                      </w14:textFill>
                    </w:rPr>
                    <w:t>密闭间+负压</w:t>
                  </w:r>
                  <w: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t>集气罩</w:t>
                  </w:r>
                </w:p>
              </w:tc>
              <w:tc>
                <w:tcPr>
                  <w:tcW w:w="1101" w:type="pct"/>
                  <w:vMerge w:val="restart"/>
                  <w:tcBorders>
                    <w:top w:val="single" w:color="auto" w:sz="4" w:space="0"/>
                    <w:left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kern w:val="2"/>
                      <w:sz w:val="18"/>
                      <w:szCs w:val="18"/>
                      <w:highlight w:val="cyan"/>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t>1套共用脉冲袋式除尘器+15m高排气筒</w:t>
                  </w: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vMerge w:val="continue"/>
                  <w:tcBorders>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505" w:type="pct"/>
                  <w:vMerge w:val="continue"/>
                  <w:tcBorders>
                    <w:left w:val="single" w:color="auto" w:sz="6" w:space="0"/>
                    <w:right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p>
              </w:tc>
              <w:tc>
                <w:tcPr>
                  <w:tcW w:w="854" w:type="pct"/>
                  <w:tcBorders>
                    <w:top w:val="single" w:color="auto" w:sz="6" w:space="0"/>
                    <w:left w:val="single" w:color="auto" w:sz="4" w:space="0"/>
                    <w:bottom w:val="single" w:color="auto" w:sz="4" w:space="0"/>
                    <w:right w:val="single" w:color="auto" w:sz="6" w:space="0"/>
                  </w:tcBorders>
                  <w:noWrap w:val="0"/>
                  <w:vAlign w:val="center"/>
                </w:tcPr>
                <w:p>
                  <w:pPr>
                    <w:keepNext w:val="0"/>
                    <w:keepLines w:val="0"/>
                    <w:pageBreakBefore w:val="0"/>
                    <w:widowControl w:val="0"/>
                    <w:kinsoku/>
                    <w:wordWrap/>
                    <w:overflowPunct/>
                    <w:topLinePunct w:val="0"/>
                    <w:autoSpaceDE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打磨修整工序</w:t>
                  </w:r>
                </w:p>
              </w:tc>
              <w:tc>
                <w:tcPr>
                  <w:tcW w:w="999" w:type="pct"/>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颗粒物</w:t>
                  </w:r>
                </w:p>
              </w:tc>
              <w:tc>
                <w:tcPr>
                  <w:tcW w:w="1117" w:type="pct"/>
                  <w:tcBorders>
                    <w:top w:val="single" w:color="auto" w:sz="6" w:space="0"/>
                    <w:left w:val="single" w:color="auto" w:sz="6" w:space="0"/>
                    <w:right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eastAsia" w:cs="Times New Roman" w:eastAsiaTheme="minorEastAsia"/>
                      <w:color w:val="000000" w:themeColor="text1"/>
                      <w:kern w:val="2"/>
                      <w:sz w:val="18"/>
                      <w:szCs w:val="18"/>
                      <w:highlight w:val="none"/>
                      <w:lang w:val="en-US" w:eastAsia="zh-CN" w:bidi="ar-SA"/>
                      <w14:textFill>
                        <w14:solidFill>
                          <w14:schemeClr w14:val="tx1"/>
                        </w14:solidFill>
                      </w14:textFill>
                    </w:rPr>
                    <w:t>密闭间+负压</w:t>
                  </w:r>
                  <w: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t>集气罩</w:t>
                  </w:r>
                </w:p>
              </w:tc>
              <w:tc>
                <w:tcPr>
                  <w:tcW w:w="1101" w:type="pct"/>
                  <w:vMerge w:val="continue"/>
                  <w:tcBorders>
                    <w:left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vMerge w:val="continue"/>
                  <w:tcBorders>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505" w:type="pct"/>
                  <w:vMerge w:val="continue"/>
                  <w:tcBorders>
                    <w:left w:val="single" w:color="auto" w:sz="6" w:space="0"/>
                    <w:right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cyan"/>
                      <w:lang w:eastAsia="zh-CN"/>
                      <w14:textFill>
                        <w14:solidFill>
                          <w14:schemeClr w14:val="tx1"/>
                        </w14:solidFill>
                      </w14:textFill>
                    </w:rPr>
                  </w:pPr>
                </w:p>
              </w:tc>
              <w:tc>
                <w:tcPr>
                  <w:tcW w:w="854" w:type="pct"/>
                  <w:tcBorders>
                    <w:top w:val="single" w:color="auto" w:sz="6" w:space="0"/>
                    <w:left w:val="single" w:color="auto" w:sz="4" w:space="0"/>
                    <w:bottom w:val="single" w:color="auto" w:sz="4" w:space="0"/>
                    <w:right w:val="single" w:color="auto" w:sz="6" w:space="0"/>
                  </w:tcBorders>
                  <w:noWrap w:val="0"/>
                  <w:vAlign w:val="center"/>
                </w:tcPr>
                <w:p>
                  <w:pPr>
                    <w:keepNext w:val="0"/>
                    <w:keepLines w:val="0"/>
                    <w:pageBreakBefore w:val="0"/>
                    <w:widowControl w:val="0"/>
                    <w:kinsoku/>
                    <w:wordWrap/>
                    <w:overflowPunct/>
                    <w:topLinePunct w:val="0"/>
                    <w:autoSpaceDE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加热工序</w:t>
                  </w:r>
                </w:p>
              </w:tc>
              <w:tc>
                <w:tcPr>
                  <w:tcW w:w="999" w:type="pct"/>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颗粒物、SO</w:t>
                  </w:r>
                  <w:r>
                    <w:rPr>
                      <w:rFonts w:hint="default" w:ascii="Times New Roman" w:hAnsi="Times New Roman" w:cs="Times New Roman" w:eastAsiaTheme="minorEastAsia"/>
                      <w:color w:val="000000" w:themeColor="text1"/>
                      <w:sz w:val="18"/>
                      <w:szCs w:val="18"/>
                      <w:highlight w:val="none"/>
                      <w:vertAlign w:val="subscript"/>
                      <w:lang w:val="en-US" w:eastAsia="zh-CN"/>
                      <w14:textFill>
                        <w14:solidFill>
                          <w14:schemeClr w14:val="tx1"/>
                        </w14:solidFill>
                      </w14:textFill>
                    </w:rPr>
                    <w:t>2</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、NO</w:t>
                  </w:r>
                  <w:r>
                    <w:rPr>
                      <w:rFonts w:hint="default" w:ascii="Times New Roman" w:hAnsi="Times New Roman" w:cs="Times New Roman" w:eastAsiaTheme="minorEastAsia"/>
                      <w:color w:val="000000" w:themeColor="text1"/>
                      <w:sz w:val="18"/>
                      <w:szCs w:val="18"/>
                      <w:highlight w:val="none"/>
                      <w:vertAlign w:val="subscript"/>
                      <w:lang w:val="en-US" w:eastAsia="zh-CN"/>
                      <w14:textFill>
                        <w14:solidFill>
                          <w14:schemeClr w14:val="tx1"/>
                        </w14:solidFill>
                      </w14:textFill>
                    </w:rPr>
                    <w:t>x</w:t>
                  </w:r>
                  <w:r>
                    <w:rPr>
                      <w:rFonts w:hint="default" w:ascii="Times New Roman" w:hAnsi="Times New Roman" w:cs="Times New Roman" w:eastAsiaTheme="minorEastAsia"/>
                      <w:color w:val="000000" w:themeColor="text1"/>
                      <w:sz w:val="18"/>
                      <w:szCs w:val="18"/>
                      <w:highlight w:val="none"/>
                      <w:vertAlign w:val="baseline"/>
                      <w:lang w:val="en-US" w:eastAsia="zh-CN"/>
                      <w14:textFill>
                        <w14:solidFill>
                          <w14:schemeClr w14:val="tx1"/>
                        </w14:solidFill>
                      </w14:textFill>
                    </w:rPr>
                    <w:t>、氨气</w:t>
                  </w:r>
                </w:p>
              </w:tc>
              <w:tc>
                <w:tcPr>
                  <w:tcW w:w="2219" w:type="pct"/>
                  <w:gridSpan w:val="2"/>
                  <w:tcBorders>
                    <w:top w:val="single" w:color="auto" w:sz="6" w:space="0"/>
                    <w:lef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 w:val="0"/>
                      <w:bCs/>
                      <w:color w:val="000000" w:themeColor="text1"/>
                      <w:sz w:val="18"/>
                      <w:szCs w:val="18"/>
                      <w:highlight w:val="none"/>
                      <w:vertAlign w:val="baseline"/>
                      <w:lang w:val="en-US" w:eastAsia="zh-CN"/>
                      <w14:textFill>
                        <w14:solidFill>
                          <w14:schemeClr w14:val="tx1"/>
                        </w14:solidFill>
                      </w14:textFill>
                    </w:rPr>
                    <w:t>依托现有选择性催化还原（SCR）脱硝废气处理设施</w:t>
                  </w:r>
                  <w: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t>+15m高排气筒</w:t>
                  </w: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vMerge w:val="continue"/>
                  <w:tcBorders>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505" w:type="pct"/>
                  <w:vMerge w:val="continue"/>
                  <w:tcBorders>
                    <w:left w:val="single" w:color="auto" w:sz="6" w:space="0"/>
                    <w:right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cyan"/>
                      <w:lang w:eastAsia="zh-CN"/>
                      <w14:textFill>
                        <w14:solidFill>
                          <w14:schemeClr w14:val="tx1"/>
                        </w14:solidFill>
                      </w14:textFill>
                    </w:rPr>
                  </w:pPr>
                </w:p>
              </w:tc>
              <w:tc>
                <w:tcPr>
                  <w:tcW w:w="854" w:type="pct"/>
                  <w:tcBorders>
                    <w:top w:val="single" w:color="auto" w:sz="6" w:space="0"/>
                    <w:left w:val="single" w:color="auto" w:sz="4" w:space="0"/>
                    <w:bottom w:val="single" w:color="auto" w:sz="4" w:space="0"/>
                    <w:right w:val="single" w:color="auto" w:sz="6" w:space="0"/>
                  </w:tcBorders>
                  <w:noWrap w:val="0"/>
                  <w:vAlign w:val="center"/>
                </w:tcPr>
                <w:p>
                  <w:pPr>
                    <w:keepNext w:val="0"/>
                    <w:keepLines w:val="0"/>
                    <w:pageBreakBefore w:val="0"/>
                    <w:widowControl w:val="0"/>
                    <w:kinsoku/>
                    <w:wordWrap/>
                    <w:overflowPunct/>
                    <w:topLinePunct w:val="0"/>
                    <w:autoSpaceDE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酸洗工序</w:t>
                  </w:r>
                </w:p>
              </w:tc>
              <w:tc>
                <w:tcPr>
                  <w:tcW w:w="999" w:type="pct"/>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HF、硝酸雾（以NOx计）</w:t>
                  </w:r>
                </w:p>
              </w:tc>
              <w:tc>
                <w:tcPr>
                  <w:tcW w:w="2219" w:type="pct"/>
                  <w:gridSpan w:val="2"/>
                  <w:tcBorders>
                    <w:top w:val="single" w:color="auto" w:sz="6" w:space="0"/>
                    <w:lef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b w:val="0"/>
                      <w:bCs/>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b w:val="0"/>
                      <w:bCs/>
                      <w:color w:val="000000" w:themeColor="text1"/>
                      <w:sz w:val="18"/>
                      <w:szCs w:val="18"/>
                      <w:highlight w:val="none"/>
                      <w:vertAlign w:val="baseline"/>
                      <w:lang w:val="en-US" w:eastAsia="zh-CN"/>
                      <w14:textFill>
                        <w14:solidFill>
                          <w14:schemeClr w14:val="tx1"/>
                        </w14:solidFill>
                      </w14:textFill>
                    </w:rPr>
                    <w:t>新增1套</w:t>
                  </w:r>
                  <w:r>
                    <w:rPr>
                      <w:rFonts w:hint="eastAsia" w:cs="Times New Roman"/>
                      <w:b w:val="0"/>
                      <w:bCs/>
                      <w:color w:val="000000" w:themeColor="text1"/>
                      <w:sz w:val="18"/>
                      <w:szCs w:val="18"/>
                      <w:highlight w:val="none"/>
                      <w:vertAlign w:val="baseline"/>
                      <w:lang w:val="en-US" w:eastAsia="zh-CN"/>
                      <w14:textFill>
                        <w14:solidFill>
                          <w14:schemeClr w14:val="tx1"/>
                        </w14:solidFill>
                      </w14:textFill>
                    </w:rPr>
                    <w:t>两级酸雾喷淋塔</w:t>
                  </w:r>
                  <w:r>
                    <w:rPr>
                      <w:rFonts w:hint="default" w:ascii="Times New Roman" w:hAnsi="Times New Roman" w:cs="Times New Roman"/>
                      <w:b w:val="0"/>
                      <w:bCs/>
                      <w:color w:val="000000" w:themeColor="text1"/>
                      <w:sz w:val="18"/>
                      <w:szCs w:val="18"/>
                      <w:highlight w:val="none"/>
                      <w:vertAlign w:val="baseline"/>
                      <w:lang w:val="en-US" w:eastAsia="zh-CN"/>
                      <w14:textFill>
                        <w14:solidFill>
                          <w14:schemeClr w14:val="tx1"/>
                        </w14:solidFill>
                      </w14:textFill>
                    </w:rPr>
                    <w:t>+</w:t>
                  </w:r>
                  <w:r>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t>15m高排气筒</w:t>
                  </w: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vMerge w:val="continue"/>
                  <w:tcBorders>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505" w:type="pct"/>
                  <w:vMerge w:val="restart"/>
                  <w:tcBorders>
                    <w:top w:val="single" w:color="auto" w:sz="6" w:space="0"/>
                    <w:left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无组织</w:t>
                  </w:r>
                </w:p>
              </w:tc>
              <w:tc>
                <w:tcPr>
                  <w:tcW w:w="854" w:type="pct"/>
                  <w:tcBorders>
                    <w:top w:val="single" w:color="auto" w:sz="6" w:space="0"/>
                    <w:left w:val="single" w:color="auto" w:sz="4"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bidi="ar-SA"/>
                      <w14:textFill>
                        <w14:solidFill>
                          <w14:schemeClr w14:val="tx1"/>
                        </w14:solidFill>
                      </w14:textFill>
                    </w:rPr>
                    <w:t>1#生产车间</w:t>
                  </w:r>
                </w:p>
              </w:tc>
              <w:tc>
                <w:tcPr>
                  <w:tcW w:w="999" w:type="pct"/>
                  <w:tcBorders>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bidi="ar-SA"/>
                      <w14:textFill>
                        <w14:solidFill>
                          <w14:schemeClr w14:val="tx1"/>
                        </w14:solidFill>
                      </w14:textFill>
                    </w:rPr>
                    <w:t>颗粒物</w:t>
                  </w:r>
                </w:p>
              </w:tc>
              <w:tc>
                <w:tcPr>
                  <w:tcW w:w="3627" w:type="dxa"/>
                  <w:gridSpan w:val="2"/>
                  <w:vMerge w:val="restart"/>
                  <w:tcBorders>
                    <w:top w:val="single" w:color="auto" w:sz="6" w:space="0"/>
                    <w:left w:val="single" w:color="auto" w:sz="6" w:space="0"/>
                  </w:tcBorders>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eastAsiaTheme="minorEastAsia"/>
                      <w:color w:val="000000" w:themeColor="text1"/>
                      <w:sz w:val="18"/>
                      <w:szCs w:val="18"/>
                      <w:highlight w:val="cyan"/>
                      <w:lang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加强密闭，提高收集效率，</w:t>
                  </w:r>
                  <w:r>
                    <w:rPr>
                      <w:rFonts w:hint="default" w:ascii="Times New Roman" w:hAnsi="Times New Roman" w:cs="Times New Roman"/>
                      <w:color w:val="000000" w:themeColor="text1"/>
                      <w:sz w:val="18"/>
                      <w:szCs w:val="18"/>
                      <w:highlight w:val="none"/>
                      <w:lang w:eastAsia="zh-CN"/>
                      <w14:textFill>
                        <w14:solidFill>
                          <w14:schemeClr w14:val="tx1"/>
                        </w14:solidFill>
                      </w14:textFill>
                    </w:rPr>
                    <w:t>原料区和投料处</w:t>
                  </w:r>
                  <w:r>
                    <w:rPr>
                      <w:rFonts w:hint="default" w:ascii="Times New Roman" w:hAnsi="Times New Roman" w:cs="Times New Roman"/>
                      <w:color w:val="000000" w:themeColor="text1"/>
                      <w:sz w:val="18"/>
                      <w:szCs w:val="18"/>
                      <w:highlight w:val="none"/>
                      <w14:textFill>
                        <w14:solidFill>
                          <w14:schemeClr w14:val="tx1"/>
                        </w14:solidFill>
                      </w14:textFill>
                    </w:rPr>
                    <w:t>设置</w:t>
                  </w:r>
                  <w:r>
                    <w:rPr>
                      <w:rFonts w:hint="default" w:ascii="Times New Roman" w:hAnsi="Times New Roman" w:cs="Times New Roman"/>
                      <w:color w:val="000000" w:themeColor="text1"/>
                      <w:sz w:val="18"/>
                      <w:szCs w:val="18"/>
                      <w:highlight w:val="none"/>
                      <w:lang w:eastAsia="zh-CN"/>
                      <w14:textFill>
                        <w14:solidFill>
                          <w14:schemeClr w14:val="tx1"/>
                        </w14:solidFill>
                      </w14:textFill>
                    </w:rPr>
                    <w:t>喷干雾抑尘装置</w:t>
                  </w:r>
                  <w:r>
                    <w:rPr>
                      <w:rFonts w:hint="default" w:ascii="Times New Roman" w:hAnsi="Times New Roman" w:cs="Times New Roman"/>
                      <w:color w:val="000000" w:themeColor="text1"/>
                      <w:sz w:val="18"/>
                      <w:szCs w:val="18"/>
                      <w:highlight w:val="none"/>
                      <w14:textFill>
                        <w14:solidFill>
                          <w14:schemeClr w14:val="tx1"/>
                        </w14:solidFill>
                      </w14:textFill>
                    </w:rPr>
                    <w:t>，车辆出入口加装自动感应门，无车辆出入时保持关闭状态；厂区道路硬化，经常洒水，路面经常清扫</w:t>
                  </w: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vMerge w:val="continue"/>
                  <w:tcBorders>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505" w:type="pct"/>
                  <w:vMerge w:val="continue"/>
                  <w:tcBorders>
                    <w:left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p>
              </w:tc>
              <w:tc>
                <w:tcPr>
                  <w:tcW w:w="854" w:type="pct"/>
                  <w:tcBorders>
                    <w:top w:val="single" w:color="auto" w:sz="6" w:space="0"/>
                    <w:left w:val="single" w:color="auto" w:sz="4"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2#、3#</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生产车间</w:t>
                  </w:r>
                </w:p>
              </w:tc>
              <w:tc>
                <w:tcPr>
                  <w:tcW w:w="999" w:type="pct"/>
                  <w:tcBorders>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bidi="ar-SA"/>
                      <w14:textFill>
                        <w14:solidFill>
                          <w14:schemeClr w14:val="tx1"/>
                        </w14:solidFill>
                      </w14:textFill>
                    </w:rPr>
                    <w:t>颗粒物</w:t>
                  </w:r>
                </w:p>
              </w:tc>
              <w:tc>
                <w:tcPr>
                  <w:tcW w:w="2219" w:type="pct"/>
                  <w:gridSpan w:val="2"/>
                  <w:vMerge w:val="continue"/>
                  <w:tcBorders>
                    <w:left w:val="single" w:color="auto" w:sz="6" w:space="0"/>
                    <w:bottom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cyan"/>
                      <w:lang w:eastAsia="zh-CN"/>
                      <w14:textFill>
                        <w14:solidFill>
                          <w14:schemeClr w14:val="tx1"/>
                        </w14:solidFill>
                      </w14:textFill>
                    </w:rPr>
                  </w:pP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vMerge w:val="continue"/>
                  <w:tcBorders>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505" w:type="pct"/>
                  <w:vMerge w:val="continue"/>
                  <w:tcBorders>
                    <w:left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p>
              </w:tc>
              <w:tc>
                <w:tcPr>
                  <w:tcW w:w="854" w:type="pct"/>
                  <w:tcBorders>
                    <w:top w:val="single" w:color="auto" w:sz="6" w:space="0"/>
                    <w:left w:val="single" w:color="auto" w:sz="4" w:space="0"/>
                    <w:right w:val="single"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4#酸洗车间</w:t>
                  </w:r>
                </w:p>
              </w:tc>
              <w:tc>
                <w:tcPr>
                  <w:tcW w:w="999" w:type="pct"/>
                  <w:tcBorders>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cyan"/>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氢氟酸雾</w:t>
                  </w:r>
                  <w:r>
                    <w:rPr>
                      <w:rFonts w:hint="eastAsia" w:cs="Times New Roman"/>
                      <w:color w:val="000000" w:themeColor="text1"/>
                      <w:kern w:val="0"/>
                      <w:sz w:val="18"/>
                      <w:szCs w:val="18"/>
                      <w:highlight w:val="none"/>
                      <w:lang w:val="en-US" w:eastAsia="zh-CN"/>
                      <w14:textFill>
                        <w14:solidFill>
                          <w14:schemeClr w14:val="tx1"/>
                        </w14:solidFill>
                      </w14:textFill>
                    </w:rPr>
                    <w:t>、硝酸雾（NOx计）</w:t>
                  </w:r>
                </w:p>
              </w:tc>
              <w:tc>
                <w:tcPr>
                  <w:tcW w:w="3627" w:type="dxa"/>
                  <w:gridSpan w:val="2"/>
                  <w:tcBorders>
                    <w:top w:val="single" w:color="auto" w:sz="6" w:space="0"/>
                    <w:left w:val="single" w:color="auto" w:sz="6" w:space="0"/>
                    <w:bottom w:val="single" w:color="auto" w:sz="6" w:space="0"/>
                  </w:tcBorders>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eastAsiaTheme="minorEastAsia"/>
                      <w:color w:val="000000" w:themeColor="text1"/>
                      <w:sz w:val="18"/>
                      <w:szCs w:val="18"/>
                      <w:highlight w:val="cyan"/>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加强密闭，提高收集效率</w:t>
                  </w: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99" w:hRule="atLeast"/>
                <w:jc w:val="center"/>
              </w:trPr>
              <w:tc>
                <w:tcPr>
                  <w:tcW w:w="420" w:type="pct"/>
                  <w:vMerge w:val="restart"/>
                  <w:tcBorders>
                    <w:top w:val="single" w:color="auto" w:sz="4"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废水</w:t>
                  </w:r>
                </w:p>
              </w:tc>
              <w:tc>
                <w:tcPr>
                  <w:tcW w:w="1360" w:type="pct"/>
                  <w:gridSpan w:val="2"/>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生活污水</w:t>
                  </w:r>
                </w:p>
              </w:tc>
              <w:tc>
                <w:tcPr>
                  <w:tcW w:w="999" w:type="pct"/>
                  <w:tcBorders>
                    <w:top w:val="single" w:color="auto" w:sz="6" w:space="0"/>
                    <w:left w:val="single" w:color="auto" w:sz="6" w:space="0"/>
                    <w:right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pH、COD、BOD</w:t>
                  </w:r>
                  <w:r>
                    <w:rPr>
                      <w:rFonts w:hint="default" w:ascii="Times New Roman" w:hAnsi="Times New Roman" w:cs="Times New Roman" w:eastAsiaTheme="minorEastAsia"/>
                      <w:color w:val="000000" w:themeColor="text1"/>
                      <w:sz w:val="18"/>
                      <w:szCs w:val="18"/>
                      <w:highlight w:val="none"/>
                      <w:vertAlign w:val="subscript"/>
                      <w:lang w:val="en-US" w:eastAsia="zh-CN"/>
                      <w14:textFill>
                        <w14:solidFill>
                          <w14:schemeClr w14:val="tx1"/>
                        </w14:solidFill>
                      </w14:textFill>
                    </w:rPr>
                    <w:t>5</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、SS、NH</w:t>
                  </w:r>
                  <w:r>
                    <w:rPr>
                      <w:rFonts w:hint="default" w:ascii="Times New Roman" w:hAnsi="Times New Roman" w:cs="Times New Roman" w:eastAsiaTheme="minorEastAsia"/>
                      <w:color w:val="000000" w:themeColor="text1"/>
                      <w:sz w:val="18"/>
                      <w:szCs w:val="18"/>
                      <w:highlight w:val="none"/>
                      <w:vertAlign w:val="subscript"/>
                      <w:lang w:val="en-US" w:eastAsia="zh-CN"/>
                      <w14:textFill>
                        <w14:solidFill>
                          <w14:schemeClr w14:val="tx1"/>
                        </w14:solidFill>
                      </w14:textFill>
                    </w:rPr>
                    <w:t>3</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-N、TP</w:t>
                  </w:r>
                </w:p>
              </w:tc>
              <w:tc>
                <w:tcPr>
                  <w:tcW w:w="2219" w:type="pct"/>
                  <w:gridSpan w:val="2"/>
                  <w:tcBorders>
                    <w:top w:val="single" w:color="auto" w:sz="6" w:space="0"/>
                    <w:left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依托现有化粪池处理后，通过区域污水管网排入新乡县综合污水处理厂</w:t>
                  </w: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vMerge w:val="continue"/>
                  <w:tcBorders>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1360" w:type="pct"/>
                  <w:gridSpan w:val="2"/>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酸洗冲洗废水</w:t>
                  </w:r>
                </w:p>
              </w:tc>
              <w:tc>
                <w:tcPr>
                  <w:tcW w:w="999" w:type="pct"/>
                  <w:tcBorders>
                    <w:top w:val="single" w:color="auto" w:sz="6" w:space="0"/>
                    <w:left w:val="single" w:color="auto" w:sz="6" w:space="0"/>
                    <w:right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pH、COD、SS、NH</w:t>
                  </w:r>
                  <w:r>
                    <w:rPr>
                      <w:rFonts w:hint="default" w:ascii="Times New Roman" w:hAnsi="Times New Roman" w:cs="Times New Roman" w:eastAsiaTheme="minorEastAsia"/>
                      <w:color w:val="000000" w:themeColor="text1"/>
                      <w:sz w:val="18"/>
                      <w:szCs w:val="18"/>
                      <w:highlight w:val="none"/>
                      <w:vertAlign w:val="subscript"/>
                      <w:lang w:val="en-US" w:eastAsia="zh-CN"/>
                      <w14:textFill>
                        <w14:solidFill>
                          <w14:schemeClr w14:val="tx1"/>
                        </w14:solidFill>
                      </w14:textFill>
                    </w:rPr>
                    <w:t>3</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-N、石油类、TP、TN、</w:t>
                  </w:r>
                  <w:r>
                    <w:rPr>
                      <w:rFonts w:hint="eastAsia" w:cs="Times New Roman" w:eastAsiaTheme="minorEastAsia"/>
                      <w:color w:val="000000" w:themeColor="text1"/>
                      <w:sz w:val="18"/>
                      <w:szCs w:val="18"/>
                      <w:highlight w:val="none"/>
                      <w:lang w:val="en-US" w:eastAsia="zh-CN"/>
                      <w14:textFill>
                        <w14:solidFill>
                          <w14:schemeClr w14:val="tx1"/>
                        </w14:solidFill>
                      </w14:textFill>
                    </w:rPr>
                    <w:t>氟化物、</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铜、镍、铁、六价铬</w:t>
                  </w:r>
                  <w:r>
                    <w:rPr>
                      <w:rFonts w:hint="eastAsia" w:cs="Times New Roman" w:eastAsiaTheme="minorEastAsia"/>
                      <w:color w:val="000000" w:themeColor="text1"/>
                      <w:sz w:val="18"/>
                      <w:szCs w:val="18"/>
                      <w:highlight w:val="none"/>
                      <w:lang w:val="en-US" w:eastAsia="zh-CN"/>
                      <w14:textFill>
                        <w14:solidFill>
                          <w14:schemeClr w14:val="tx1"/>
                        </w14:solidFill>
                      </w14:textFill>
                    </w:rPr>
                    <w:t>、总铬</w:t>
                  </w:r>
                </w:p>
              </w:tc>
              <w:tc>
                <w:tcPr>
                  <w:tcW w:w="2219" w:type="pct"/>
                  <w:gridSpan w:val="2"/>
                  <w:vMerge w:val="restart"/>
                  <w:tcBorders>
                    <w:left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新建</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1套酸洗废水处理装置（</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采用“隔油沉淀+调节+气浮+pH调节（调酸）+芬顿氧化+中和（调碱）+混凝沉淀+中和+水解酸化+MBR（微滤）</w:t>
                  </w: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+RO+高效蒸发器</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”工艺</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）处理后，RO过滤后清水回用于冲洗，浓水经高效蒸发后残渣作为危废处理</w:t>
                  </w: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vMerge w:val="continue"/>
                  <w:tcBorders>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1360" w:type="pct"/>
                  <w:gridSpan w:val="2"/>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酸雾喷淋废水</w:t>
                  </w:r>
                </w:p>
              </w:tc>
              <w:tc>
                <w:tcPr>
                  <w:tcW w:w="999" w:type="pct"/>
                  <w:tcBorders>
                    <w:top w:val="single" w:color="auto" w:sz="6" w:space="0"/>
                    <w:left w:val="single" w:color="auto" w:sz="6" w:space="0"/>
                    <w:right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pH、COD、SS、氟化物</w:t>
                  </w:r>
                </w:p>
              </w:tc>
              <w:tc>
                <w:tcPr>
                  <w:tcW w:w="2219" w:type="pct"/>
                  <w:gridSpan w:val="2"/>
                  <w:vMerge w:val="continue"/>
                  <w:tcBorders>
                    <w:left w:val="single" w:color="auto" w:sz="4" w:space="0"/>
                    <w:bottom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vMerge w:val="restart"/>
                  <w:tcBorders>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固废</w:t>
                  </w:r>
                </w:p>
              </w:tc>
              <w:tc>
                <w:tcPr>
                  <w:tcW w:w="1360" w:type="pct"/>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切割下料工序</w:t>
                  </w:r>
                </w:p>
              </w:tc>
              <w:tc>
                <w:tcPr>
                  <w:tcW w:w="999" w:type="pct"/>
                  <w:tcBorders>
                    <w:top w:val="single" w:color="auto" w:sz="6" w:space="0"/>
                    <w:left w:val="single" w:color="auto" w:sz="6"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废边角料</w:t>
                  </w:r>
                </w:p>
              </w:tc>
              <w:tc>
                <w:tcPr>
                  <w:tcW w:w="2219" w:type="pct"/>
                  <w:gridSpan w:val="2"/>
                  <w:tcBorders>
                    <w:top w:val="single" w:color="auto" w:sz="6" w:space="0"/>
                    <w:left w:val="single" w:color="auto" w:sz="4" w:space="0"/>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一般固废暂存</w:t>
                  </w: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间</w:t>
                  </w: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暂存后</w:t>
                  </w: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，定期外售机械加工厂</w:t>
                  </w: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vMerge w:val="continue"/>
                  <w:tcBorders>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1360" w:type="pct"/>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原辅材料使用后</w:t>
                  </w:r>
                </w:p>
              </w:tc>
              <w:tc>
                <w:tcPr>
                  <w:tcW w:w="999" w:type="pct"/>
                  <w:tcBorders>
                    <w:top w:val="single" w:color="auto" w:sz="6" w:space="0"/>
                    <w:left w:val="single" w:color="auto" w:sz="6"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废包装材料</w:t>
                  </w:r>
                </w:p>
              </w:tc>
              <w:tc>
                <w:tcPr>
                  <w:tcW w:w="2219" w:type="pct"/>
                  <w:gridSpan w:val="2"/>
                  <w:vMerge w:val="restart"/>
                  <w:tcBorders>
                    <w:top w:val="single" w:color="auto" w:sz="4" w:space="0"/>
                    <w:lef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一般固废暂存</w:t>
                  </w: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间</w:t>
                  </w: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暂存后</w:t>
                  </w: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，定期外售废品回收单位</w:t>
                  </w: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vMerge w:val="continue"/>
                  <w:tcBorders>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1360" w:type="pct"/>
                  <w:gridSpan w:val="2"/>
                  <w:tcBorders>
                    <w:top w:val="single" w:color="auto" w:sz="6" w:space="0"/>
                    <w:left w:val="single" w:color="auto" w:sz="6" w:space="0"/>
                    <w:bottom w:val="single" w:color="auto" w:sz="4"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bidi="ar-SA"/>
                      <w14:textFill>
                        <w14:solidFill>
                          <w14:schemeClr w14:val="tx1"/>
                        </w14:solidFill>
                      </w14:textFill>
                    </w:rPr>
                    <w:t>焊接工序</w:t>
                  </w:r>
                </w:p>
              </w:tc>
              <w:tc>
                <w:tcPr>
                  <w:tcW w:w="999" w:type="pct"/>
                  <w:tcBorders>
                    <w:top w:val="single" w:color="auto" w:sz="6" w:space="0"/>
                    <w:left w:val="single" w:color="auto" w:sz="6" w:space="0"/>
                    <w:bottom w:val="single" w:color="auto" w:sz="4"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bCs/>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t>废焊渣</w:t>
                  </w:r>
                </w:p>
              </w:tc>
              <w:tc>
                <w:tcPr>
                  <w:tcW w:w="2219" w:type="pct"/>
                  <w:gridSpan w:val="2"/>
                  <w:vMerge w:val="continue"/>
                  <w:tcBorders>
                    <w:left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vMerge w:val="continue"/>
                  <w:tcBorders>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1360" w:type="pct"/>
                  <w:gridSpan w:val="2"/>
                  <w:tcBorders>
                    <w:top w:val="single" w:color="auto" w:sz="6" w:space="0"/>
                    <w:left w:val="single" w:color="auto" w:sz="6" w:space="0"/>
                    <w:bottom w:val="single" w:color="auto" w:sz="4"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袋式除尘器</w:t>
                  </w:r>
                </w:p>
              </w:tc>
              <w:tc>
                <w:tcPr>
                  <w:tcW w:w="999" w:type="pct"/>
                  <w:tcBorders>
                    <w:top w:val="single" w:color="auto" w:sz="6" w:space="0"/>
                    <w:left w:val="single" w:color="auto" w:sz="6" w:space="0"/>
                    <w:bottom w:val="single" w:color="auto" w:sz="4"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t>集尘</w:t>
                  </w:r>
                </w:p>
              </w:tc>
              <w:tc>
                <w:tcPr>
                  <w:tcW w:w="2219" w:type="pct"/>
                  <w:gridSpan w:val="2"/>
                  <w:vMerge w:val="continue"/>
                  <w:tcBorders>
                    <w:left w:val="single" w:color="auto" w:sz="4" w:space="0"/>
                    <w:bottom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vMerge w:val="continue"/>
                  <w:tcBorders>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1360" w:type="pct"/>
                  <w:gridSpan w:val="2"/>
                  <w:tcBorders>
                    <w:top w:val="single" w:color="auto" w:sz="6" w:space="0"/>
                    <w:left w:val="single" w:color="auto" w:sz="6" w:space="0"/>
                    <w:bottom w:val="single" w:color="auto" w:sz="4"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生活垃圾</w:t>
                  </w:r>
                </w:p>
              </w:tc>
              <w:tc>
                <w:tcPr>
                  <w:tcW w:w="999" w:type="pct"/>
                  <w:tcBorders>
                    <w:top w:val="single" w:color="auto" w:sz="6" w:space="0"/>
                    <w:left w:val="single" w:color="auto" w:sz="6" w:space="0"/>
                    <w:bottom w:val="single" w:color="auto" w:sz="4"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t>生活垃圾</w:t>
                  </w:r>
                </w:p>
              </w:tc>
              <w:tc>
                <w:tcPr>
                  <w:tcW w:w="2219" w:type="pct"/>
                  <w:gridSpan w:val="2"/>
                  <w:tcBorders>
                    <w:top w:val="single" w:color="auto" w:sz="4" w:space="0"/>
                    <w:left w:val="single" w:color="auto" w:sz="4" w:space="0"/>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垃圾收集箱收集后，定期委托环卫部门清运处理</w:t>
                  </w: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vMerge w:val="continue"/>
                  <w:tcBorders>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1360" w:type="pct"/>
                  <w:gridSpan w:val="2"/>
                  <w:vMerge w:val="restart"/>
                  <w:tcBorders>
                    <w:top w:val="single" w:color="auto" w:sz="4"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t>酸洗废水处理措施</w:t>
                  </w:r>
                </w:p>
              </w:tc>
              <w:tc>
                <w:tcPr>
                  <w:tcW w:w="999" w:type="pct"/>
                  <w:tcBorders>
                    <w:top w:val="single" w:color="auto" w:sz="4"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t>蒸发残渣</w:t>
                  </w:r>
                </w:p>
              </w:tc>
              <w:tc>
                <w:tcPr>
                  <w:tcW w:w="2219" w:type="pct"/>
                  <w:gridSpan w:val="2"/>
                  <w:vMerge w:val="restart"/>
                  <w:tcBorders>
                    <w:top w:val="single" w:color="auto" w:sz="4" w:space="0"/>
                    <w:left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危险固废暂存间暂存后，定期委托有资质的危废处置单位回收处理</w:t>
                  </w: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vMerge w:val="continue"/>
                  <w:tcBorders>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1360" w:type="pct"/>
                  <w:gridSpan w:val="2"/>
                  <w:vMerge w:val="continue"/>
                  <w:tcBorders>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pPr>
                </w:p>
              </w:tc>
              <w:tc>
                <w:tcPr>
                  <w:tcW w:w="999" w:type="pct"/>
                  <w:tcBorders>
                    <w:top w:val="single" w:color="auto" w:sz="4"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pPr>
                  <w:r>
                    <w:rPr>
                      <w:rFonts w:hint="eastAsia" w:cs="Times New Roman"/>
                      <w:bCs/>
                      <w:color w:val="000000" w:themeColor="text1"/>
                      <w:sz w:val="18"/>
                      <w:szCs w:val="18"/>
                      <w:highlight w:val="none"/>
                      <w:lang w:val="en-US" w:eastAsia="zh-CN" w:bidi="ar-SA"/>
                      <w14:textFill>
                        <w14:solidFill>
                          <w14:schemeClr w14:val="tx1"/>
                        </w14:solidFill>
                      </w14:textFill>
                    </w:rPr>
                    <w:t>油污、污泥</w:t>
                  </w:r>
                </w:p>
              </w:tc>
              <w:tc>
                <w:tcPr>
                  <w:tcW w:w="2219" w:type="pct"/>
                  <w:gridSpan w:val="2"/>
                  <w:vMerge w:val="continue"/>
                  <w:tcBorders>
                    <w:left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vMerge w:val="continue"/>
                  <w:tcBorders>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1360" w:type="pct"/>
                  <w:gridSpan w:val="2"/>
                  <w:tcBorders>
                    <w:top w:val="single" w:color="auto" w:sz="4"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t>液压设备维护过程</w:t>
                  </w:r>
                </w:p>
              </w:tc>
              <w:tc>
                <w:tcPr>
                  <w:tcW w:w="999" w:type="pct"/>
                  <w:tcBorders>
                    <w:top w:val="single" w:color="auto" w:sz="4"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t>废液压油</w:t>
                  </w:r>
                </w:p>
              </w:tc>
              <w:tc>
                <w:tcPr>
                  <w:tcW w:w="2219" w:type="pct"/>
                  <w:gridSpan w:val="2"/>
                  <w:vMerge w:val="continue"/>
                  <w:tcBorders>
                    <w:left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vMerge w:val="continue"/>
                  <w:tcBorders>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1360" w:type="pct"/>
                  <w:gridSpan w:val="2"/>
                  <w:tcBorders>
                    <w:top w:val="single" w:color="auto" w:sz="4"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t>机械设备维护过程</w:t>
                  </w:r>
                </w:p>
              </w:tc>
              <w:tc>
                <w:tcPr>
                  <w:tcW w:w="999" w:type="pct"/>
                  <w:tcBorders>
                    <w:top w:val="single" w:color="auto" w:sz="4"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t>废润滑油</w:t>
                  </w:r>
                </w:p>
              </w:tc>
              <w:tc>
                <w:tcPr>
                  <w:tcW w:w="2219" w:type="pct"/>
                  <w:gridSpan w:val="2"/>
                  <w:vMerge w:val="continue"/>
                  <w:tcBorders>
                    <w:left w:val="single" w:color="auto" w:sz="4" w:space="0"/>
                    <w:bottom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vMerge w:val="restart"/>
                  <w:tcBorders>
                    <w:top w:val="single" w:color="auto" w:sz="4"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噪声</w:t>
                  </w:r>
                </w:p>
              </w:tc>
              <w:tc>
                <w:tcPr>
                  <w:tcW w:w="1360" w:type="pct"/>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生产机械设备运行</w:t>
                  </w:r>
                </w:p>
              </w:tc>
              <w:tc>
                <w:tcPr>
                  <w:tcW w:w="999" w:type="pct"/>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机械噪声</w:t>
                  </w:r>
                </w:p>
              </w:tc>
              <w:tc>
                <w:tcPr>
                  <w:tcW w:w="2219" w:type="pct"/>
                  <w:gridSpan w:val="2"/>
                  <w:tcBorders>
                    <w:top w:val="single" w:color="auto" w:sz="4" w:space="0"/>
                    <w:left w:val="single" w:color="auto" w:sz="6" w:space="0"/>
                    <w:bottom w:val="single" w:color="auto" w:sz="4"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室内布置，设置减震基础</w:t>
                  </w:r>
                </w:p>
              </w:tc>
            </w:tr>
            <w:tr>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0" w:type="pct"/>
                  <w:vMerge w:val="continue"/>
                  <w:tcBorders>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1360" w:type="pct"/>
                  <w:gridSpan w:val="2"/>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空气压缩机</w:t>
                  </w:r>
                  <w:r>
                    <w:rPr>
                      <w:rFonts w:hint="eastAsia" w:cs="Times New Roman" w:eastAsiaTheme="minorEastAsia"/>
                      <w:color w:val="000000" w:themeColor="text1"/>
                      <w:sz w:val="18"/>
                      <w:szCs w:val="18"/>
                      <w:highlight w:val="none"/>
                      <w:lang w:eastAsia="zh-CN"/>
                      <w14:textFill>
                        <w14:solidFill>
                          <w14:schemeClr w14:val="tx1"/>
                        </w14:solidFill>
                      </w14:textFill>
                    </w:rPr>
                    <w:t>、风机</w:t>
                  </w:r>
                </w:p>
              </w:tc>
              <w:tc>
                <w:tcPr>
                  <w:tcW w:w="999" w:type="pct"/>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空气动力噪声</w:t>
                  </w:r>
                </w:p>
              </w:tc>
              <w:tc>
                <w:tcPr>
                  <w:tcW w:w="2219" w:type="pct"/>
                  <w:gridSpan w:val="2"/>
                  <w:tcBorders>
                    <w:top w:val="single" w:color="auto" w:sz="4" w:space="0"/>
                    <w:left w:val="single" w:color="auto" w:sz="6" w:space="0"/>
                    <w:bottom w:val="single" w:color="auto" w:sz="6" w:space="0"/>
                  </w:tcBorders>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安装隔声装置，厂房隔声</w:t>
                  </w:r>
                </w:p>
              </w:tc>
            </w:tr>
          </w:tbl>
          <w:p>
            <w:pPr>
              <w:pageBreakBefore w:val="0"/>
              <w:kinsoku/>
              <w:wordWrap/>
              <w:overflowPunct/>
              <w:topLinePunct w:val="0"/>
              <w:bidi w:val="0"/>
              <w:adjustRightInd/>
              <w:snapToGrid/>
              <w:spacing w:line="320" w:lineRule="exact"/>
              <w:ind w:left="0" w:leftChars="0"/>
              <w:rPr>
                <w:rFonts w:hint="default" w:ascii="Times New Roman" w:hAnsi="Times New Roman" w:eastAsia="宋体" w:cs="Times New Roman"/>
                <w:bCs/>
                <w:color w:val="000000" w:themeColor="text1"/>
                <w:szCs w:val="21"/>
                <w:highlight w:val="cyan"/>
                <w:lang w:eastAsia="zh-CN"/>
                <w14:textFill>
                  <w14:solidFill>
                    <w14:schemeClr w14:val="tx1"/>
                  </w14:solidFill>
                </w14:textFill>
              </w:rPr>
            </w:pPr>
            <w:r>
              <w:rPr>
                <w:rFonts w:hint="eastAsia" w:cs="Times New Roman"/>
                <w:bCs/>
                <w:color w:val="000000" w:themeColor="text1"/>
                <w:szCs w:val="21"/>
                <w:highlight w:val="none"/>
                <w:lang w:eastAsia="zh-CN"/>
                <w14:textFill>
                  <w14:solidFill>
                    <w14:schemeClr w14:val="tx1"/>
                  </w14:solidFill>
                </w14:textFill>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7" w:type="pct"/>
            <w:noWrap w:val="0"/>
            <w:vAlign w:val="center"/>
          </w:tcPr>
          <w:p>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280" w:lineRule="exact"/>
              <w:ind w:left="0" w:leftChars="0" w:firstLine="0" w:firstLineChars="0"/>
              <w:jc w:val="center"/>
              <w:textAlignment w:val="auto"/>
              <w:rPr>
                <w:rFonts w:hint="default" w:ascii="Times New Roman" w:hAnsi="Times New Roman" w:cs="Times New Roman"/>
                <w:color w:val="000000" w:themeColor="text1"/>
                <w:sz w:val="21"/>
                <w:szCs w:val="21"/>
                <w:highlight w:val="cyan"/>
                <w14:textFill>
                  <w14:solidFill>
                    <w14:schemeClr w14:val="tx1"/>
                  </w14:solidFill>
                </w14:textFill>
              </w:rPr>
            </w:pPr>
            <w:r>
              <w:rPr>
                <w:rFonts w:hint="default" w:ascii="Times New Roman" w:hAnsi="Times New Roman" w:cs="Times New Roman"/>
                <w:bCs/>
                <w:color w:val="000000" w:themeColor="text1"/>
                <w:kern w:val="2"/>
                <w:sz w:val="21"/>
                <w:szCs w:val="21"/>
                <w:highlight w:val="none"/>
                <w14:textFill>
                  <w14:solidFill>
                    <w14:schemeClr w14:val="tx1"/>
                  </w14:solidFill>
                </w14:textFill>
              </w:rPr>
              <w:t>与项目有关的原有环境污染问题</w:t>
            </w:r>
          </w:p>
        </w:tc>
        <w:tc>
          <w:tcPr>
            <w:tcW w:w="4542"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422" w:firstLineChars="200"/>
              <w:textAlignment w:val="auto"/>
              <w:rPr>
                <w:rFonts w:hint="default" w:ascii="Times New Roman" w:hAnsi="Times New Roman" w:cs="Times New Roman"/>
                <w:b/>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bCs w:val="0"/>
                <w:color w:val="000000" w:themeColor="text1"/>
                <w:kern w:val="0"/>
                <w:sz w:val="21"/>
                <w:szCs w:val="21"/>
                <w:highlight w:val="none"/>
                <w:lang w:val="en-US" w:eastAsia="zh-CN"/>
                <w14:textFill>
                  <w14:solidFill>
                    <w14:schemeClr w14:val="tx1"/>
                  </w14:solidFill>
                </w14:textFill>
              </w:rPr>
              <w:t>1、现有</w:t>
            </w:r>
            <w:r>
              <w:rPr>
                <w:rFonts w:hint="eastAsia" w:cs="Times New Roman"/>
                <w:b/>
                <w:bCs w:val="0"/>
                <w:color w:val="000000" w:themeColor="text1"/>
                <w:kern w:val="0"/>
                <w:sz w:val="21"/>
                <w:szCs w:val="21"/>
                <w:highlight w:val="none"/>
                <w:lang w:val="en-US" w:eastAsia="zh-CN"/>
                <w14:textFill>
                  <w14:solidFill>
                    <w14:schemeClr w14:val="tx1"/>
                  </w14:solidFill>
                </w14:textFill>
              </w:rPr>
              <w:t>工程</w:t>
            </w:r>
            <w:r>
              <w:rPr>
                <w:rFonts w:hint="default" w:ascii="Times New Roman" w:hAnsi="Times New Roman" w:cs="Times New Roman"/>
                <w:b/>
                <w:bCs w:val="0"/>
                <w:color w:val="000000" w:themeColor="text1"/>
                <w:kern w:val="0"/>
                <w:sz w:val="21"/>
                <w:szCs w:val="21"/>
                <w:highlight w:val="none"/>
                <w:lang w:val="en-US" w:eastAsia="zh-CN"/>
                <w14:textFill>
                  <w14:solidFill>
                    <w14:schemeClr w14:val="tx1"/>
                  </w14:solidFill>
                </w14:textFill>
              </w:rPr>
              <w:t>概况</w:t>
            </w:r>
          </w:p>
          <w:p>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default"/>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新乡中联石化封头锻压有限公司位于新乡市新乡县小冀镇青龙大道39号，目前公司现有《新乡中联石化封头锻压有限公司蓄热式台车加热炉节能技术改造项目环境影响报告表》于2011年8月8日以“新环监（2011）196号”通过新乡市环境保护局审批，并于2012年12月31日以“新环验（2012）176号”通过新乡市环境保护局验收。目前公司以于2020年5月22日办理排污许可证，证书编号：914107211731700675001Z。</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现有工程环保履行情况如下：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现有项目环评及验收情况一览表</w:t>
            </w:r>
          </w:p>
          <w:tbl>
            <w:tblPr>
              <w:tblStyle w:val="21"/>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79"/>
              <w:gridCol w:w="1499"/>
              <w:gridCol w:w="2280"/>
              <w:gridCol w:w="1006"/>
              <w:gridCol w:w="1785"/>
              <w:gridCol w:w="103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54" w:type="pct"/>
                  <w:vMerge w:val="restart"/>
                  <w:noWrap w:val="0"/>
                  <w:vAlign w:val="center"/>
                </w:tcPr>
                <w:p>
                  <w:pPr>
                    <w:keepNext w:val="0"/>
                    <w:keepLines w:val="0"/>
                    <w:pageBreakBefore w:val="0"/>
                    <w:widowControl w:val="0"/>
                    <w:kinsoku/>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序号</w:t>
                  </w:r>
                </w:p>
              </w:tc>
              <w:tc>
                <w:tcPr>
                  <w:tcW w:w="916" w:type="pct"/>
                  <w:vMerge w:val="restart"/>
                  <w:noWrap w:val="0"/>
                  <w:vAlign w:val="center"/>
                </w:tcPr>
                <w:p>
                  <w:pPr>
                    <w:keepNext w:val="0"/>
                    <w:keepLines w:val="0"/>
                    <w:pageBreakBefore w:val="0"/>
                    <w:widowControl w:val="0"/>
                    <w:kinsoku/>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项目名称</w:t>
                  </w:r>
                </w:p>
              </w:tc>
              <w:tc>
                <w:tcPr>
                  <w:tcW w:w="2008" w:type="pct"/>
                  <w:gridSpan w:val="2"/>
                  <w:noWrap w:val="0"/>
                  <w:vAlign w:val="center"/>
                </w:tcPr>
                <w:p>
                  <w:pPr>
                    <w:keepNext w:val="0"/>
                    <w:keepLines w:val="0"/>
                    <w:pageBreakBefore w:val="0"/>
                    <w:widowControl w:val="0"/>
                    <w:kinsoku/>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环境影响评价</w:t>
                  </w:r>
                </w:p>
              </w:tc>
              <w:tc>
                <w:tcPr>
                  <w:tcW w:w="1720" w:type="pct"/>
                  <w:gridSpan w:val="2"/>
                  <w:noWrap w:val="0"/>
                  <w:vAlign w:val="center"/>
                </w:tcPr>
                <w:p>
                  <w:pPr>
                    <w:keepNext w:val="0"/>
                    <w:keepLines w:val="0"/>
                    <w:pageBreakBefore w:val="0"/>
                    <w:widowControl w:val="0"/>
                    <w:kinsoku/>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环境保护验收</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54" w:type="pct"/>
                  <w:vMerge w:val="continue"/>
                  <w:noWrap w:val="0"/>
                  <w:vAlign w:val="center"/>
                </w:tcPr>
                <w:p>
                  <w:pPr>
                    <w:keepNext w:val="0"/>
                    <w:keepLines w:val="0"/>
                    <w:pageBreakBefore w:val="0"/>
                    <w:widowControl w:val="0"/>
                    <w:kinsoku/>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916" w:type="pct"/>
                  <w:vMerge w:val="continue"/>
                  <w:noWrap w:val="0"/>
                  <w:vAlign w:val="center"/>
                </w:tcPr>
                <w:p>
                  <w:pPr>
                    <w:keepNext w:val="0"/>
                    <w:keepLines w:val="0"/>
                    <w:pageBreakBefore w:val="0"/>
                    <w:widowControl w:val="0"/>
                    <w:kinsoku/>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1393" w:type="pct"/>
                  <w:noWrap w:val="0"/>
                  <w:vAlign w:val="center"/>
                </w:tcPr>
                <w:p>
                  <w:pPr>
                    <w:keepNext w:val="0"/>
                    <w:keepLines w:val="0"/>
                    <w:pageBreakBefore w:val="0"/>
                    <w:widowControl w:val="0"/>
                    <w:kinsoku/>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批复文号及时间</w:t>
                  </w:r>
                </w:p>
              </w:tc>
              <w:tc>
                <w:tcPr>
                  <w:tcW w:w="614" w:type="pct"/>
                  <w:noWrap w:val="0"/>
                  <w:vAlign w:val="center"/>
                </w:tcPr>
                <w:p>
                  <w:pPr>
                    <w:keepNext w:val="0"/>
                    <w:keepLines w:val="0"/>
                    <w:pageBreakBefore w:val="0"/>
                    <w:widowControl w:val="0"/>
                    <w:kinsoku/>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审批单位</w:t>
                  </w:r>
                </w:p>
              </w:tc>
              <w:tc>
                <w:tcPr>
                  <w:tcW w:w="1091" w:type="pct"/>
                  <w:noWrap w:val="0"/>
                  <w:vAlign w:val="center"/>
                </w:tcPr>
                <w:p>
                  <w:pPr>
                    <w:keepNext w:val="0"/>
                    <w:keepLines w:val="0"/>
                    <w:pageBreakBefore w:val="0"/>
                    <w:widowControl w:val="0"/>
                    <w:kinsoku/>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验收文号及时间</w:t>
                  </w:r>
                </w:p>
              </w:tc>
              <w:tc>
                <w:tcPr>
                  <w:tcW w:w="629" w:type="pct"/>
                  <w:noWrap w:val="0"/>
                  <w:vAlign w:val="center"/>
                </w:tcPr>
                <w:p>
                  <w:pPr>
                    <w:keepNext w:val="0"/>
                    <w:keepLines w:val="0"/>
                    <w:pageBreakBefore w:val="0"/>
                    <w:widowControl w:val="0"/>
                    <w:kinsoku/>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审批单位</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54" w:type="pct"/>
                  <w:noWrap w:val="0"/>
                  <w:vAlign w:val="center"/>
                </w:tcPr>
                <w:p>
                  <w:pPr>
                    <w:keepNext w:val="0"/>
                    <w:keepLines w:val="0"/>
                    <w:pageBreakBefore w:val="0"/>
                    <w:widowControl w:val="0"/>
                    <w:kinsoku/>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1</w:t>
                  </w:r>
                </w:p>
              </w:tc>
              <w:tc>
                <w:tcPr>
                  <w:tcW w:w="916" w:type="pct"/>
                  <w:noWrap w:val="0"/>
                  <w:vAlign w:val="center"/>
                </w:tcPr>
                <w:p>
                  <w:pPr>
                    <w:keepNext w:val="0"/>
                    <w:keepLines w:val="0"/>
                    <w:pageBreakBefore w:val="0"/>
                    <w:widowControl w:val="0"/>
                    <w:kinsoku/>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18"/>
                      <w:szCs w:val="18"/>
                      <w:highlight w:val="none"/>
                      <w:lang w:val="en-US" w:eastAsia="zh-CN"/>
                      <w14:textFill>
                        <w14:solidFill>
                          <w14:schemeClr w14:val="tx1"/>
                        </w14:solidFill>
                      </w14:textFill>
                    </w:rPr>
                    <w:t>蓄热式台车加热炉节能技术改造项目</w:t>
                  </w:r>
                </w:p>
              </w:tc>
              <w:tc>
                <w:tcPr>
                  <w:tcW w:w="1393"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18"/>
                      <w:szCs w:val="18"/>
                      <w:highlight w:val="none"/>
                      <w:lang w:val="en-US" w:eastAsia="zh-CN"/>
                      <w14:textFill>
                        <w14:solidFill>
                          <w14:schemeClr w14:val="tx1"/>
                        </w14:solidFill>
                      </w14:textFill>
                    </w:rPr>
                    <w:t>新环监（2011）196号</w:t>
                  </w:r>
                </w:p>
              </w:tc>
              <w:tc>
                <w:tcPr>
                  <w:tcW w:w="614" w:type="pct"/>
                  <w:noWrap w:val="0"/>
                  <w:vAlign w:val="center"/>
                </w:tcPr>
                <w:p>
                  <w:pPr>
                    <w:keepNext w:val="0"/>
                    <w:keepLines w:val="0"/>
                    <w:pageBreakBefore w:val="0"/>
                    <w:widowControl w:val="0"/>
                    <w:kinsoku/>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t>新乡市环境保护局</w:t>
                  </w:r>
                </w:p>
              </w:tc>
              <w:tc>
                <w:tcPr>
                  <w:tcW w:w="1091" w:type="pct"/>
                  <w:noWrap w:val="0"/>
                  <w:vAlign w:val="center"/>
                </w:tcPr>
                <w:p>
                  <w:pPr>
                    <w:keepNext w:val="0"/>
                    <w:keepLines w:val="0"/>
                    <w:pageBreakBefore w:val="0"/>
                    <w:widowControl w:val="0"/>
                    <w:kinsoku/>
                    <w:wordWrap w:val="0"/>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18"/>
                      <w:szCs w:val="18"/>
                      <w:highlight w:val="none"/>
                      <w:lang w:val="en-US" w:eastAsia="zh-CN"/>
                      <w14:textFill>
                        <w14:solidFill>
                          <w14:schemeClr w14:val="tx1"/>
                        </w14:solidFill>
                      </w14:textFill>
                    </w:rPr>
                    <w:t>新环验</w:t>
                  </w:r>
                </w:p>
                <w:p>
                  <w:pPr>
                    <w:keepNext w:val="0"/>
                    <w:keepLines w:val="0"/>
                    <w:pageBreakBefore w:val="0"/>
                    <w:widowControl w:val="0"/>
                    <w:kinsoku/>
                    <w:wordWrap w:val="0"/>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18"/>
                      <w:szCs w:val="18"/>
                      <w:highlight w:val="none"/>
                      <w:lang w:val="en-US" w:eastAsia="zh-CN"/>
                      <w14:textFill>
                        <w14:solidFill>
                          <w14:schemeClr w14:val="tx1"/>
                        </w14:solidFill>
                      </w14:textFill>
                    </w:rPr>
                    <w:t>（2012）176号</w:t>
                  </w:r>
                </w:p>
              </w:tc>
              <w:tc>
                <w:tcPr>
                  <w:tcW w:w="629" w:type="pct"/>
                  <w:noWrap w:val="0"/>
                  <w:vAlign w:val="center"/>
                </w:tcPr>
                <w:p>
                  <w:pPr>
                    <w:keepNext w:val="0"/>
                    <w:keepLines w:val="0"/>
                    <w:pageBreakBefore w:val="0"/>
                    <w:widowControl w:val="0"/>
                    <w:kinsoku/>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t>新乡市环境保护局</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54" w:type="pct"/>
                  <w:noWrap w:val="0"/>
                  <w:vAlign w:val="center"/>
                </w:tcPr>
                <w:p>
                  <w:pPr>
                    <w:keepNext w:val="0"/>
                    <w:keepLines w:val="0"/>
                    <w:pageBreakBefore w:val="0"/>
                    <w:widowControl w:val="0"/>
                    <w:kinsoku/>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2</w:t>
                  </w:r>
                </w:p>
              </w:tc>
              <w:tc>
                <w:tcPr>
                  <w:tcW w:w="916" w:type="pct"/>
                  <w:noWrap w:val="0"/>
                  <w:vAlign w:val="center"/>
                </w:tcPr>
                <w:p>
                  <w:pPr>
                    <w:keepNext w:val="0"/>
                    <w:keepLines w:val="0"/>
                    <w:pageBreakBefore w:val="0"/>
                    <w:widowControl w:val="0"/>
                    <w:kinsoku/>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排污许可登记</w:t>
                  </w:r>
                </w:p>
              </w:tc>
              <w:tc>
                <w:tcPr>
                  <w:tcW w:w="1393"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登记编号：914107211731700675001Z</w:t>
                  </w:r>
                </w:p>
              </w:tc>
              <w:tc>
                <w:tcPr>
                  <w:tcW w:w="614" w:type="pct"/>
                  <w:noWrap w:val="0"/>
                  <w:vAlign w:val="center"/>
                </w:tcPr>
                <w:p>
                  <w:pPr>
                    <w:keepNext w:val="0"/>
                    <w:keepLines w:val="0"/>
                    <w:pageBreakBefore w:val="0"/>
                    <w:widowControl w:val="0"/>
                    <w:kinsoku/>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eastAsia" w:cs="Times New Roman"/>
                      <w:snapToGrid w:val="0"/>
                      <w:color w:val="000000" w:themeColor="text1"/>
                      <w:kern w:val="0"/>
                      <w:sz w:val="18"/>
                      <w:szCs w:val="18"/>
                      <w:highlight w:val="none"/>
                      <w:lang w:eastAsia="zh-CN"/>
                      <w14:textFill>
                        <w14:solidFill>
                          <w14:schemeClr w14:val="tx1"/>
                        </w14:solidFill>
                      </w14:textFill>
                    </w:rPr>
                    <w:t>新乡县</w:t>
                  </w: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环境保护局</w:t>
                  </w:r>
                </w:p>
              </w:tc>
              <w:tc>
                <w:tcPr>
                  <w:tcW w:w="1720" w:type="pct"/>
                  <w:gridSpan w:val="2"/>
                  <w:noWrap w:val="0"/>
                  <w:vAlign w:val="center"/>
                </w:tcPr>
                <w:p>
                  <w:pPr>
                    <w:keepNext w:val="0"/>
                    <w:keepLines w:val="0"/>
                    <w:pageBreakBefore w:val="0"/>
                    <w:widowControl w:val="0"/>
                    <w:kinsoku/>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2020年5月22日</w:t>
                  </w:r>
                </w:p>
              </w:tc>
            </w:tr>
          </w:tbl>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eastAsia="宋体" w:cs="Times New Roman"/>
                <w:b/>
                <w:color w:val="000000" w:themeColor="text1"/>
                <w:kern w:val="0"/>
                <w:szCs w:val="21"/>
                <w:lang w:eastAsia="zh-CN"/>
                <w14:textFill>
                  <w14:solidFill>
                    <w14:schemeClr w14:val="tx1"/>
                  </w14:solidFill>
                </w14:textFill>
              </w:rPr>
            </w:pPr>
            <w:r>
              <w:rPr>
                <w:rFonts w:hint="default" w:ascii="Times New Roman" w:hAnsi="Times New Roman" w:cs="Times New Roman"/>
                <w:b/>
                <w:color w:val="000000" w:themeColor="text1"/>
                <w:kern w:val="0"/>
                <w:szCs w:val="21"/>
                <w:lang w:val="en-US" w:eastAsia="zh-CN"/>
                <w14:textFill>
                  <w14:solidFill>
                    <w14:schemeClr w14:val="tx1"/>
                  </w14:solidFill>
                </w14:textFill>
              </w:rPr>
              <w:t>2、</w:t>
            </w:r>
            <w:r>
              <w:rPr>
                <w:rFonts w:hint="default" w:ascii="Times New Roman" w:hAnsi="Times New Roman" w:cs="Times New Roman"/>
                <w:b/>
                <w:color w:val="000000" w:themeColor="text1"/>
                <w:kern w:val="0"/>
                <w:szCs w:val="21"/>
                <w:lang w:eastAsia="zh-CN"/>
                <w14:textFill>
                  <w14:solidFill>
                    <w14:schemeClr w14:val="tx1"/>
                  </w14:solidFill>
                </w14:textFill>
              </w:rPr>
              <w:t>现有工程基本情况</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jc w:val="both"/>
              <w:textAlignment w:val="auto"/>
              <w:rPr>
                <w:rFonts w:hint="default"/>
                <w:color w:val="000000" w:themeColor="text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现有工程基本情况见下表。</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现有工程基本情况一览表</w:t>
            </w:r>
          </w:p>
          <w:tbl>
            <w:tblPr>
              <w:tblStyle w:val="21"/>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79" w:type="dxa"/>
                <w:bottom w:w="0" w:type="dxa"/>
                <w:right w:w="79" w:type="dxa"/>
              </w:tblCellMar>
            </w:tblPr>
            <w:tblGrid>
              <w:gridCol w:w="610"/>
              <w:gridCol w:w="1483"/>
              <w:gridCol w:w="608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79" w:type="dxa"/>
                  <w:bottom w:w="0" w:type="dxa"/>
                  <w:right w:w="79" w:type="dxa"/>
                </w:tblCellMar>
              </w:tblPrEx>
              <w:trPr>
                <w:trHeight w:val="454" w:hRule="atLeast"/>
                <w:jc w:val="center"/>
              </w:trPr>
              <w:tc>
                <w:tcPr>
                  <w:tcW w:w="373" w:type="pct"/>
                  <w:noWrap w:val="0"/>
                  <w:tcMar>
                    <w:top w:w="0" w:type="dxa"/>
                    <w:bottom w:w="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14:textFill>
                        <w14:solidFill>
                          <w14:schemeClr w14:val="tx1"/>
                        </w14:solidFill>
                      </w14:textFill>
                    </w:rPr>
                  </w:pPr>
                  <w:r>
                    <w:rPr>
                      <w:rFonts w:hint="default" w:ascii="Times New Roman" w:hAnsi="Times New Roman" w:cs="Times New Roman"/>
                      <w:snapToGrid w:val="0"/>
                      <w:color w:val="000000" w:themeColor="text1"/>
                      <w:kern w:val="0"/>
                      <w:sz w:val="18"/>
                      <w:szCs w:val="18"/>
                      <w14:textFill>
                        <w14:solidFill>
                          <w14:schemeClr w14:val="tx1"/>
                        </w14:solidFill>
                      </w14:textFill>
                    </w:rPr>
                    <w:t>序号</w:t>
                  </w:r>
                </w:p>
              </w:tc>
              <w:tc>
                <w:tcPr>
                  <w:tcW w:w="907" w:type="pct"/>
                  <w:noWrap w:val="0"/>
                  <w:tcMar>
                    <w:top w:w="0" w:type="dxa"/>
                    <w:bottom w:w="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14:textFill>
                        <w14:solidFill>
                          <w14:schemeClr w14:val="tx1"/>
                        </w14:solidFill>
                      </w14:textFill>
                    </w:rPr>
                  </w:pPr>
                  <w:r>
                    <w:rPr>
                      <w:rFonts w:hint="default" w:ascii="Times New Roman" w:hAnsi="Times New Roman" w:cs="Times New Roman"/>
                      <w:snapToGrid w:val="0"/>
                      <w:color w:val="000000" w:themeColor="text1"/>
                      <w:kern w:val="0"/>
                      <w:sz w:val="18"/>
                      <w:szCs w:val="18"/>
                      <w14:textFill>
                        <w14:solidFill>
                          <w14:schemeClr w14:val="tx1"/>
                        </w14:solidFill>
                      </w14:textFill>
                    </w:rPr>
                    <w:t>项目情况</w:t>
                  </w:r>
                </w:p>
              </w:tc>
              <w:tc>
                <w:tcPr>
                  <w:tcW w:w="3719" w:type="pct"/>
                  <w:noWrap w:val="0"/>
                  <w:tcMar>
                    <w:top w:w="0" w:type="dxa"/>
                    <w:bottom w:w="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14:textFill>
                        <w14:solidFill>
                          <w14:schemeClr w14:val="tx1"/>
                        </w14:solidFill>
                      </w14:textFill>
                    </w:rPr>
                  </w:pPr>
                  <w:r>
                    <w:rPr>
                      <w:rFonts w:hint="default" w:ascii="Times New Roman" w:hAnsi="Times New Roman" w:cs="Times New Roman"/>
                      <w:snapToGrid w:val="0"/>
                      <w:color w:val="000000" w:themeColor="text1"/>
                      <w:kern w:val="0"/>
                      <w:sz w:val="18"/>
                      <w:szCs w:val="18"/>
                      <w14:textFill>
                        <w14:solidFill>
                          <w14:schemeClr w14:val="tx1"/>
                        </w14:solidFill>
                      </w14:textFill>
                    </w:rPr>
                    <w:t>内    容</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79" w:type="dxa"/>
                  <w:bottom w:w="0" w:type="dxa"/>
                  <w:right w:w="79" w:type="dxa"/>
                </w:tblCellMar>
              </w:tblPrEx>
              <w:trPr>
                <w:trHeight w:val="454" w:hRule="atLeast"/>
                <w:jc w:val="center"/>
              </w:trPr>
              <w:tc>
                <w:tcPr>
                  <w:tcW w:w="373" w:type="pct"/>
                  <w:noWrap w:val="0"/>
                  <w:tcMar>
                    <w:top w:w="28" w:type="dxa"/>
                    <w:bottom w:w="28"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14:textFill>
                        <w14:solidFill>
                          <w14:schemeClr w14:val="tx1"/>
                        </w14:solidFill>
                      </w14:textFill>
                    </w:rPr>
                  </w:pPr>
                  <w:r>
                    <w:rPr>
                      <w:rFonts w:hint="default" w:ascii="Times New Roman" w:hAnsi="Times New Roman" w:cs="Times New Roman"/>
                      <w:snapToGrid w:val="0"/>
                      <w:color w:val="000000" w:themeColor="text1"/>
                      <w:kern w:val="0"/>
                      <w:sz w:val="18"/>
                      <w:szCs w:val="18"/>
                      <w14:textFill>
                        <w14:solidFill>
                          <w14:schemeClr w14:val="tx1"/>
                        </w14:solidFill>
                      </w14:textFill>
                    </w:rPr>
                    <w:t>1</w:t>
                  </w:r>
                </w:p>
              </w:tc>
              <w:tc>
                <w:tcPr>
                  <w:tcW w:w="907" w:type="pct"/>
                  <w:noWrap w:val="0"/>
                  <w:tcMar>
                    <w:top w:w="28" w:type="dxa"/>
                    <w:bottom w:w="28"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14:textFill>
                        <w14:solidFill>
                          <w14:schemeClr w14:val="tx1"/>
                        </w14:solidFill>
                      </w14:textFill>
                    </w:rPr>
                  </w:pPr>
                  <w:r>
                    <w:rPr>
                      <w:rFonts w:hint="default" w:ascii="Times New Roman" w:hAnsi="Times New Roman" w:cs="Times New Roman"/>
                      <w:snapToGrid w:val="0"/>
                      <w:color w:val="000000" w:themeColor="text1"/>
                      <w:kern w:val="0"/>
                      <w:sz w:val="18"/>
                      <w:szCs w:val="18"/>
                      <w14:textFill>
                        <w14:solidFill>
                          <w14:schemeClr w14:val="tx1"/>
                        </w14:solidFill>
                      </w14:textFill>
                    </w:rPr>
                    <w:t>项目名称</w:t>
                  </w:r>
                </w:p>
              </w:tc>
              <w:tc>
                <w:tcPr>
                  <w:tcW w:w="3719" w:type="pct"/>
                  <w:noWrap w:val="0"/>
                  <w:tcMar>
                    <w:top w:w="28" w:type="dxa"/>
                    <w:bottom w:w="28"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lang w:bidi="ar"/>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蓄热式台车加热炉节能技术改造项目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79" w:type="dxa"/>
                  <w:bottom w:w="0" w:type="dxa"/>
                  <w:right w:w="79" w:type="dxa"/>
                </w:tblCellMar>
              </w:tblPrEx>
              <w:trPr>
                <w:trHeight w:val="454" w:hRule="atLeast"/>
                <w:jc w:val="center"/>
              </w:trPr>
              <w:tc>
                <w:tcPr>
                  <w:tcW w:w="373" w:type="pct"/>
                  <w:noWrap w:val="0"/>
                  <w:tcMar>
                    <w:top w:w="0" w:type="dxa"/>
                    <w:bottom w:w="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lang w:val="en-US" w:eastAsia="zh-CN" w:bidi="ar-SA"/>
                      <w14:textFill>
                        <w14:solidFill>
                          <w14:schemeClr w14:val="tx1"/>
                        </w14:solidFill>
                      </w14:textFill>
                    </w:rPr>
                  </w:pPr>
                  <w:r>
                    <w:rPr>
                      <w:rFonts w:hint="default" w:ascii="Times New Roman" w:hAnsi="Times New Roman" w:cs="Times New Roman"/>
                      <w:snapToGrid w:val="0"/>
                      <w:color w:val="000000" w:themeColor="text1"/>
                      <w:kern w:val="0"/>
                      <w:sz w:val="18"/>
                      <w:szCs w:val="18"/>
                      <w14:textFill>
                        <w14:solidFill>
                          <w14:schemeClr w14:val="tx1"/>
                        </w14:solidFill>
                      </w14:textFill>
                    </w:rPr>
                    <w:t>2</w:t>
                  </w:r>
                </w:p>
              </w:tc>
              <w:tc>
                <w:tcPr>
                  <w:tcW w:w="907" w:type="pct"/>
                  <w:noWrap w:val="0"/>
                  <w:tcMar>
                    <w:top w:w="0" w:type="dxa"/>
                    <w:bottom w:w="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lang w:eastAsia="zh-CN"/>
                      <w14:textFill>
                        <w14:solidFill>
                          <w14:schemeClr w14:val="tx1"/>
                        </w14:solidFill>
                      </w14:textFill>
                    </w:rPr>
                    <w:t>建设单位</w:t>
                  </w:r>
                </w:p>
              </w:tc>
              <w:tc>
                <w:tcPr>
                  <w:tcW w:w="3719" w:type="pct"/>
                  <w:noWrap w:val="0"/>
                  <w:tcMar>
                    <w:top w:w="0" w:type="dxa"/>
                    <w:bottom w:w="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lang w:bidi="ar"/>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新乡中联石化封头锻压有限公司</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79" w:type="dxa"/>
                  <w:bottom w:w="0" w:type="dxa"/>
                  <w:right w:w="79" w:type="dxa"/>
                </w:tblCellMar>
              </w:tblPrEx>
              <w:trPr>
                <w:trHeight w:val="454" w:hRule="atLeast"/>
                <w:jc w:val="center"/>
              </w:trPr>
              <w:tc>
                <w:tcPr>
                  <w:tcW w:w="373" w:type="pct"/>
                  <w:noWrap w:val="0"/>
                  <w:tcMar>
                    <w:top w:w="0" w:type="dxa"/>
                    <w:bottom w:w="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lang w:val="en-US" w:eastAsia="zh-CN" w:bidi="ar-SA"/>
                      <w14:textFill>
                        <w14:solidFill>
                          <w14:schemeClr w14:val="tx1"/>
                        </w14:solidFill>
                      </w14:textFill>
                    </w:rPr>
                  </w:pPr>
                  <w:r>
                    <w:rPr>
                      <w:rFonts w:hint="default" w:ascii="Times New Roman" w:hAnsi="Times New Roman" w:cs="Times New Roman"/>
                      <w:snapToGrid w:val="0"/>
                      <w:color w:val="000000" w:themeColor="text1"/>
                      <w:kern w:val="0"/>
                      <w:sz w:val="18"/>
                      <w:szCs w:val="18"/>
                      <w14:textFill>
                        <w14:solidFill>
                          <w14:schemeClr w14:val="tx1"/>
                        </w14:solidFill>
                      </w14:textFill>
                    </w:rPr>
                    <w:t>3</w:t>
                  </w:r>
                </w:p>
              </w:tc>
              <w:tc>
                <w:tcPr>
                  <w:tcW w:w="907" w:type="pct"/>
                  <w:noWrap w:val="0"/>
                  <w:tcMar>
                    <w:top w:w="0" w:type="dxa"/>
                    <w:bottom w:w="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14:textFill>
                        <w14:solidFill>
                          <w14:schemeClr w14:val="tx1"/>
                        </w14:solidFill>
                      </w14:textFill>
                    </w:rPr>
                  </w:pPr>
                  <w:r>
                    <w:rPr>
                      <w:rFonts w:hint="default" w:ascii="Times New Roman" w:hAnsi="Times New Roman" w:cs="Times New Roman"/>
                      <w:snapToGrid w:val="0"/>
                      <w:color w:val="000000" w:themeColor="text1"/>
                      <w:kern w:val="0"/>
                      <w:sz w:val="18"/>
                      <w:szCs w:val="18"/>
                      <w14:textFill>
                        <w14:solidFill>
                          <w14:schemeClr w14:val="tx1"/>
                        </w14:solidFill>
                      </w14:textFill>
                    </w:rPr>
                    <w:t>建设地点</w:t>
                  </w:r>
                </w:p>
              </w:tc>
              <w:tc>
                <w:tcPr>
                  <w:tcW w:w="3719" w:type="pct"/>
                  <w:noWrap w:val="0"/>
                  <w:tcMar>
                    <w:top w:w="0" w:type="dxa"/>
                    <w:bottom w:w="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lang w:bidi="ar"/>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新乡市新乡县小冀镇青龙大道39号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79" w:type="dxa"/>
                  <w:bottom w:w="0" w:type="dxa"/>
                  <w:right w:w="79" w:type="dxa"/>
                </w:tblCellMar>
              </w:tblPrEx>
              <w:trPr>
                <w:trHeight w:val="454" w:hRule="atLeast"/>
                <w:jc w:val="center"/>
              </w:trPr>
              <w:tc>
                <w:tcPr>
                  <w:tcW w:w="373" w:type="pct"/>
                  <w:noWrap w:val="0"/>
                  <w:tcMar>
                    <w:top w:w="0" w:type="dxa"/>
                    <w:bottom w:w="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lang w:val="en-US" w:eastAsia="zh-CN" w:bidi="ar-SA"/>
                      <w14:textFill>
                        <w14:solidFill>
                          <w14:schemeClr w14:val="tx1"/>
                        </w14:solidFill>
                      </w14:textFill>
                    </w:rPr>
                  </w:pPr>
                  <w:r>
                    <w:rPr>
                      <w:rFonts w:hint="default" w:ascii="Times New Roman" w:hAnsi="Times New Roman" w:cs="Times New Roman"/>
                      <w:snapToGrid w:val="0"/>
                      <w:color w:val="000000" w:themeColor="text1"/>
                      <w:kern w:val="0"/>
                      <w:sz w:val="18"/>
                      <w:szCs w:val="18"/>
                      <w14:textFill>
                        <w14:solidFill>
                          <w14:schemeClr w14:val="tx1"/>
                        </w14:solidFill>
                      </w14:textFill>
                    </w:rPr>
                    <w:t>4</w:t>
                  </w:r>
                </w:p>
              </w:tc>
              <w:tc>
                <w:tcPr>
                  <w:tcW w:w="907" w:type="pct"/>
                  <w:noWrap w:val="0"/>
                  <w:tcMar>
                    <w:top w:w="0" w:type="dxa"/>
                    <w:bottom w:w="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14:textFill>
                        <w14:solidFill>
                          <w14:schemeClr w14:val="tx1"/>
                        </w14:solidFill>
                      </w14:textFill>
                    </w:rPr>
                  </w:pPr>
                  <w:r>
                    <w:rPr>
                      <w:rFonts w:hint="default" w:ascii="Times New Roman" w:hAnsi="Times New Roman" w:cs="Times New Roman"/>
                      <w:snapToGrid w:val="0"/>
                      <w:color w:val="000000" w:themeColor="text1"/>
                      <w:kern w:val="0"/>
                      <w:sz w:val="18"/>
                      <w:szCs w:val="18"/>
                      <w14:textFill>
                        <w14:solidFill>
                          <w14:schemeClr w14:val="tx1"/>
                        </w14:solidFill>
                      </w14:textFill>
                    </w:rPr>
                    <w:t>占地面积</w:t>
                  </w:r>
                </w:p>
              </w:tc>
              <w:tc>
                <w:tcPr>
                  <w:tcW w:w="3719" w:type="pct"/>
                  <w:noWrap w:val="0"/>
                  <w:tcMar>
                    <w:top w:w="0" w:type="dxa"/>
                    <w:bottom w:w="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lang w:val="en-US" w:eastAsia="zh-CN" w:bidi="ar"/>
                      <w14:textFill>
                        <w14:solidFill>
                          <w14:schemeClr w14:val="tx1"/>
                        </w14:solidFill>
                      </w14:textFill>
                    </w:rPr>
                  </w:pPr>
                  <w:r>
                    <w:rPr>
                      <w:rFonts w:hint="default" w:ascii="Times New Roman" w:hAnsi="Times New Roman" w:cs="Times New Roman"/>
                      <w:color w:val="000000" w:themeColor="text1"/>
                      <w:sz w:val="18"/>
                      <w:szCs w:val="18"/>
                      <w:lang w:val="en-US" w:eastAsia="zh-CN" w:bidi="ar"/>
                      <w14:textFill>
                        <w14:solidFill>
                          <w14:schemeClr w14:val="tx1"/>
                        </w14:solidFill>
                      </w14:textFill>
                    </w:rPr>
                    <w:t>16万平方米</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79" w:type="dxa"/>
                  <w:bottom w:w="0" w:type="dxa"/>
                  <w:right w:w="79" w:type="dxa"/>
                </w:tblCellMar>
              </w:tblPrEx>
              <w:trPr>
                <w:trHeight w:val="454" w:hRule="atLeast"/>
                <w:jc w:val="center"/>
              </w:trPr>
              <w:tc>
                <w:tcPr>
                  <w:tcW w:w="373" w:type="pct"/>
                  <w:noWrap w:val="0"/>
                  <w:tcMar>
                    <w:top w:w="0" w:type="dxa"/>
                    <w:bottom w:w="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lang w:val="en-US" w:eastAsia="zh-CN" w:bidi="ar-SA"/>
                      <w14:textFill>
                        <w14:solidFill>
                          <w14:schemeClr w14:val="tx1"/>
                        </w14:solidFill>
                      </w14:textFill>
                    </w:rPr>
                  </w:pPr>
                  <w:r>
                    <w:rPr>
                      <w:rFonts w:hint="default" w:ascii="Times New Roman" w:hAnsi="Times New Roman" w:cs="Times New Roman"/>
                      <w:snapToGrid w:val="0"/>
                      <w:color w:val="000000" w:themeColor="text1"/>
                      <w:kern w:val="0"/>
                      <w:sz w:val="18"/>
                      <w:szCs w:val="18"/>
                      <w14:textFill>
                        <w14:solidFill>
                          <w14:schemeClr w14:val="tx1"/>
                        </w14:solidFill>
                      </w14:textFill>
                    </w:rPr>
                    <w:t>5</w:t>
                  </w:r>
                </w:p>
              </w:tc>
              <w:tc>
                <w:tcPr>
                  <w:tcW w:w="907" w:type="pct"/>
                  <w:noWrap w:val="0"/>
                  <w:tcMar>
                    <w:top w:w="0" w:type="dxa"/>
                    <w:bottom w:w="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14:textFill>
                        <w14:solidFill>
                          <w14:schemeClr w14:val="tx1"/>
                        </w14:solidFill>
                      </w14:textFill>
                    </w:rPr>
                  </w:pPr>
                  <w:r>
                    <w:rPr>
                      <w:rFonts w:hint="default" w:ascii="Times New Roman" w:hAnsi="Times New Roman" w:cs="Times New Roman"/>
                      <w:snapToGrid w:val="0"/>
                      <w:color w:val="000000" w:themeColor="text1"/>
                      <w:kern w:val="0"/>
                      <w:sz w:val="18"/>
                      <w:szCs w:val="18"/>
                      <w14:textFill>
                        <w14:solidFill>
                          <w14:schemeClr w14:val="tx1"/>
                        </w14:solidFill>
                      </w14:textFill>
                    </w:rPr>
                    <w:t>产品规模</w:t>
                  </w:r>
                </w:p>
              </w:tc>
              <w:tc>
                <w:tcPr>
                  <w:tcW w:w="3719" w:type="pct"/>
                  <w:noWrap w:val="0"/>
                  <w:tcMar>
                    <w:top w:w="0" w:type="dxa"/>
                    <w:bottom w:w="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lang w:val="en-US" w:bidi="ar"/>
                      <w14:textFill>
                        <w14:solidFill>
                          <w14:schemeClr w14:val="tx1"/>
                        </w14:solidFill>
                      </w14:textFill>
                    </w:rPr>
                  </w:pPr>
                  <w:r>
                    <w:rPr>
                      <w:rFonts w:hint="default" w:ascii="Times New Roman" w:hAnsi="Times New Roman" w:eastAsia="宋体" w:cs="Times New Roman"/>
                      <w:snapToGrid w:val="0"/>
                      <w:color w:val="000000" w:themeColor="text1"/>
                      <w:kern w:val="0"/>
                      <w:sz w:val="18"/>
                      <w:szCs w:val="18"/>
                      <w:lang w:val="en-US" w:eastAsia="zh-CN"/>
                      <w14:textFill>
                        <w14:solidFill>
                          <w14:schemeClr w14:val="tx1"/>
                        </w14:solidFill>
                      </w14:textFill>
                    </w:rPr>
                    <w:t>年产</w:t>
                  </w:r>
                  <w:r>
                    <w:rPr>
                      <w:rFonts w:hint="default" w:ascii="Times New Roman" w:hAnsi="Times New Roman" w:cs="Times New Roman"/>
                      <w:snapToGrid w:val="0"/>
                      <w:color w:val="000000" w:themeColor="text1"/>
                      <w:kern w:val="0"/>
                      <w:sz w:val="18"/>
                      <w:szCs w:val="18"/>
                      <w:lang w:val="en-US" w:eastAsia="zh-CN"/>
                      <w14:textFill>
                        <w14:solidFill>
                          <w14:schemeClr w14:val="tx1"/>
                        </w14:solidFill>
                      </w14:textFill>
                    </w:rPr>
                    <w:t>封头15000吨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79" w:type="dxa"/>
                  <w:bottom w:w="0" w:type="dxa"/>
                  <w:right w:w="79" w:type="dxa"/>
                </w:tblCellMar>
              </w:tblPrEx>
              <w:trPr>
                <w:trHeight w:val="454" w:hRule="atLeast"/>
                <w:jc w:val="center"/>
              </w:trPr>
              <w:tc>
                <w:tcPr>
                  <w:tcW w:w="373" w:type="pct"/>
                  <w:noWrap w:val="0"/>
                  <w:tcMar>
                    <w:top w:w="0" w:type="dxa"/>
                    <w:bottom w:w="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lang w:val="en-US" w:eastAsia="zh-CN" w:bidi="ar-SA"/>
                      <w14:textFill>
                        <w14:solidFill>
                          <w14:schemeClr w14:val="tx1"/>
                        </w14:solidFill>
                      </w14:textFill>
                    </w:rPr>
                  </w:pPr>
                  <w:r>
                    <w:rPr>
                      <w:rFonts w:hint="default" w:ascii="Times New Roman" w:hAnsi="Times New Roman" w:cs="Times New Roman"/>
                      <w:snapToGrid w:val="0"/>
                      <w:color w:val="000000" w:themeColor="text1"/>
                      <w:kern w:val="0"/>
                      <w:sz w:val="18"/>
                      <w:szCs w:val="18"/>
                      <w14:textFill>
                        <w14:solidFill>
                          <w14:schemeClr w14:val="tx1"/>
                        </w14:solidFill>
                      </w14:textFill>
                    </w:rPr>
                    <w:t>6</w:t>
                  </w:r>
                </w:p>
              </w:tc>
              <w:tc>
                <w:tcPr>
                  <w:tcW w:w="907" w:type="pct"/>
                  <w:noWrap w:val="0"/>
                  <w:tcMar>
                    <w:top w:w="0" w:type="dxa"/>
                    <w:bottom w:w="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14:textFill>
                        <w14:solidFill>
                          <w14:schemeClr w14:val="tx1"/>
                        </w14:solidFill>
                      </w14:textFill>
                    </w:rPr>
                  </w:pPr>
                  <w:r>
                    <w:rPr>
                      <w:rFonts w:hint="default" w:ascii="Times New Roman" w:hAnsi="Times New Roman" w:cs="Times New Roman"/>
                      <w:snapToGrid w:val="0"/>
                      <w:color w:val="000000" w:themeColor="text1"/>
                      <w:kern w:val="0"/>
                      <w:sz w:val="18"/>
                      <w:szCs w:val="18"/>
                      <w14:textFill>
                        <w14:solidFill>
                          <w14:schemeClr w14:val="tx1"/>
                        </w14:solidFill>
                      </w14:textFill>
                    </w:rPr>
                    <w:t>工作制度</w:t>
                  </w:r>
                </w:p>
              </w:tc>
              <w:tc>
                <w:tcPr>
                  <w:tcW w:w="3719" w:type="pct"/>
                  <w:noWrap w:val="0"/>
                  <w:tcMar>
                    <w:top w:w="0" w:type="dxa"/>
                    <w:bottom w:w="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14:textFill>
                        <w14:solidFill>
                          <w14:schemeClr w14:val="tx1"/>
                        </w14:solidFill>
                      </w14:textFill>
                    </w:rPr>
                  </w:pPr>
                  <w:r>
                    <w:rPr>
                      <w:rFonts w:hint="default" w:ascii="Times New Roman" w:hAnsi="Times New Roman" w:cs="Times New Roman"/>
                      <w:snapToGrid w:val="0"/>
                      <w:color w:val="000000" w:themeColor="text1"/>
                      <w:kern w:val="0"/>
                      <w:sz w:val="18"/>
                      <w:szCs w:val="18"/>
                      <w14:textFill>
                        <w14:solidFill>
                          <w14:schemeClr w14:val="tx1"/>
                        </w14:solidFill>
                      </w14:textFill>
                    </w:rPr>
                    <w:t>年工作300天，</w:t>
                  </w:r>
                  <w:r>
                    <w:rPr>
                      <w:rFonts w:hint="default" w:ascii="Times New Roman" w:hAnsi="Times New Roman" w:cs="Times New Roman"/>
                      <w:snapToGrid w:val="0"/>
                      <w:color w:val="000000" w:themeColor="text1"/>
                      <w:kern w:val="0"/>
                      <w:sz w:val="18"/>
                      <w:szCs w:val="18"/>
                      <w:lang w:val="en-US" w:eastAsia="zh-CN"/>
                      <w14:textFill>
                        <w14:solidFill>
                          <w14:schemeClr w14:val="tx1"/>
                        </w14:solidFill>
                      </w14:textFill>
                    </w:rPr>
                    <w:t>1</w:t>
                  </w:r>
                  <w:r>
                    <w:rPr>
                      <w:rFonts w:hint="default" w:ascii="Times New Roman" w:hAnsi="Times New Roman" w:cs="Times New Roman"/>
                      <w:snapToGrid w:val="0"/>
                      <w:color w:val="000000" w:themeColor="text1"/>
                      <w:kern w:val="0"/>
                      <w:sz w:val="18"/>
                      <w:szCs w:val="18"/>
                      <w14:textFill>
                        <w14:solidFill>
                          <w14:schemeClr w14:val="tx1"/>
                        </w14:solidFill>
                      </w14:textFill>
                    </w:rPr>
                    <w:t>班制，每班8小时</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79" w:type="dxa"/>
                  <w:bottom w:w="0" w:type="dxa"/>
                  <w:right w:w="79" w:type="dxa"/>
                </w:tblCellMar>
              </w:tblPrEx>
              <w:trPr>
                <w:trHeight w:val="454" w:hRule="atLeast"/>
                <w:jc w:val="center"/>
              </w:trPr>
              <w:tc>
                <w:tcPr>
                  <w:tcW w:w="373" w:type="pct"/>
                  <w:noWrap w:val="0"/>
                  <w:tcMar>
                    <w:top w:w="0" w:type="dxa"/>
                    <w:bottom w:w="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lang w:val="en-US" w:eastAsia="zh-CN"/>
                      <w14:textFill>
                        <w14:solidFill>
                          <w14:schemeClr w14:val="tx1"/>
                        </w14:solidFill>
                      </w14:textFill>
                    </w:rPr>
                    <w:t>7</w:t>
                  </w:r>
                </w:p>
              </w:tc>
              <w:tc>
                <w:tcPr>
                  <w:tcW w:w="907" w:type="pct"/>
                  <w:noWrap w:val="0"/>
                  <w:tcMar>
                    <w:top w:w="0" w:type="dxa"/>
                    <w:bottom w:w="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14:textFill>
                        <w14:solidFill>
                          <w14:schemeClr w14:val="tx1"/>
                        </w14:solidFill>
                      </w14:textFill>
                    </w:rPr>
                  </w:pPr>
                  <w:r>
                    <w:rPr>
                      <w:rFonts w:hint="default" w:ascii="Times New Roman" w:hAnsi="Times New Roman" w:cs="Times New Roman"/>
                      <w:snapToGrid w:val="0"/>
                      <w:color w:val="000000" w:themeColor="text1"/>
                      <w:kern w:val="0"/>
                      <w:sz w:val="18"/>
                      <w:szCs w:val="18"/>
                      <w14:textFill>
                        <w14:solidFill>
                          <w14:schemeClr w14:val="tx1"/>
                        </w14:solidFill>
                      </w14:textFill>
                    </w:rPr>
                    <w:t>劳动定员</w:t>
                  </w:r>
                </w:p>
              </w:tc>
              <w:tc>
                <w:tcPr>
                  <w:tcW w:w="3719" w:type="pct"/>
                  <w:noWrap w:val="0"/>
                  <w:tcMar>
                    <w:top w:w="0" w:type="dxa"/>
                    <w:bottom w:w="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18"/>
                      <w:szCs w:val="18"/>
                      <w:lang w:val="en-US" w:eastAsia="zh-CN"/>
                      <w14:textFill>
                        <w14:solidFill>
                          <w14:schemeClr w14:val="tx1"/>
                        </w14:solidFill>
                      </w14:textFill>
                    </w:rPr>
                    <w:t>40人</w:t>
                  </w:r>
                </w:p>
              </w:tc>
            </w:tr>
          </w:tbl>
          <w:p>
            <w:pPr>
              <w:keepNext w:val="0"/>
              <w:keepLines w:val="0"/>
              <w:pageBreakBefore w:val="0"/>
              <w:widowControl w:val="0"/>
              <w:numPr>
                <w:ilvl w:val="0"/>
                <w:numId w:val="8"/>
              </w:numPr>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kern w:val="0"/>
                <w:szCs w:val="21"/>
                <w:highlight w:val="none"/>
                <w14:textFill>
                  <w14:solidFill>
                    <w14:schemeClr w14:val="tx1"/>
                  </w14:solidFill>
                </w14:textFill>
              </w:rPr>
              <w:t>现有</w:t>
            </w:r>
            <w:r>
              <w:rPr>
                <w:rFonts w:hint="eastAsia" w:cs="Times New Roman"/>
                <w:b/>
                <w:bCs/>
                <w:color w:val="000000" w:themeColor="text1"/>
                <w:kern w:val="0"/>
                <w:szCs w:val="21"/>
                <w:highlight w:val="none"/>
                <w:lang w:eastAsia="zh-CN"/>
                <w14:textFill>
                  <w14:solidFill>
                    <w14:schemeClr w14:val="tx1"/>
                  </w14:solidFill>
                </w14:textFill>
              </w:rPr>
              <w:t>工程</w:t>
            </w:r>
            <w:r>
              <w:rPr>
                <w:rFonts w:hint="default" w:ascii="Times New Roman" w:hAnsi="Times New Roman" w:cs="Times New Roman"/>
                <w:b/>
                <w:bCs/>
                <w:color w:val="000000" w:themeColor="text1"/>
                <w:kern w:val="0"/>
                <w:szCs w:val="21"/>
                <w:highlight w:val="none"/>
                <w14:textFill>
                  <w14:solidFill>
                    <w14:schemeClr w14:val="tx1"/>
                  </w14:solidFill>
                </w14:textFill>
              </w:rPr>
              <w:t>产品方案及原辅料、动力消耗情况</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现有项目产品方案一览表</w:t>
            </w:r>
          </w:p>
          <w:tbl>
            <w:tblPr>
              <w:tblStyle w:val="21"/>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30"/>
              <w:gridCol w:w="1037"/>
              <w:gridCol w:w="1836"/>
              <w:gridCol w:w="1846"/>
              <w:gridCol w:w="282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序号</w:t>
                  </w:r>
                </w:p>
              </w:tc>
              <w:tc>
                <w:tcPr>
                  <w:tcW w:w="6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产品名称</w:t>
                  </w:r>
                </w:p>
              </w:tc>
              <w:tc>
                <w:tcPr>
                  <w:tcW w:w="112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类别</w:t>
                  </w:r>
                </w:p>
              </w:tc>
              <w:tc>
                <w:tcPr>
                  <w:tcW w:w="112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年产量（t/a）</w:t>
                  </w:r>
                </w:p>
              </w:tc>
              <w:tc>
                <w:tcPr>
                  <w:tcW w:w="172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1</w:t>
                  </w:r>
                </w:p>
              </w:tc>
              <w:tc>
                <w:tcPr>
                  <w:tcW w:w="6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热压封头</w:t>
                  </w:r>
                </w:p>
              </w:tc>
              <w:tc>
                <w:tcPr>
                  <w:tcW w:w="112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HH</w:t>
                  </w:r>
                </w:p>
              </w:tc>
              <w:tc>
                <w:tcPr>
                  <w:tcW w:w="112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5000</w:t>
                  </w:r>
                </w:p>
              </w:tc>
              <w:tc>
                <w:tcPr>
                  <w:tcW w:w="1728"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18"/>
                      <w:szCs w:val="18"/>
                      <w:highlight w:val="none"/>
                      <w:lang w:eastAsia="zh-CN"/>
                      <w14:textFill>
                        <w14:solidFill>
                          <w14:schemeClr w14:val="tx1"/>
                        </w14:solidFill>
                      </w14:textFill>
                    </w:rPr>
                    <w:t>用于各种容器设备，如储罐、换热器、反应釜、锅炉等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2</w:t>
                  </w:r>
                </w:p>
              </w:tc>
              <w:tc>
                <w:tcPr>
                  <w:tcW w:w="6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冷压封头</w:t>
                  </w:r>
                </w:p>
              </w:tc>
              <w:tc>
                <w:tcPr>
                  <w:tcW w:w="112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HH、SHD、EHA</w:t>
                  </w:r>
                </w:p>
              </w:tc>
              <w:tc>
                <w:tcPr>
                  <w:tcW w:w="112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7500</w:t>
                  </w:r>
                </w:p>
              </w:tc>
              <w:tc>
                <w:tcPr>
                  <w:tcW w:w="1728"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3</w:t>
                  </w:r>
                </w:p>
              </w:tc>
              <w:tc>
                <w:tcPr>
                  <w:tcW w:w="6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旋压封头</w:t>
                  </w:r>
                </w:p>
              </w:tc>
              <w:tc>
                <w:tcPr>
                  <w:tcW w:w="112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WD、EHA</w:t>
                  </w:r>
                </w:p>
              </w:tc>
              <w:tc>
                <w:tcPr>
                  <w:tcW w:w="112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2500</w:t>
                  </w:r>
                </w:p>
              </w:tc>
              <w:tc>
                <w:tcPr>
                  <w:tcW w:w="1728"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pPr>
                </w:p>
              </w:tc>
            </w:tr>
          </w:tbl>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现有项目主要原辅料消耗一览表</w:t>
            </w:r>
          </w:p>
          <w:tbl>
            <w:tblPr>
              <w:tblStyle w:val="21"/>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482"/>
              <w:gridCol w:w="1890"/>
              <w:gridCol w:w="793"/>
              <w:gridCol w:w="1036"/>
              <w:gridCol w:w="222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558" w:hRule="atLeast"/>
              </w:trPr>
              <w:tc>
                <w:tcPr>
                  <w:tcW w:w="458"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类别</w:t>
                  </w:r>
                </w:p>
              </w:tc>
              <w:tc>
                <w:tcPr>
                  <w:tcW w:w="906" w:type="pct"/>
                  <w:tcBorders>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名称</w:t>
                  </w:r>
                </w:p>
              </w:tc>
              <w:tc>
                <w:tcPr>
                  <w:tcW w:w="1155"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规格</w:t>
                  </w:r>
                </w:p>
              </w:tc>
              <w:tc>
                <w:tcPr>
                  <w:tcW w:w="484"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年耗量</w:t>
                  </w:r>
                </w:p>
              </w:tc>
              <w:tc>
                <w:tcPr>
                  <w:tcW w:w="633"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单位</w:t>
                  </w:r>
                </w:p>
              </w:tc>
              <w:tc>
                <w:tcPr>
                  <w:tcW w:w="1361"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原辅材料</w:t>
                  </w:r>
                </w:p>
              </w:tc>
              <w:tc>
                <w:tcPr>
                  <w:tcW w:w="906" w:type="pct"/>
                  <w:tcBorders>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outlineLvl w:val="9"/>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碳钢钢板</w:t>
                  </w:r>
                </w:p>
              </w:tc>
              <w:tc>
                <w:tcPr>
                  <w:tcW w:w="115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厚度</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10~160mm</w:t>
                  </w:r>
                </w:p>
              </w:tc>
              <w:tc>
                <w:tcPr>
                  <w:tcW w:w="4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13680</w:t>
                  </w:r>
                </w:p>
              </w:tc>
              <w:tc>
                <w:tcPr>
                  <w:tcW w:w="633"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1361"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主要原料，外购</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906" w:type="pct"/>
                  <w:tcBorders>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outlineLvl w:val="9"/>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不锈钢板</w:t>
                  </w:r>
                </w:p>
              </w:tc>
              <w:tc>
                <w:tcPr>
                  <w:tcW w:w="115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outlineLvl w:val="9"/>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厚度</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10~160mm</w:t>
                  </w:r>
                </w:p>
              </w:tc>
              <w:tc>
                <w:tcPr>
                  <w:tcW w:w="4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2110</w:t>
                  </w:r>
                </w:p>
              </w:tc>
              <w:tc>
                <w:tcPr>
                  <w:tcW w:w="633"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1361"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主要原料，外购</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906" w:type="pct"/>
                  <w:tcBorders>
                    <w:top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药芯焊丝</w:t>
                  </w:r>
                </w:p>
              </w:tc>
              <w:tc>
                <w:tcPr>
                  <w:tcW w:w="115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15kg/盘</w:t>
                  </w:r>
                </w:p>
              </w:tc>
              <w:tc>
                <w:tcPr>
                  <w:tcW w:w="4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27</w:t>
                  </w:r>
                </w:p>
              </w:tc>
              <w:tc>
                <w:tcPr>
                  <w:tcW w:w="633"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1361"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焊接原料</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906" w:type="pct"/>
                  <w:tcBorders>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焊剂</w:t>
                  </w:r>
                </w:p>
              </w:tc>
              <w:tc>
                <w:tcPr>
                  <w:tcW w:w="115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50kg/桶</w:t>
                  </w:r>
                </w:p>
              </w:tc>
              <w:tc>
                <w:tcPr>
                  <w:tcW w:w="4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10</w:t>
                  </w:r>
                </w:p>
              </w:tc>
              <w:tc>
                <w:tcPr>
                  <w:tcW w:w="633"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1361"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焊接辅料，由大理石、石英、萤石等矿石和钛白粉、纤维素等化学物质组成</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906" w:type="pct"/>
                  <w:tcBorders>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氧气</w:t>
                  </w:r>
                </w:p>
              </w:tc>
              <w:tc>
                <w:tcPr>
                  <w:tcW w:w="115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200L钢瓶</w:t>
                  </w:r>
                </w:p>
              </w:tc>
              <w:tc>
                <w:tcPr>
                  <w:tcW w:w="4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3</w:t>
                  </w:r>
                </w:p>
              </w:tc>
              <w:tc>
                <w:tcPr>
                  <w:tcW w:w="633"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L/a</w:t>
                  </w:r>
                </w:p>
              </w:tc>
              <w:tc>
                <w:tcPr>
                  <w:tcW w:w="1361"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磁力切割机辅料，日常储存12瓶</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trPr>
              <w:tc>
                <w:tcPr>
                  <w:tcW w:w="458"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906" w:type="pct"/>
                  <w:tcBorders>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丙烷</w:t>
                  </w:r>
                </w:p>
              </w:tc>
              <w:tc>
                <w:tcPr>
                  <w:tcW w:w="115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30kg液化双阀钢瓶</w:t>
                  </w:r>
                </w:p>
              </w:tc>
              <w:tc>
                <w:tcPr>
                  <w:tcW w:w="4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40</w:t>
                  </w:r>
                </w:p>
              </w:tc>
              <w:tc>
                <w:tcPr>
                  <w:tcW w:w="633"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1361"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磁力切割机燃料，日常储存12瓶</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906" w:type="pct"/>
                  <w:tcBorders>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二氧化碳</w:t>
                  </w:r>
                </w:p>
              </w:tc>
              <w:tc>
                <w:tcPr>
                  <w:tcW w:w="115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40L钢瓶</w:t>
                  </w:r>
                </w:p>
              </w:tc>
              <w:tc>
                <w:tcPr>
                  <w:tcW w:w="4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1000</w:t>
                  </w:r>
                </w:p>
              </w:tc>
              <w:tc>
                <w:tcPr>
                  <w:tcW w:w="633"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L/a</w:t>
                  </w:r>
                </w:p>
              </w:tc>
              <w:tc>
                <w:tcPr>
                  <w:tcW w:w="1361"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焊接自保护气体</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906" w:type="pct"/>
                  <w:tcBorders>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液压油</w:t>
                  </w:r>
                </w:p>
              </w:tc>
              <w:tc>
                <w:tcPr>
                  <w:tcW w:w="115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c>
                <w:tcPr>
                  <w:tcW w:w="4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w:t>
                  </w:r>
                </w:p>
              </w:tc>
              <w:tc>
                <w:tcPr>
                  <w:tcW w:w="633"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1361"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906" w:type="pct"/>
                  <w:tcBorders>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润滑油</w:t>
                  </w:r>
                </w:p>
              </w:tc>
              <w:tc>
                <w:tcPr>
                  <w:tcW w:w="115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c>
                <w:tcPr>
                  <w:tcW w:w="4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0.5</w:t>
                  </w:r>
                </w:p>
              </w:tc>
              <w:tc>
                <w:tcPr>
                  <w:tcW w:w="633"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1361"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906" w:type="pct"/>
                  <w:tcBorders>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氨水（25%）</w:t>
                  </w:r>
                </w:p>
              </w:tc>
              <w:tc>
                <w:tcPr>
                  <w:tcW w:w="115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10m</w:t>
                  </w:r>
                  <w:r>
                    <w:rPr>
                      <w:rFonts w:hint="default" w:ascii="Times New Roman" w:hAnsi="Times New Roman" w:cs="Times New Roman"/>
                      <w:color w:val="000000" w:themeColor="text1"/>
                      <w:sz w:val="18"/>
                      <w:szCs w:val="18"/>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储罐</w:t>
                  </w:r>
                </w:p>
              </w:tc>
              <w:tc>
                <w:tcPr>
                  <w:tcW w:w="48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w:t>
                  </w:r>
                </w:p>
              </w:tc>
              <w:tc>
                <w:tcPr>
                  <w:tcW w:w="633"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1361"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SCR脱硝还原剂</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能源资源</w:t>
                  </w:r>
                </w:p>
              </w:tc>
              <w:tc>
                <w:tcPr>
                  <w:tcW w:w="906" w:type="pct"/>
                  <w:tcBorders>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用水</w:t>
                  </w:r>
                </w:p>
              </w:tc>
              <w:tc>
                <w:tcPr>
                  <w:tcW w:w="1155"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w:t>
                  </w:r>
                </w:p>
              </w:tc>
              <w:tc>
                <w:tcPr>
                  <w:tcW w:w="484"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18"/>
                      <w:szCs w:val="18"/>
                      <w:highlight w:val="none"/>
                      <w:lang w:val="en-US" w:eastAsia="zh-CN" w:bidi="ar-SA"/>
                      <w14:textFill>
                        <w14:solidFill>
                          <w14:schemeClr w14:val="tx1"/>
                        </w14:solidFill>
                      </w14:textFill>
                    </w:rPr>
                    <w:t>480</w:t>
                  </w:r>
                </w:p>
              </w:tc>
              <w:tc>
                <w:tcPr>
                  <w:tcW w:w="633"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0"/>
                      <w:sz w:val="18"/>
                      <w:szCs w:val="18"/>
                      <w:highlight w:val="none"/>
                      <w14:textFill>
                        <w14:solidFill>
                          <w14:schemeClr w14:val="tx1"/>
                        </w14:solidFill>
                      </w14:textFill>
                    </w:rPr>
                    <w:t>m</w:t>
                  </w:r>
                  <w:r>
                    <w:rPr>
                      <w:rFonts w:hint="default" w:ascii="Times New Roman" w:hAnsi="Times New Roman" w:cs="Times New Roman"/>
                      <w:bCs/>
                      <w:color w:val="000000" w:themeColor="text1"/>
                      <w:kern w:val="0"/>
                      <w:sz w:val="18"/>
                      <w:szCs w:val="18"/>
                      <w:highlight w:val="none"/>
                      <w:vertAlign w:val="superscript"/>
                      <w14:textFill>
                        <w14:solidFill>
                          <w14:schemeClr w14:val="tx1"/>
                        </w14:solidFill>
                      </w14:textFill>
                    </w:rPr>
                    <w:t>3</w:t>
                  </w:r>
                  <w:r>
                    <w:rPr>
                      <w:rFonts w:hint="default" w:ascii="Times New Roman" w:hAnsi="Times New Roman" w:cs="Times New Roman"/>
                      <w:bCs/>
                      <w:color w:val="000000" w:themeColor="text1"/>
                      <w:kern w:val="0"/>
                      <w:sz w:val="18"/>
                      <w:szCs w:val="18"/>
                      <w:highlight w:val="none"/>
                      <w14:textFill>
                        <w14:solidFill>
                          <w14:schemeClr w14:val="tx1"/>
                        </w14:solidFill>
                      </w14:textFill>
                    </w:rPr>
                    <w:t>/</w:t>
                  </w:r>
                  <w:r>
                    <w:rPr>
                      <w:rFonts w:hint="default" w:ascii="Times New Roman" w:hAnsi="Times New Roman" w:cs="Times New Roman"/>
                      <w:bCs/>
                      <w:color w:val="000000" w:themeColor="text1"/>
                      <w:kern w:val="0"/>
                      <w:sz w:val="18"/>
                      <w:szCs w:val="18"/>
                      <w:highlight w:val="none"/>
                      <w:lang w:val="en-US" w:eastAsia="zh-CN"/>
                      <w14:textFill>
                        <w14:solidFill>
                          <w14:schemeClr w14:val="tx1"/>
                        </w14:solidFill>
                      </w14:textFill>
                    </w:rPr>
                    <w:t>a</w:t>
                  </w:r>
                </w:p>
              </w:tc>
              <w:tc>
                <w:tcPr>
                  <w:tcW w:w="1361"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新乡县小冀镇市政供水管网</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906" w:type="pct"/>
                  <w:tcBorders>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用</w:t>
                  </w:r>
                  <w:r>
                    <w:rPr>
                      <w:rFonts w:hint="default" w:ascii="Times New Roman" w:hAnsi="Times New Roman" w:cs="Times New Roman"/>
                      <w:color w:val="000000" w:themeColor="text1"/>
                      <w:sz w:val="18"/>
                      <w:szCs w:val="18"/>
                      <w:highlight w:val="none"/>
                      <w14:textFill>
                        <w14:solidFill>
                          <w14:schemeClr w14:val="tx1"/>
                        </w14:solidFill>
                      </w14:textFill>
                    </w:rPr>
                    <w:t>电</w:t>
                  </w:r>
                </w:p>
              </w:tc>
              <w:tc>
                <w:tcPr>
                  <w:tcW w:w="1155"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c>
                <w:tcPr>
                  <w:tcW w:w="484"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200</w:t>
                  </w:r>
                </w:p>
              </w:tc>
              <w:tc>
                <w:tcPr>
                  <w:tcW w:w="633"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万</w:t>
                  </w:r>
                  <w:r>
                    <w:rPr>
                      <w:rFonts w:hint="default" w:ascii="Times New Roman" w:hAnsi="Times New Roman" w:cs="Times New Roman"/>
                      <w:color w:val="000000" w:themeColor="text1"/>
                      <w:sz w:val="18"/>
                      <w:szCs w:val="18"/>
                      <w:highlight w:val="none"/>
                      <w14:textFill>
                        <w14:solidFill>
                          <w14:schemeClr w14:val="tx1"/>
                        </w14:solidFill>
                      </w14:textFill>
                    </w:rPr>
                    <w:t>kW</w:t>
                  </w:r>
                  <w:r>
                    <w:rPr>
                      <w:rFonts w:hint="default" w:ascii="Times New Roman" w:hAnsi="Times New Roman" w:eastAsia="MS Mincho" w:cs="Times New Roman"/>
                      <w:color w:val="000000" w:themeColor="text1"/>
                      <w:sz w:val="18"/>
                      <w:szCs w:val="18"/>
                      <w:highlight w:val="none"/>
                      <w14:textFill>
                        <w14:solidFill>
                          <w14:schemeClr w14:val="tx1"/>
                        </w14:solidFill>
                      </w14:textFill>
                    </w:rPr>
                    <w:t>‧</w:t>
                  </w:r>
                  <w:r>
                    <w:rPr>
                      <w:rFonts w:hint="default" w:ascii="Times New Roman" w:hAnsi="Times New Roman" w:cs="Times New Roman"/>
                      <w:color w:val="000000" w:themeColor="text1"/>
                      <w:sz w:val="18"/>
                      <w:szCs w:val="18"/>
                      <w:highlight w:val="none"/>
                      <w14:textFill>
                        <w14:solidFill>
                          <w14:schemeClr w14:val="tx1"/>
                        </w14:solidFill>
                      </w14:textFill>
                    </w:rPr>
                    <w:t>h</w:t>
                  </w:r>
                </w:p>
              </w:tc>
              <w:tc>
                <w:tcPr>
                  <w:tcW w:w="1361"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新乡县小冀镇市政供电管网</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906" w:type="pct"/>
                  <w:tcBorders>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天然气</w:t>
                  </w:r>
                </w:p>
              </w:tc>
              <w:tc>
                <w:tcPr>
                  <w:tcW w:w="1155"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c>
                <w:tcPr>
                  <w:tcW w:w="484"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165.6</w:t>
                  </w:r>
                </w:p>
              </w:tc>
              <w:tc>
                <w:tcPr>
                  <w:tcW w:w="633"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bCs/>
                      <w:color w:val="000000" w:themeColor="text1"/>
                      <w:kern w:val="0"/>
                      <w:sz w:val="18"/>
                      <w:szCs w:val="18"/>
                      <w:highlight w:val="none"/>
                      <w:lang w:eastAsia="zh-CN"/>
                      <w14:textFill>
                        <w14:solidFill>
                          <w14:schemeClr w14:val="tx1"/>
                        </w14:solidFill>
                      </w14:textFill>
                    </w:rPr>
                    <w:t>万</w:t>
                  </w:r>
                  <w:r>
                    <w:rPr>
                      <w:rFonts w:hint="default" w:ascii="Times New Roman" w:hAnsi="Times New Roman" w:cs="Times New Roman"/>
                      <w:bCs/>
                      <w:color w:val="000000" w:themeColor="text1"/>
                      <w:kern w:val="0"/>
                      <w:sz w:val="18"/>
                      <w:szCs w:val="18"/>
                      <w:highlight w:val="none"/>
                      <w14:textFill>
                        <w14:solidFill>
                          <w14:schemeClr w14:val="tx1"/>
                        </w14:solidFill>
                      </w14:textFill>
                    </w:rPr>
                    <w:t>m</w:t>
                  </w:r>
                  <w:r>
                    <w:rPr>
                      <w:rFonts w:hint="default" w:ascii="Times New Roman" w:hAnsi="Times New Roman" w:cs="Times New Roman"/>
                      <w:bCs/>
                      <w:color w:val="000000" w:themeColor="text1"/>
                      <w:kern w:val="0"/>
                      <w:sz w:val="18"/>
                      <w:szCs w:val="18"/>
                      <w:highlight w:val="none"/>
                      <w:vertAlign w:val="superscript"/>
                      <w14:textFill>
                        <w14:solidFill>
                          <w14:schemeClr w14:val="tx1"/>
                        </w14:solidFill>
                      </w14:textFill>
                    </w:rPr>
                    <w:t>3</w:t>
                  </w:r>
                  <w:r>
                    <w:rPr>
                      <w:rFonts w:hint="default" w:ascii="Times New Roman" w:hAnsi="Times New Roman" w:cs="Times New Roman"/>
                      <w:bCs/>
                      <w:color w:val="000000" w:themeColor="text1"/>
                      <w:kern w:val="0"/>
                      <w:sz w:val="18"/>
                      <w:szCs w:val="18"/>
                      <w:highlight w:val="none"/>
                      <w14:textFill>
                        <w14:solidFill>
                          <w14:schemeClr w14:val="tx1"/>
                        </w14:solidFill>
                      </w14:textFill>
                    </w:rPr>
                    <w:t>/</w:t>
                  </w:r>
                  <w:r>
                    <w:rPr>
                      <w:rFonts w:hint="default" w:ascii="Times New Roman" w:hAnsi="Times New Roman" w:cs="Times New Roman"/>
                      <w:bCs/>
                      <w:color w:val="000000" w:themeColor="text1"/>
                      <w:kern w:val="0"/>
                      <w:sz w:val="18"/>
                      <w:szCs w:val="18"/>
                      <w:highlight w:val="none"/>
                      <w:lang w:val="en-US" w:eastAsia="zh-CN"/>
                      <w14:textFill>
                        <w14:solidFill>
                          <w14:schemeClr w14:val="tx1"/>
                        </w14:solidFill>
                      </w14:textFill>
                    </w:rPr>
                    <w:t>a</w:t>
                  </w:r>
                </w:p>
              </w:tc>
              <w:tc>
                <w:tcPr>
                  <w:tcW w:w="1361"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新乡县欣鹏燃气有限公司供应</w:t>
                  </w:r>
                </w:p>
              </w:tc>
            </w:tr>
          </w:tbl>
          <w:p>
            <w:pPr>
              <w:keepNext w:val="0"/>
              <w:keepLines w:val="0"/>
              <w:pageBreakBefore w:val="0"/>
              <w:widowControl w:val="0"/>
              <w:numPr>
                <w:ilvl w:val="0"/>
                <w:numId w:val="11"/>
              </w:numPr>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
                <w:bCs/>
                <w:color w:val="000000" w:themeColor="text1"/>
                <w:lang w:eastAsia="zh-CN"/>
                <w14:textFill>
                  <w14:solidFill>
                    <w14:schemeClr w14:val="tx1"/>
                  </w14:solidFill>
                </w14:textFill>
              </w:rPr>
            </w:pPr>
            <w:r>
              <w:rPr>
                <w:rFonts w:hint="default" w:ascii="Times New Roman" w:hAnsi="Times New Roman" w:cs="Times New Roman"/>
                <w:b/>
                <w:bCs/>
                <w:color w:val="000000" w:themeColor="text1"/>
                <w:highlight w:val="none"/>
                <w:lang w:eastAsia="zh-CN"/>
                <w14:textFill>
                  <w14:solidFill>
                    <w14:schemeClr w14:val="tx1"/>
                  </w14:solidFill>
                </w14:textFill>
              </w:rPr>
              <w:t>现有工程生产设备</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现有工程生产设备一览表</w:t>
            </w:r>
          </w:p>
          <w:tbl>
            <w:tblPr>
              <w:tblStyle w:val="22"/>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69"/>
              <w:gridCol w:w="1710"/>
              <w:gridCol w:w="1785"/>
              <w:gridCol w:w="1919"/>
              <w:gridCol w:w="199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序号</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设备名称</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型号、规格、性能</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数量</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单位</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四柱式油压机</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12500T</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2</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四柱式油压机</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6000T</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3</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四柱式油压机</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2500T</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4</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四柱式油压机</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1000T</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5</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旋压机</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WT6500-32</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6</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半自动切割机</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7</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卷板机</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20×2000</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8</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卷板机</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50×2500</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9</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空气压缩机</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ZV-04/10</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8</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10</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电动试压泵</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4D-SY</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11</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空气去湿器</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KQF-5</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12</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焊条烘干箱</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RDL4</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3</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13</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门式起重机</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30T、10T、5T</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3</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14</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桥式起重机</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10T、5T</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4</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15</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叉车</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5T、8T、15T</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9</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16</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天然气加热炉</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7.5m×7.5m×2.5m</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2</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17</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天然气加热炉</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6.5m×6.5m×2m</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18</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天然气加热炉</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5.3m×5.3m×2m</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19</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天然气加热炉</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3m×3m×2m</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bidi="ar-SA"/>
                      <w14:textFill>
                        <w14:solidFill>
                          <w14:schemeClr w14:val="tx1"/>
                        </w14:solidFill>
                      </w14:textFill>
                    </w:rPr>
                    <w:t>20</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周向探伤机</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C3205</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9" w:type="dxa"/>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21</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超声波测厚仪</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HCH-2000C</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9" w:type="dxa"/>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22</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超声波测厚仪</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TT-100</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9" w:type="dxa"/>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23</w:t>
                  </w:r>
                </w:p>
              </w:tc>
              <w:tc>
                <w:tcPr>
                  <w:tcW w:w="1045"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焊机</w:t>
                  </w:r>
                </w:p>
              </w:tc>
              <w:tc>
                <w:tcPr>
                  <w:tcW w:w="109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w:t>
                  </w:r>
                </w:p>
              </w:tc>
              <w:tc>
                <w:tcPr>
                  <w:tcW w:w="1173" w:type="pct"/>
                  <w:tcBorders>
                    <w:righ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6</w:t>
                  </w:r>
                </w:p>
              </w:tc>
              <w:tc>
                <w:tcPr>
                  <w:tcW w:w="1218" w:type="pct"/>
                  <w:tcBorders>
                    <w:left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台</w:t>
                  </w:r>
                </w:p>
              </w:tc>
            </w:tr>
          </w:tbl>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5、</w:t>
            </w:r>
            <w:r>
              <w:rPr>
                <w:rFonts w:hint="default" w:ascii="Times New Roman" w:hAnsi="Times New Roman" w:cs="Times New Roman"/>
                <w:b/>
                <w:bCs/>
                <w:color w:val="000000" w:themeColor="text1"/>
                <w:highlight w:val="none"/>
                <w:lang w:eastAsia="zh-CN"/>
                <w14:textFill>
                  <w14:solidFill>
                    <w14:schemeClr w14:val="tx1"/>
                  </w14:solidFill>
                </w14:textFill>
              </w:rPr>
              <w:t>现有工程工艺流程叙述</w:t>
            </w:r>
            <w:r>
              <w:rPr>
                <w:rFonts w:hint="default" w:ascii="Times New Roman" w:hAnsi="Times New Roman" w:cs="Times New Roman"/>
                <w:b/>
                <w:bCs/>
                <w:color w:val="000000" w:themeColor="text1"/>
                <w:highlight w:val="none"/>
                <w:lang w:eastAsia="zh-CN"/>
                <w14:textFill>
                  <w14:solidFill>
                    <w14:schemeClr w14:val="tx1"/>
                  </w14:solidFill>
                </w14:textFill>
              </w:rPr>
              <w:br w:type="textWrapping"/>
            </w:r>
            <w:r>
              <w:rPr>
                <w:rFonts w:hint="default" w:ascii="Times New Roman" w:hAnsi="Times New Roman" w:cs="Times New Roman"/>
                <w:b/>
                <w:bCs/>
                <w:color w:val="000000" w:themeColor="text1"/>
                <w:highlight w:val="none"/>
                <w:lang w:eastAsia="zh-CN"/>
                <w14:textFill>
                  <w14:solidFill>
                    <w14:schemeClr w14:val="tx1"/>
                  </w14:solidFill>
                </w14:textFill>
              </w:rPr>
              <w:br w:type="textWrapping"/>
            </w:r>
            <w:r>
              <w:rPr>
                <w:rFonts w:hint="default" w:ascii="Times New Roman" w:hAnsi="Times New Roman" w:cs="Times New Roman"/>
                <w:b/>
                <w:bCs/>
                <w:color w:val="000000" w:themeColor="text1"/>
                <w:highlight w:val="none"/>
                <w:lang w:eastAsia="zh-CN"/>
                <w14:textFill>
                  <w14:solidFill>
                    <w14:schemeClr w14:val="tx1"/>
                  </w14:solidFill>
                </w14:textFill>
              </w:rPr>
              <w:br w:type="textWrapping"/>
            </w:r>
            <w:r>
              <w:rPr>
                <w:rFonts w:hint="default" w:ascii="Times New Roman" w:hAnsi="Times New Roman" w:cs="Times New Roman"/>
                <w:b/>
                <w:bCs/>
                <w:color w:val="000000" w:themeColor="text1"/>
                <w:highlight w:val="none"/>
                <w:lang w:eastAsia="zh-CN"/>
                <w14:textFill>
                  <w14:solidFill>
                    <w14:schemeClr w14:val="tx1"/>
                  </w14:solidFill>
                </w14:textFill>
              </w:rPr>
              <w:br w:type="textWrapping"/>
            </w:r>
            <w:r>
              <w:rPr>
                <w:rFonts w:hint="default" w:ascii="Times New Roman" w:hAnsi="Times New Roman" w:cs="Times New Roman"/>
                <w:b/>
                <w:bCs/>
                <w:color w:val="000000" w:themeColor="text1"/>
                <w:highlight w:val="none"/>
                <w:lang w:eastAsia="zh-CN"/>
                <w14:textFill>
                  <w14:solidFill>
                    <w14:schemeClr w14:val="tx1"/>
                  </w14:solidFill>
                </w14:textFill>
              </w:rPr>
              <w:br w:type="textWrapping"/>
            </w:r>
            <w:r>
              <w:rPr>
                <w:rFonts w:hint="default" w:ascii="Times New Roman" w:hAnsi="Times New Roman" w:cs="Times New Roman"/>
                <w:b/>
                <w:bCs/>
                <w:color w:val="000000" w:themeColor="text1"/>
                <w:highlight w:val="none"/>
                <w:lang w:eastAsia="zh-CN"/>
                <w14:textFill>
                  <w14:solidFill>
                    <w14:schemeClr w14:val="tx1"/>
                  </w14:solidFill>
                </w14:textFill>
              </w:rPr>
              <w:br w:type="textWrapping"/>
            </w:r>
            <w:r>
              <w:rPr>
                <w:rFonts w:hint="default" w:ascii="Times New Roman" w:hAnsi="Times New Roman" w:cs="Times New Roman"/>
                <w:b/>
                <w:bCs/>
                <w:color w:val="000000" w:themeColor="text1"/>
                <w:highlight w:val="none"/>
                <w:lang w:eastAsia="zh-CN"/>
                <w14:textFill>
                  <w14:solidFill>
                    <w14:schemeClr w14:val="tx1"/>
                  </w14:solidFill>
                </w14:textFill>
              </w:rPr>
              <w:br w:type="textWrapping"/>
            </w:r>
            <w:r>
              <w:rPr>
                <w:rFonts w:hint="default" w:ascii="Times New Roman" w:hAnsi="Times New Roman" w:cs="Times New Roman"/>
                <w:b/>
                <w:bCs/>
                <w:color w:val="000000" w:themeColor="text1"/>
                <w:highlight w:val="none"/>
                <w:lang w:eastAsia="zh-CN"/>
                <w14:textFill>
                  <w14:solidFill>
                    <w14:schemeClr w14:val="tx1"/>
                  </w14:solidFill>
                </w14:textFill>
              </w:rPr>
              <w:br w:type="textWrapping"/>
            </w:r>
            <w:r>
              <w:rPr>
                <w:rFonts w:hint="default" w:ascii="Times New Roman" w:hAnsi="Times New Roman" w:cs="Times New Roman"/>
                <w:b/>
                <w:bCs/>
                <w:color w:val="000000" w:themeColor="text1"/>
                <w:highlight w:val="none"/>
                <w:lang w:eastAsia="zh-CN"/>
                <w14:textFill>
                  <w14:solidFill>
                    <w14:schemeClr w14:val="tx1"/>
                  </w14:solidFill>
                </w14:textFill>
              </w:rPr>
              <w:br w:type="textWrapping"/>
            </w:r>
            <w:r>
              <w:rPr>
                <w:rFonts w:hint="default" w:ascii="Times New Roman" w:hAnsi="Times New Roman" w:cs="Times New Roman"/>
                <w:b/>
                <w:bCs/>
                <w:color w:val="000000" w:themeColor="text1"/>
                <w:highlight w:val="none"/>
                <w:lang w:eastAsia="zh-CN"/>
                <w14:textFill>
                  <w14:solidFill>
                    <w14:schemeClr w14:val="tx1"/>
                  </w14:solidFill>
                </w14:textFill>
              </w:rPr>
              <w:br w:type="textWrapping"/>
            </w:r>
            <w:r>
              <w:rPr>
                <w:rFonts w:hint="default" w:ascii="Times New Roman" w:hAnsi="Times New Roman" w:cs="Times New Roman"/>
                <w:b/>
                <w:bCs/>
                <w:color w:val="000000" w:themeColor="text1"/>
                <w:highlight w:val="none"/>
                <w:lang w:eastAsia="zh-CN"/>
                <w14:textFill>
                  <w14:solidFill>
                    <w14:schemeClr w14:val="tx1"/>
                  </w14:solidFill>
                </w14:textFill>
              </w:rPr>
              <w:br w:type="textWrapping"/>
            </w:r>
            <w:r>
              <w:rPr>
                <w:rFonts w:hint="default" w:ascii="Times New Roman" w:hAnsi="Times New Roman" w:cs="Times New Roman"/>
                <w:b/>
                <w:bCs/>
                <w:color w:val="000000" w:themeColor="text1"/>
                <w:highlight w:val="none"/>
                <w:lang w:eastAsia="zh-CN"/>
                <w14:textFill>
                  <w14:solidFill>
                    <w14:schemeClr w14:val="tx1"/>
                  </w14:solidFill>
                </w14:textFill>
              </w:rPr>
              <w:br w:type="textWrapping"/>
            </w:r>
            <w:r>
              <w:rPr>
                <w:rFonts w:hint="default" w:ascii="Times New Roman" w:hAnsi="Times New Roman" w:cs="Times New Roman"/>
                <w:b/>
                <w:bCs/>
                <w:color w:val="000000" w:themeColor="text1"/>
                <w:highlight w:val="none"/>
                <w:lang w:eastAsia="zh-CN"/>
                <w14:textFill>
                  <w14:solidFill>
                    <w14:schemeClr w14:val="tx1"/>
                  </w14:solidFill>
                </w14:textFill>
              </w:rPr>
              <w:br w:type="textWrapping"/>
            </w:r>
            <w:r>
              <w:rPr>
                <w:rFonts w:hint="default" w:ascii="Times New Roman" w:hAnsi="Times New Roman" w:cs="Times New Roman"/>
                <w:b/>
                <w:bCs/>
                <w:color w:val="000000" w:themeColor="text1"/>
                <w:highlight w:val="none"/>
                <w:lang w:eastAsia="zh-CN"/>
                <w14:textFill>
                  <w14:solidFill>
                    <w14:schemeClr w14:val="tx1"/>
                  </w14:solidFill>
                </w14:textFill>
              </w:rPr>
              <w:br w:type="textWrapping"/>
            </w:r>
          </w:p>
          <w:p>
            <w:pPr>
              <w:pStyle w:val="27"/>
              <w:keepNext w:val="0"/>
              <w:keepLines w:val="0"/>
              <w:pageBreakBefore w:val="0"/>
              <w:widowControl w:val="0"/>
              <w:kinsoku/>
              <w:wordWrap/>
              <w:overflowPunct/>
              <w:topLinePunct w:val="0"/>
              <w:autoSpaceDE/>
              <w:autoSpaceDN/>
              <w:bidi w:val="0"/>
              <w:adjustRightInd/>
              <w:snapToGrid/>
              <w:spacing w:before="0"/>
              <w:ind w:left="0" w:leftChars="0" w:firstLine="0" w:firstLineChars="0"/>
              <w:jc w:val="center"/>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黑体" w:cs="Times New Roman"/>
                <w:color w:val="000000" w:themeColor="text1"/>
                <w:highlight w:val="none"/>
                <w:lang w:eastAsia="zh-CN"/>
                <w14:textFill>
                  <w14:solidFill>
                    <w14:schemeClr w14:val="tx1"/>
                  </w14:solidFill>
                </w14:textFill>
              </w:rPr>
              <w:object>
                <v:shape id="_x0000_i1028" o:spt="75" type="#_x0000_t75" style="height:325.2pt;width:336.3pt;" o:ole="t" filled="f" o:preferrelative="t" stroked="f" coordsize="21600,21600">
                  <v:path/>
                  <v:fill on="f" focussize="0,0"/>
                  <v:stroke on="f"/>
                  <v:imagedata r:id="rId22" croptop="2022f" cropbottom="2528f" o:title=""/>
                  <o:lock v:ext="edit" aspectratio="t"/>
                  <w10:wrap type="none"/>
                  <w10:anchorlock/>
                </v:shape>
                <o:OLEObject Type="Embed" ProgID="Visio.Drawing.15" ShapeID="_x0000_i1028" DrawAspect="Content" ObjectID="_1468075728" r:id="rId21">
                  <o:LockedField>false</o:LockedField>
                </o:OLEObject>
              </w:object>
            </w:r>
          </w:p>
          <w:p>
            <w:pPr>
              <w:pStyle w:val="26"/>
              <w:keepNext w:val="0"/>
              <w:keepLines w:val="0"/>
              <w:pageBreakBefore w:val="0"/>
              <w:widowControl w:val="0"/>
              <w:numPr>
                <w:ilvl w:val="0"/>
                <w:numId w:val="9"/>
              </w:numPr>
              <w:kinsoku/>
              <w:wordWrap/>
              <w:overflowPunct/>
              <w:topLinePunct w:val="0"/>
              <w:bidi w:val="0"/>
              <w:adjustRightInd/>
              <w:snapToGrid/>
              <w:spacing w:line="360" w:lineRule="auto"/>
              <w:ind w:left="0" w:leftChars="0" w:hanging="420" w:firstLineChars="0"/>
              <w:textAlignment w:val="auto"/>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工艺流程及产污环节图</w:t>
            </w:r>
          </w:p>
          <w:p>
            <w:pPr>
              <w:pStyle w:val="26"/>
              <w:keepNext w:val="0"/>
              <w:keepLines w:val="0"/>
              <w:pageBreakBefore w:val="0"/>
              <w:widowControl w:val="0"/>
              <w:kinsoku/>
              <w:wordWrap/>
              <w:overflowPunct/>
              <w:topLinePunct w:val="0"/>
              <w:autoSpaceDE w:val="0"/>
              <w:autoSpaceDN w:val="0"/>
              <w:bidi w:val="0"/>
              <w:adjustRightInd/>
              <w:snapToGrid/>
              <w:spacing w:line="360" w:lineRule="auto"/>
              <w:ind w:left="0" w:leftChars="0" w:firstLine="422" w:firstLineChars="200"/>
              <w:jc w:val="both"/>
              <w:textAlignment w:val="auto"/>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工艺流程及产污环节叙述如下：</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bCs w:val="0"/>
                <w:color w:val="000000" w:themeColor="text1"/>
                <w:kern w:val="0"/>
                <w:sz w:val="21"/>
                <w:szCs w:val="21"/>
                <w:highlight w:val="none"/>
                <w:lang w:val="en-US" w:eastAsia="zh-CN"/>
                <w14:textFill>
                  <w14:solidFill>
                    <w14:schemeClr w14:val="tx1"/>
                  </w14:solidFill>
                </w14:textFill>
              </w:rPr>
              <w:t>（1）下料</w:t>
            </w:r>
          </w:p>
          <w:p>
            <w:pPr>
              <w:pStyle w:val="2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下料工序根据外购钢板厚度和材质的不同，使用半自动切割机进行切割下料，得到所需尺寸、形状的板材。</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该工序产污环节为：切割下料工序产生的颗粒物粉尘、边角料和噪声。</w:t>
            </w:r>
          </w:p>
          <w:p>
            <w:pPr>
              <w:pStyle w:val="2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2" w:firstLineChars="200"/>
              <w:textAlignment w:val="auto"/>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t>（2）拼板焊接</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项目部分热压封头由于尺寸较大，制作过程中由于受钢板尺寸限值，无法通过1块完整钢板直接压制成型，因此需将多块同类钢板焊接成整块钢板后使用。</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该工序产污环节为：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焊接过程产生的焊接烟尘和噪声，焊接后剩余的废焊材</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p>
            <w:pPr>
              <w:pStyle w:val="2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2" w:firstLineChars="200"/>
              <w:jc w:val="both"/>
              <w:textAlignment w:val="auto"/>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t>（3）加热</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项目热压封头主要利用厚度在40mm以上较厚的钢板、碳钢板制成，由于钢板厚度较大，在压制成型前需放入天然气加热炉内进行加热，主要目的是增加钢材塑性，便于后续压制成型，该过程加热温度为900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~930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。加热炉以天然气为燃料，通过加热空气而间接对加热炉内原料进行加热，加热过程产生的废气通过加热炉自带排气管道通入1套</w:t>
            </w:r>
            <w:r>
              <w:rPr>
                <w:rFonts w:hint="default" w:ascii="Times New Roman" w:hAnsi="Times New Roman" w:cs="Times New Roman"/>
                <w:b w:val="0"/>
                <w:bCs/>
                <w:color w:val="000000" w:themeColor="text1"/>
                <w:sz w:val="21"/>
                <w:szCs w:val="21"/>
                <w:highlight w:val="none"/>
                <w:vertAlign w:val="baseline"/>
                <w:lang w:val="en-US" w:eastAsia="zh-CN"/>
                <w14:textFill>
                  <w14:solidFill>
                    <w14:schemeClr w14:val="tx1"/>
                  </w14:solidFill>
                </w14:textFill>
              </w:rPr>
              <w:t>选择性催化还原（SCR）脱硝装置</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进行处理后，经1根15m高排气筒（DA003）排放。</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该工序产污环节为：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加热炉燃气</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产生的废气。</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2" w:firstLineChars="200"/>
              <w:jc w:val="both"/>
              <w:textAlignment w:val="auto"/>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t>（4）压制成型</w:t>
            </w:r>
          </w:p>
          <w:p>
            <w:pPr>
              <w:pStyle w:val="2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jc w:val="both"/>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项目各类封头根据材质、厚度不同，以及所制作封头种类不同，分别使用不同压制成型设备制作，其中热压封头均采用四柱式油压机进行压制成型，冷压封头采用四柱式冷压机压制成型，旋压封头采用卷板机、旋压机压制成型。</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该工序产污环节为：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压制设备运行过程产生的噪声，机械设备定期维护更换的废液压油、废润滑油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2" w:firstLineChars="200"/>
              <w:jc w:val="both"/>
              <w:textAlignment w:val="auto"/>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（5）检验</w:t>
            </w:r>
          </w:p>
          <w:p>
            <w:pPr>
              <w:pStyle w:val="2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首先人工目视检查焊接缝隙的完整程度，再通过X射线探伤机检查焊缝及封头整体内部是否存在缺陷。项目X射线探伤机为辐射检测设备，需另行评价，不在本次评价范围内。</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200"/>
              <w:textAlignment w:val="auto"/>
              <w:rPr>
                <w:rFonts w:hint="default"/>
                <w:b/>
                <w:bCs/>
                <w:color w:val="000000" w:themeColor="text1"/>
                <w14:textFill>
                  <w14:solidFill>
                    <w14:schemeClr w14:val="tx1"/>
                  </w14:solidFill>
                </w14:textFill>
              </w:rPr>
            </w:pPr>
            <w:r>
              <w:rPr>
                <w:rFonts w:hint="eastAsia" w:cs="Times New Roman"/>
                <w:b/>
                <w:bCs/>
                <w:color w:val="000000" w:themeColor="text1"/>
                <w:kern w:val="0"/>
                <w:sz w:val="21"/>
                <w:szCs w:val="21"/>
                <w:highlight w:val="none"/>
                <w:lang w:val="en-US" w:eastAsia="zh-CN"/>
                <w14:textFill>
                  <w14:solidFill>
                    <w14:schemeClr w14:val="tx1"/>
                  </w14:solidFill>
                </w14:textFill>
              </w:rPr>
              <w:t>6、</w:t>
            </w:r>
            <w:r>
              <w:rPr>
                <w:rFonts w:hint="default" w:ascii="Times New Roman" w:hAnsi="Times New Roman" w:cs="Times New Roman"/>
                <w:b/>
                <w:bCs/>
                <w:color w:val="000000" w:themeColor="text1"/>
                <w:kern w:val="0"/>
                <w:sz w:val="21"/>
                <w:szCs w:val="21"/>
                <w:highlight w:val="none"/>
                <w14:textFill>
                  <w14:solidFill>
                    <w14:schemeClr w14:val="tx1"/>
                  </w14:solidFill>
                </w14:textFill>
              </w:rPr>
              <w:t>现有</w:t>
            </w:r>
            <w:r>
              <w:rPr>
                <w:rFonts w:hint="eastAsia" w:cs="Times New Roman"/>
                <w:b/>
                <w:bCs/>
                <w:color w:val="000000" w:themeColor="text1"/>
                <w:kern w:val="0"/>
                <w:sz w:val="21"/>
                <w:szCs w:val="21"/>
                <w:highlight w:val="none"/>
                <w:lang w:eastAsia="zh-CN"/>
                <w14:textFill>
                  <w14:solidFill>
                    <w14:schemeClr w14:val="tx1"/>
                  </w14:solidFill>
                </w14:textFill>
              </w:rPr>
              <w:t>工程</w:t>
            </w:r>
            <w:r>
              <w:rPr>
                <w:rFonts w:hint="default" w:ascii="Times New Roman" w:hAnsi="Times New Roman" w:cs="Times New Roman"/>
                <w:b/>
                <w:bCs/>
                <w:color w:val="000000" w:themeColor="text1"/>
                <w:kern w:val="0"/>
                <w:sz w:val="21"/>
                <w:szCs w:val="21"/>
                <w:highlight w:val="none"/>
                <w14:textFill>
                  <w14:solidFill>
                    <w14:schemeClr w14:val="tx1"/>
                  </w14:solidFill>
                </w14:textFill>
              </w:rPr>
              <w:t>产污环节分析</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现有项目主要原辅料消耗一览表</w:t>
            </w:r>
          </w:p>
          <w:tbl>
            <w:tblPr>
              <w:tblStyle w:val="21"/>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25"/>
              <w:gridCol w:w="2041"/>
              <w:gridCol w:w="1514"/>
              <w:gridCol w:w="399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382" w:type="pct"/>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类别</w:t>
                  </w:r>
                </w:p>
              </w:tc>
              <w:tc>
                <w:tcPr>
                  <w:tcW w:w="1247" w:type="pct"/>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产污环节</w:t>
                  </w:r>
                </w:p>
              </w:tc>
              <w:tc>
                <w:tcPr>
                  <w:tcW w:w="925" w:type="pct"/>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污染因子</w:t>
                  </w:r>
                </w:p>
              </w:tc>
              <w:tc>
                <w:tcPr>
                  <w:tcW w:w="2444" w:type="pct"/>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治理措施及去向</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 w:type="pct"/>
                  <w:vMerge w:val="restart"/>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废气</w:t>
                  </w:r>
                </w:p>
              </w:tc>
              <w:tc>
                <w:tcPr>
                  <w:tcW w:w="1247" w:type="pct"/>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t>切割工序</w:t>
                  </w:r>
                </w:p>
              </w:tc>
              <w:tc>
                <w:tcPr>
                  <w:tcW w:w="925" w:type="pct"/>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颗粒物</w:t>
                  </w:r>
                </w:p>
              </w:tc>
              <w:tc>
                <w:tcPr>
                  <w:tcW w:w="2444" w:type="pct"/>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封闭车间内无组织排放</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 w:type="pct"/>
                  <w:vMerge w:val="continue"/>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1247" w:type="pct"/>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t>焊接工序</w:t>
                  </w:r>
                </w:p>
              </w:tc>
              <w:tc>
                <w:tcPr>
                  <w:tcW w:w="925" w:type="pct"/>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颗粒物</w:t>
                  </w:r>
                </w:p>
              </w:tc>
              <w:tc>
                <w:tcPr>
                  <w:tcW w:w="2444" w:type="pct"/>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封闭车间内无组织排放</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 w:type="pct"/>
                  <w:vMerge w:val="continue"/>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1247" w:type="pct"/>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天然气加热炉</w:t>
                  </w:r>
                </w:p>
              </w:tc>
              <w:tc>
                <w:tcPr>
                  <w:tcW w:w="925" w:type="pct"/>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颗粒物、SO</w:t>
                  </w:r>
                  <w:r>
                    <w:rPr>
                      <w:rFonts w:hint="default" w:ascii="Times New Roman" w:hAnsi="Times New Roman" w:cs="Times New Roman"/>
                      <w:snapToGrid w:val="0"/>
                      <w:color w:val="000000" w:themeColor="text1"/>
                      <w:kern w:val="0"/>
                      <w:sz w:val="18"/>
                      <w:szCs w:val="18"/>
                      <w:highlight w:val="none"/>
                      <w:vertAlign w:val="subscript"/>
                      <w:lang w:val="en-US" w:eastAsia="zh-CN"/>
                      <w14:textFill>
                        <w14:solidFill>
                          <w14:schemeClr w14:val="tx1"/>
                        </w14:solidFill>
                      </w14:textFill>
                    </w:rPr>
                    <w:t>2</w:t>
                  </w:r>
                  <w:r>
                    <w:rPr>
                      <w:rFonts w:hint="default" w:ascii="Times New Roman" w:hAnsi="Times New Roman" w:cs="Times New Roman"/>
                      <w:snapToGrid w:val="0"/>
                      <w:color w:val="000000" w:themeColor="text1"/>
                      <w:kern w:val="0"/>
                      <w:sz w:val="18"/>
                      <w:szCs w:val="18"/>
                      <w:highlight w:val="none"/>
                      <w:lang w:val="en-US" w:eastAsia="zh-CN"/>
                      <w14:textFill>
                        <w14:solidFill>
                          <w14:schemeClr w14:val="tx1"/>
                        </w14:solidFill>
                      </w14:textFill>
                    </w:rPr>
                    <w:t>、NO</w:t>
                  </w:r>
                  <w:r>
                    <w:rPr>
                      <w:rFonts w:hint="default" w:ascii="Times New Roman" w:hAnsi="Times New Roman" w:cs="Times New Roman"/>
                      <w:snapToGrid w:val="0"/>
                      <w:color w:val="000000" w:themeColor="text1"/>
                      <w:kern w:val="0"/>
                      <w:sz w:val="18"/>
                      <w:szCs w:val="18"/>
                      <w:highlight w:val="none"/>
                      <w:vertAlign w:val="subscript"/>
                      <w:lang w:val="en-US" w:eastAsia="zh-CN"/>
                      <w14:textFill>
                        <w14:solidFill>
                          <w14:schemeClr w14:val="tx1"/>
                        </w14:solidFill>
                      </w14:textFill>
                    </w:rPr>
                    <w:t>x</w:t>
                  </w:r>
                  <w:r>
                    <w:rPr>
                      <w:rFonts w:hint="default" w:ascii="Times New Roman" w:hAnsi="Times New Roman" w:cs="Times New Roman"/>
                      <w:snapToGrid w:val="0"/>
                      <w:color w:val="000000" w:themeColor="text1"/>
                      <w:kern w:val="0"/>
                      <w:sz w:val="18"/>
                      <w:szCs w:val="18"/>
                      <w:highlight w:val="none"/>
                      <w:vertAlign w:val="baseline"/>
                      <w:lang w:val="en-US" w:eastAsia="zh-CN"/>
                      <w14:textFill>
                        <w14:solidFill>
                          <w14:schemeClr w14:val="tx1"/>
                        </w14:solidFill>
                      </w14:textFill>
                    </w:rPr>
                    <w:t>、氨</w:t>
                  </w:r>
                </w:p>
              </w:tc>
              <w:tc>
                <w:tcPr>
                  <w:tcW w:w="2444" w:type="pct"/>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val="en-US" w:eastAsia="zh-CN"/>
                      <w14:textFill>
                        <w14:solidFill>
                          <w14:schemeClr w14:val="tx1"/>
                        </w14:solidFill>
                      </w14:textFill>
                    </w:rPr>
                    <w:t>1套选择性催化还原（SCR）脱硝装置进行处理后，经1根15m高排气筒排放</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 w:type="pct"/>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废水</w:t>
                  </w:r>
                </w:p>
              </w:tc>
              <w:tc>
                <w:tcPr>
                  <w:tcW w:w="1247" w:type="pct"/>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生活污水</w:t>
                  </w:r>
                </w:p>
              </w:tc>
              <w:tc>
                <w:tcPr>
                  <w:tcW w:w="925" w:type="pct"/>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jc w:val="center"/>
                    <w:textAlignment w:val="auto"/>
                    <w:rPr>
                      <w:rFonts w:hint="default" w:ascii="Times New Roman" w:hAnsi="Times New Roman" w:eastAsia="宋体" w:cs="Times New Roman"/>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t>pH、</w:t>
                  </w:r>
                  <w:r>
                    <w:rPr>
                      <w:rFonts w:hint="default" w:ascii="Times New Roman" w:hAnsi="Times New Roman" w:eastAsia="Times New Roman" w:cs="Times New Roman"/>
                      <w:color w:val="000000" w:themeColor="text1"/>
                      <w:kern w:val="0"/>
                      <w:sz w:val="18"/>
                      <w:szCs w:val="18"/>
                      <w:highlight w:val="none"/>
                      <w14:textFill>
                        <w14:solidFill>
                          <w14:schemeClr w14:val="tx1"/>
                        </w14:solidFill>
                      </w14:textFill>
                    </w:rPr>
                    <w:t>COD</w:t>
                  </w:r>
                  <w:r>
                    <w:rPr>
                      <w:rFonts w:hint="default" w:ascii="Times New Roman" w:hAnsi="Times New Roman" w:cs="Times New Roman"/>
                      <w:color w:val="000000" w:themeColor="text1"/>
                      <w:kern w:val="0"/>
                      <w:sz w:val="18"/>
                      <w:szCs w:val="18"/>
                      <w:highlight w:val="none"/>
                      <w:lang w:val="zh-CN"/>
                      <w14:textFill>
                        <w14:solidFill>
                          <w14:schemeClr w14:val="tx1"/>
                        </w14:solidFill>
                      </w14:textFill>
                    </w:rPr>
                    <w:t>、</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BOD</w:t>
                  </w:r>
                  <w:r>
                    <w:rPr>
                      <w:rFonts w:hint="default" w:ascii="Times New Roman" w:hAnsi="Times New Roman" w:cs="Times New Roman"/>
                      <w:color w:val="000000" w:themeColor="text1"/>
                      <w:kern w:val="0"/>
                      <w:sz w:val="18"/>
                      <w:szCs w:val="18"/>
                      <w:highlight w:val="none"/>
                      <w:vertAlign w:val="subscript"/>
                      <w:lang w:val="en-US" w:eastAsia="zh-CN"/>
                      <w14:textFill>
                        <w14:solidFill>
                          <w14:schemeClr w14:val="tx1"/>
                        </w14:solidFill>
                      </w14:textFill>
                    </w:rPr>
                    <w:t>5</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r>
                    <w:rPr>
                      <w:rFonts w:hint="default" w:ascii="Times New Roman" w:hAnsi="Times New Roman" w:cs="Times New Roman"/>
                      <w:color w:val="000000" w:themeColor="text1"/>
                      <w:kern w:val="0"/>
                      <w:sz w:val="18"/>
                      <w:szCs w:val="18"/>
                      <w:highlight w:val="none"/>
                      <w14:textFill>
                        <w14:solidFill>
                          <w14:schemeClr w14:val="tx1"/>
                        </w14:solidFill>
                      </w14:textFill>
                    </w:rPr>
                    <w:t>SS</w:t>
                  </w:r>
                  <w:r>
                    <w:rPr>
                      <w:rFonts w:hint="default" w:ascii="Times New Roman" w:hAnsi="Times New Roman" w:cs="Times New Roman"/>
                      <w:color w:val="000000" w:themeColor="text1"/>
                      <w:kern w:val="0"/>
                      <w:sz w:val="18"/>
                      <w:szCs w:val="18"/>
                      <w:highlight w:val="none"/>
                      <w:lang w:val="zh-CN"/>
                      <w14:textFill>
                        <w14:solidFill>
                          <w14:schemeClr w14:val="tx1"/>
                        </w14:solidFill>
                      </w14:textFill>
                    </w:rPr>
                    <w:t>、</w:t>
                  </w:r>
                  <w:r>
                    <w:rPr>
                      <w:rFonts w:hint="default" w:ascii="Times New Roman" w:hAnsi="Times New Roman" w:eastAsia="Times New Roman" w:cs="Times New Roman"/>
                      <w:color w:val="000000" w:themeColor="text1"/>
                      <w:kern w:val="0"/>
                      <w:sz w:val="18"/>
                      <w:szCs w:val="18"/>
                      <w:highlight w:val="none"/>
                      <w14:textFill>
                        <w14:solidFill>
                          <w14:schemeClr w14:val="tx1"/>
                        </w14:solidFill>
                      </w14:textFill>
                    </w:rPr>
                    <w:t>NH</w:t>
                  </w:r>
                  <w:r>
                    <w:rPr>
                      <w:rFonts w:hint="default" w:ascii="Times New Roman" w:hAnsi="Times New Roman" w:eastAsia="Times New Roman" w:cs="Times New Roman"/>
                      <w:color w:val="000000" w:themeColor="text1"/>
                      <w:kern w:val="0"/>
                      <w:sz w:val="18"/>
                      <w:szCs w:val="18"/>
                      <w:highlight w:val="none"/>
                      <w:vertAlign w:val="subscript"/>
                      <w14:textFill>
                        <w14:solidFill>
                          <w14:schemeClr w14:val="tx1"/>
                        </w14:solidFill>
                      </w14:textFill>
                    </w:rPr>
                    <w:t>3</w:t>
                  </w:r>
                  <w:r>
                    <w:rPr>
                      <w:rFonts w:hint="default" w:ascii="Times New Roman" w:hAnsi="Times New Roman" w:eastAsia="Times New Roman" w:cs="Times New Roman"/>
                      <w:color w:val="000000" w:themeColor="text1"/>
                      <w:kern w:val="0"/>
                      <w:sz w:val="18"/>
                      <w:szCs w:val="18"/>
                      <w:highlight w:val="none"/>
                      <w14:textFill>
                        <w14:solidFill>
                          <w14:schemeClr w14:val="tx1"/>
                        </w14:solidFill>
                      </w14:textFill>
                    </w:rPr>
                    <w:t>-N</w:t>
                  </w:r>
                  <w:r>
                    <w:rPr>
                      <w:rFonts w:hint="default" w:ascii="Times New Roman" w:hAnsi="Times New Roman" w:eastAsia="宋体" w:cs="Times New Roman"/>
                      <w:color w:val="000000" w:themeColor="text1"/>
                      <w:kern w:val="0"/>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t>TP、TN</w:t>
                  </w:r>
                </w:p>
              </w:tc>
              <w:tc>
                <w:tcPr>
                  <w:tcW w:w="2444" w:type="pct"/>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sz w:val="18"/>
                      <w:szCs w:val="18"/>
                      <w:highlight w:val="none"/>
                      <w:lang w:eastAsia="zh-CN"/>
                      <w14:textFill>
                        <w14:solidFill>
                          <w14:schemeClr w14:val="tx1"/>
                        </w14:solidFill>
                      </w14:textFill>
                    </w:rPr>
                    <w:t>生活污水经厂区化粪池处理后，</w:t>
                  </w:r>
                  <w:r>
                    <w:rPr>
                      <w:rFonts w:hint="eastAsia" w:cs="Times New Roman"/>
                      <w:snapToGrid w:val="0"/>
                      <w:color w:val="000000" w:themeColor="text1"/>
                      <w:sz w:val="18"/>
                      <w:szCs w:val="18"/>
                      <w:highlight w:val="none"/>
                      <w:lang w:eastAsia="zh-CN"/>
                      <w14:textFill>
                        <w14:solidFill>
                          <w14:schemeClr w14:val="tx1"/>
                        </w14:solidFill>
                      </w14:textFill>
                    </w:rPr>
                    <w:t>通过区域污水管网排入新乡县综合污水处理厂进一步处理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 w:type="pct"/>
                  <w:vMerge w:val="restart"/>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14:textFill>
                        <w14:solidFill>
                          <w14:schemeClr w14:val="tx1"/>
                        </w14:solidFill>
                      </w14:textFill>
                    </w:rPr>
                    <w:t>固废</w:t>
                  </w:r>
                </w:p>
              </w:tc>
              <w:tc>
                <w:tcPr>
                  <w:tcW w:w="124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切割下料工序</w:t>
                  </w:r>
                </w:p>
              </w:tc>
              <w:tc>
                <w:tcPr>
                  <w:tcW w:w="925" w:type="pct"/>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废边角料</w:t>
                  </w:r>
                </w:p>
              </w:tc>
              <w:tc>
                <w:tcPr>
                  <w:tcW w:w="2444" w:type="pct"/>
                  <w:vMerge w:val="restar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一般固废暂存</w:t>
                  </w: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间</w:t>
                  </w: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暂存后</w:t>
                  </w: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，定期外售废品回收单位</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 w:type="pct"/>
                  <w:vMerge w:val="continue"/>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124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bidi="ar-SA"/>
                      <w14:textFill>
                        <w14:solidFill>
                          <w14:schemeClr w14:val="tx1"/>
                        </w14:solidFill>
                      </w14:textFill>
                    </w:rPr>
                    <w:t>焊接工序</w:t>
                  </w:r>
                </w:p>
              </w:tc>
              <w:tc>
                <w:tcPr>
                  <w:tcW w:w="925" w:type="pct"/>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t>废焊渣</w:t>
                  </w:r>
                </w:p>
              </w:tc>
              <w:tc>
                <w:tcPr>
                  <w:tcW w:w="2444"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 w:type="pct"/>
                  <w:vMerge w:val="continue"/>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124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袋式除尘器</w:t>
                  </w:r>
                </w:p>
              </w:tc>
              <w:tc>
                <w:tcPr>
                  <w:tcW w:w="925" w:type="pct"/>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t>集尘</w:t>
                  </w:r>
                </w:p>
              </w:tc>
              <w:tc>
                <w:tcPr>
                  <w:tcW w:w="2444" w:type="pct"/>
                  <w:vMerge w:val="continue"/>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382" w:type="pct"/>
                  <w:vMerge w:val="continue"/>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124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生活垃圾</w:t>
                  </w:r>
                </w:p>
              </w:tc>
              <w:tc>
                <w:tcPr>
                  <w:tcW w:w="925" w:type="pct"/>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t>生活垃圾</w:t>
                  </w:r>
                </w:p>
              </w:tc>
              <w:tc>
                <w:tcPr>
                  <w:tcW w:w="2444"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垃圾收集箱收集后，定期委托环卫部门清运处理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 w:type="pct"/>
                  <w:vMerge w:val="continue"/>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1247" w:type="pct"/>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t>液压设备维护过程</w:t>
                  </w:r>
                </w:p>
              </w:tc>
              <w:tc>
                <w:tcPr>
                  <w:tcW w:w="925" w:type="pct"/>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t>废液压油</w:t>
                  </w:r>
                </w:p>
              </w:tc>
              <w:tc>
                <w:tcPr>
                  <w:tcW w:w="2444" w:type="pct"/>
                  <w:vMerge w:val="restart"/>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危险固废暂存间暂存后，定期委托有资质的危废处置单位回收处理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 w:type="pct"/>
                  <w:vMerge w:val="continue"/>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textAlignment w:val="auto"/>
                    <w:rPr>
                      <w:rFonts w:hint="default" w:ascii="Times New Roman" w:hAnsi="Times New Roman" w:cs="Times New Roman"/>
                      <w:snapToGrid w:val="0"/>
                      <w:color w:val="000000" w:themeColor="text1"/>
                      <w:kern w:val="0"/>
                      <w:sz w:val="18"/>
                      <w:szCs w:val="18"/>
                      <w:highlight w:val="none"/>
                      <w14:textFill>
                        <w14:solidFill>
                          <w14:schemeClr w14:val="tx1"/>
                        </w14:solidFill>
                      </w14:textFill>
                    </w:rPr>
                  </w:pPr>
                </w:p>
              </w:tc>
              <w:tc>
                <w:tcPr>
                  <w:tcW w:w="1247" w:type="pct"/>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t>机械设备维护过程</w:t>
                  </w:r>
                </w:p>
              </w:tc>
              <w:tc>
                <w:tcPr>
                  <w:tcW w:w="925" w:type="pct"/>
                  <w:noWrap w:val="0"/>
                  <w:vAlign w:val="center"/>
                </w:tcPr>
                <w:p>
                  <w:pPr>
                    <w:keepNext w:val="0"/>
                    <w:keepLines w:val="0"/>
                    <w:pageBreakBefore w:val="0"/>
                    <w:widowControl w:val="0"/>
                    <w:kinsoku/>
                    <w:wordWrap/>
                    <w:overflowPunct/>
                    <w:topLinePunct w:val="0"/>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bidi="ar-SA"/>
                      <w14:textFill>
                        <w14:solidFill>
                          <w14:schemeClr w14:val="tx1"/>
                        </w14:solidFill>
                      </w14:textFill>
                    </w:rPr>
                    <w:t>废润滑油</w:t>
                  </w:r>
                </w:p>
              </w:tc>
              <w:tc>
                <w:tcPr>
                  <w:tcW w:w="2444" w:type="pct"/>
                  <w:vMerge w:val="continue"/>
                  <w:noWrap w:val="0"/>
                  <w:vAlign w:val="center"/>
                </w:tcPr>
                <w:p>
                  <w:pPr>
                    <w:keepNext w:val="0"/>
                    <w:keepLines w:val="0"/>
                    <w:pageBreakBefore w:val="0"/>
                    <w:kinsoku/>
                    <w:wordWrap/>
                    <w:overflowPunct/>
                    <w:topLinePunct w:val="0"/>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 w:type="pct"/>
                  <w:vMerge w:val="restart"/>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噪声</w:t>
                  </w:r>
                </w:p>
              </w:tc>
              <w:tc>
                <w:tcPr>
                  <w:tcW w:w="1247" w:type="pct"/>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高噪声设备</w:t>
                  </w:r>
                </w:p>
              </w:tc>
              <w:tc>
                <w:tcPr>
                  <w:tcW w:w="925" w:type="pct"/>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机械噪声</w:t>
                  </w:r>
                </w:p>
              </w:tc>
              <w:tc>
                <w:tcPr>
                  <w:tcW w:w="2444" w:type="pct"/>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室内布置，减振、消声及厂距衰减</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2" w:type="pct"/>
                  <w:vMerge w:val="continue"/>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p>
              </w:tc>
              <w:tc>
                <w:tcPr>
                  <w:tcW w:w="1247" w:type="pct"/>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空气压缩机</w:t>
                  </w:r>
                  <w:r>
                    <w:rPr>
                      <w:rFonts w:hint="eastAsia" w:cs="Times New Roman"/>
                      <w:color w:val="000000" w:themeColor="text1"/>
                      <w:kern w:val="0"/>
                      <w:sz w:val="18"/>
                      <w:szCs w:val="18"/>
                      <w:highlight w:val="none"/>
                      <w:lang w:val="zh-CN" w:eastAsia="en-US"/>
                      <w14:textFill>
                        <w14:solidFill>
                          <w14:schemeClr w14:val="tx1"/>
                        </w14:solidFill>
                      </w14:textFill>
                    </w:rPr>
                    <w:t>、风机</w:t>
                  </w:r>
                </w:p>
              </w:tc>
              <w:tc>
                <w:tcPr>
                  <w:tcW w:w="925" w:type="pct"/>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空气动力噪声</w:t>
                  </w:r>
                </w:p>
              </w:tc>
              <w:tc>
                <w:tcPr>
                  <w:tcW w:w="2444" w:type="pct"/>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snapToGrid w:val="0"/>
                      <w:color w:val="000000" w:themeColor="text1"/>
                      <w:kern w:val="0"/>
                      <w:sz w:val="18"/>
                      <w:szCs w:val="18"/>
                      <w:highlight w:val="none"/>
                      <w:lang w:eastAsia="zh-CN"/>
                      <w14:textFill>
                        <w14:solidFill>
                          <w14:schemeClr w14:val="tx1"/>
                        </w14:solidFill>
                      </w14:textFill>
                    </w:rPr>
                    <w:t>室内布置，安装隔声罩声及厂距衰减</w:t>
                  </w:r>
                </w:p>
              </w:tc>
            </w:tr>
          </w:tbl>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eastAsia="宋体" w:cs="Times New Roman"/>
                <w:b/>
                <w:bCs/>
                <w:color w:val="000000" w:themeColor="text1"/>
                <w:kern w:val="0"/>
                <w:szCs w:val="21"/>
                <w:highlight w:val="none"/>
                <w:lang w:eastAsia="zh-CN"/>
                <w14:textFill>
                  <w14:solidFill>
                    <w14:schemeClr w14:val="tx1"/>
                  </w14:solidFill>
                </w14:textFill>
              </w:rPr>
            </w:pPr>
            <w:r>
              <w:rPr>
                <w:rFonts w:hint="default" w:ascii="Times New Roman" w:hAnsi="Times New Roman" w:cs="Times New Roman"/>
                <w:b/>
                <w:bCs/>
                <w:color w:val="000000" w:themeColor="text1"/>
                <w:kern w:val="0"/>
                <w:szCs w:val="21"/>
                <w:highlight w:val="none"/>
                <w:lang w:val="en-US" w:eastAsia="zh-CN"/>
                <w14:textFill>
                  <w14:solidFill>
                    <w14:schemeClr w14:val="tx1"/>
                  </w14:solidFill>
                </w14:textFill>
              </w:rPr>
              <w:t xml:space="preserve"> </w:t>
            </w:r>
            <w:r>
              <w:rPr>
                <w:rFonts w:hint="eastAsia" w:cs="Times New Roman"/>
                <w:b/>
                <w:bCs/>
                <w:color w:val="000000" w:themeColor="text1"/>
                <w:kern w:val="0"/>
                <w:szCs w:val="21"/>
                <w:highlight w:val="none"/>
                <w:lang w:val="en-US" w:eastAsia="zh-CN"/>
                <w14:textFill>
                  <w14:solidFill>
                    <w14:schemeClr w14:val="tx1"/>
                  </w14:solidFill>
                </w14:textFill>
              </w:rPr>
              <w:t>7</w:t>
            </w:r>
            <w:r>
              <w:rPr>
                <w:rFonts w:hint="default" w:ascii="Times New Roman" w:hAnsi="Times New Roman" w:cs="Times New Roman"/>
                <w:b/>
                <w:bCs/>
                <w:color w:val="000000" w:themeColor="text1"/>
                <w:kern w:val="0"/>
                <w:szCs w:val="21"/>
                <w:highlight w:val="none"/>
                <w:lang w:val="en-US" w:eastAsia="zh-CN"/>
                <w14:textFill>
                  <w14:solidFill>
                    <w14:schemeClr w14:val="tx1"/>
                  </w14:solidFill>
                </w14:textFill>
              </w:rPr>
              <w:t>、</w:t>
            </w:r>
            <w:r>
              <w:rPr>
                <w:rFonts w:hint="default" w:ascii="Times New Roman" w:hAnsi="Times New Roman" w:cs="Times New Roman"/>
                <w:b/>
                <w:bCs/>
                <w:color w:val="000000" w:themeColor="text1"/>
                <w:kern w:val="0"/>
                <w:szCs w:val="21"/>
                <w:highlight w:val="none"/>
                <w14:textFill>
                  <w14:solidFill>
                    <w14:schemeClr w14:val="tx1"/>
                  </w14:solidFill>
                </w14:textFill>
              </w:rPr>
              <w:t>现有</w:t>
            </w:r>
            <w:r>
              <w:rPr>
                <w:rFonts w:hint="eastAsia" w:cs="Times New Roman"/>
                <w:b/>
                <w:bCs/>
                <w:color w:val="000000" w:themeColor="text1"/>
                <w:kern w:val="0"/>
                <w:szCs w:val="21"/>
                <w:highlight w:val="none"/>
                <w:lang w:eastAsia="zh-CN"/>
                <w14:textFill>
                  <w14:solidFill>
                    <w14:schemeClr w14:val="tx1"/>
                  </w14:solidFill>
                </w14:textFill>
              </w:rPr>
              <w:t>工程</w:t>
            </w:r>
            <w:r>
              <w:rPr>
                <w:rFonts w:hint="default" w:ascii="Times New Roman" w:hAnsi="Times New Roman" w:cs="Times New Roman"/>
                <w:b/>
                <w:bCs/>
                <w:color w:val="000000" w:themeColor="text1"/>
                <w:kern w:val="0"/>
                <w:szCs w:val="21"/>
                <w:highlight w:val="none"/>
                <w14:textFill>
                  <w14:solidFill>
                    <w14:schemeClr w14:val="tx1"/>
                  </w14:solidFill>
                </w14:textFill>
              </w:rPr>
              <w:t>污染源达标分析</w:t>
            </w:r>
            <w:r>
              <w:rPr>
                <w:rFonts w:hint="default" w:ascii="Times New Roman" w:hAnsi="Times New Roman" w:cs="Times New Roman"/>
                <w:b/>
                <w:bCs/>
                <w:color w:val="000000" w:themeColor="text1"/>
                <w:kern w:val="0"/>
                <w:szCs w:val="21"/>
                <w:highlight w:val="none"/>
                <w:lang w:eastAsia="zh-CN"/>
                <w14:textFill>
                  <w14:solidFill>
                    <w14:schemeClr w14:val="tx1"/>
                  </w14:solidFill>
                </w14:textFill>
              </w:rPr>
              <w:t>及实际排放情况</w:t>
            </w:r>
          </w:p>
          <w:p>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textAlignment w:val="auto"/>
              <w:rPr>
                <w:rFonts w:hint="eastAsia" w:ascii="Times New Roman" w:hAnsi="Times New Roman" w:eastAsia="宋体" w:cs="Times New Roman"/>
                <w:bCs/>
                <w:color w:val="000000" w:themeColor="text1"/>
                <w:kern w:val="0"/>
                <w:szCs w:val="21"/>
                <w:highlight w:val="none"/>
                <w:lang w:eastAsia="zh-CN"/>
                <w14:textFill>
                  <w14:solidFill>
                    <w14:schemeClr w14:val="tx1"/>
                  </w14:solidFill>
                </w14:textFill>
              </w:rPr>
            </w:pPr>
            <w:r>
              <w:rPr>
                <w:rFonts w:hint="eastAsia" w:cs="Times New Roman"/>
                <w:bCs/>
                <w:color w:val="000000" w:themeColor="text1"/>
                <w:kern w:val="0"/>
                <w:szCs w:val="21"/>
                <w:highlight w:val="none"/>
                <w:lang w:eastAsia="zh-CN"/>
                <w14:textFill>
                  <w14:solidFill>
                    <w14:schemeClr w14:val="tx1"/>
                  </w14:solidFill>
                </w14:textFill>
              </w:rPr>
              <w:t>根据现有工程《</w:t>
            </w:r>
            <w:r>
              <w:rPr>
                <w:rFonts w:hint="default" w:ascii="Times New Roman" w:hAnsi="Times New Roman" w:cs="Times New Roman"/>
                <w:color w:val="000000" w:themeColor="text1"/>
                <w:lang w:val="en-US" w:eastAsia="zh-CN"/>
                <w14:textFill>
                  <w14:solidFill>
                    <w14:schemeClr w14:val="tx1"/>
                  </w14:solidFill>
                </w14:textFill>
              </w:rPr>
              <w:t>新乡中联石化封头锻压有限公司蓄热式台车加热炉节能技术改造项目</w:t>
            </w:r>
            <w:r>
              <w:rPr>
                <w:rFonts w:hint="eastAsia" w:cs="Times New Roman"/>
                <w:bCs/>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新乡中联石化封头锻压有限公司蓄热式台车加热炉节能技术改造项目</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竣工验收监测报告表</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w:t>
            </w:r>
            <w:r>
              <w:rPr>
                <w:rFonts w:hint="eastAsia" w:cs="Times New Roman"/>
                <w:bCs/>
                <w:color w:val="000000" w:themeColor="text1"/>
                <w:kern w:val="0"/>
                <w:szCs w:val="21"/>
                <w:highlight w:val="none"/>
                <w:lang w:eastAsia="zh-CN"/>
                <w14:textFill>
                  <w14:solidFill>
                    <w14:schemeClr w14:val="tx1"/>
                  </w14:solidFill>
                </w14:textFill>
              </w:rPr>
              <w:t>相关内容可知</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，由于现有工程建成验收时间较早（验收时间为</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2012年12月</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），验收期间对现有工程部分产污环节未提出相应环保措施进行治理，已无法满足当前环保要求，</w:t>
            </w:r>
            <w:r>
              <w:rPr>
                <w:rFonts w:hint="eastAsia" w:cs="Times New Roman"/>
                <w:bCs/>
                <w:color w:val="000000" w:themeColor="text1"/>
                <w:kern w:val="0"/>
                <w:szCs w:val="21"/>
                <w:highlight w:val="none"/>
                <w:lang w:eastAsia="zh-CN"/>
                <w14:textFill>
                  <w14:solidFill>
                    <w14:schemeClr w14:val="tx1"/>
                  </w14:solidFill>
                </w14:textFill>
              </w:rPr>
              <w:t>根据现场勘查，企业已根据当前环保要求对现有工程存在问题进行整改，目前正在整改中，</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因此本次评价对于现有工程未进行识别的污染工序均进行重新核算</w:t>
            </w:r>
            <w:r>
              <w:rPr>
                <w:rFonts w:hint="eastAsia" w:cs="Times New Roman"/>
                <w:bCs/>
                <w:color w:val="000000" w:themeColor="text1"/>
                <w:kern w:val="0"/>
                <w:szCs w:val="21"/>
                <w:highlight w:val="none"/>
                <w:lang w:eastAsia="zh-CN"/>
                <w14:textFill>
                  <w14:solidFill>
                    <w14:schemeClr w14:val="tx1"/>
                  </w14:solidFill>
                </w14:textFill>
              </w:rPr>
              <w:t>说明：</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
                <w:bCs w:val="0"/>
                <w:color w:val="000000" w:themeColor="text1"/>
                <w:kern w:val="0"/>
                <w:szCs w:val="21"/>
                <w:highlight w:val="none"/>
                <w14:textFill>
                  <w14:solidFill>
                    <w14:schemeClr w14:val="tx1"/>
                  </w14:solidFill>
                </w14:textFill>
              </w:rPr>
            </w:pPr>
            <w:r>
              <w:rPr>
                <w:rFonts w:hint="default" w:ascii="Times New Roman" w:hAnsi="Times New Roman" w:cs="Times New Roman"/>
                <w:b/>
                <w:bCs w:val="0"/>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b/>
                <w:bCs w:val="0"/>
                <w:color w:val="000000" w:themeColor="text1"/>
                <w:kern w:val="0"/>
                <w:szCs w:val="21"/>
                <w:highlight w:val="none"/>
                <w:lang w:val="en-US" w:eastAsia="zh-CN"/>
                <w14:textFill>
                  <w14:solidFill>
                    <w14:schemeClr w14:val="tx1"/>
                  </w14:solidFill>
                </w14:textFill>
              </w:rPr>
              <w:t>1</w:t>
            </w:r>
            <w:r>
              <w:rPr>
                <w:rFonts w:hint="default" w:ascii="Times New Roman" w:hAnsi="Times New Roman" w:cs="Times New Roman"/>
                <w:b/>
                <w:bCs w:val="0"/>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b/>
                <w:bCs w:val="0"/>
                <w:color w:val="000000" w:themeColor="text1"/>
                <w:kern w:val="0"/>
                <w:szCs w:val="21"/>
                <w:highlight w:val="none"/>
                <w14:textFill>
                  <w14:solidFill>
                    <w14:schemeClr w14:val="tx1"/>
                  </w14:solidFill>
                </w14:textFill>
              </w:rPr>
              <w:t>废气</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bCs/>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kern w:val="0"/>
                <w:szCs w:val="21"/>
                <w:highlight w:val="none"/>
                <w14:textFill>
                  <w14:solidFill>
                    <w14:schemeClr w14:val="tx1"/>
                  </w14:solidFill>
                </w14:textFill>
              </w:rPr>
              <w:t>现有工程废气主要为</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切割工序、焊接工序产生的颗粒物废气以及天然气加热炉燃气废气，</w:t>
            </w:r>
            <w:r>
              <w:rPr>
                <w:rFonts w:hint="eastAsia" w:cs="Times New Roman"/>
                <w:bCs/>
                <w:color w:val="000000" w:themeColor="text1"/>
                <w:kern w:val="0"/>
                <w:szCs w:val="21"/>
                <w:highlight w:val="none"/>
                <w:lang w:eastAsia="zh-CN"/>
                <w14:textFill>
                  <w14:solidFill>
                    <w14:schemeClr w14:val="tx1"/>
                  </w14:solidFill>
                </w14:textFill>
              </w:rPr>
              <w:t>经查阅现有工程环评及验内容，均未对</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切割工序、焊接工序产生的颗粒物废气</w:t>
            </w:r>
            <w:r>
              <w:rPr>
                <w:rFonts w:hint="eastAsia" w:cs="Times New Roman"/>
                <w:bCs/>
                <w:color w:val="000000" w:themeColor="text1"/>
                <w:kern w:val="0"/>
                <w:szCs w:val="21"/>
                <w:highlight w:val="none"/>
                <w:lang w:eastAsia="zh-CN"/>
                <w14:textFill>
                  <w14:solidFill>
                    <w14:schemeClr w14:val="tx1"/>
                  </w14:solidFill>
                </w14:textFill>
              </w:rPr>
              <w:t>提出收集治理措施，同时未对天然气加热炉废气提出处理措施，而是直接通过</w:t>
            </w:r>
            <w:r>
              <w:rPr>
                <w:rFonts w:hint="eastAsia" w:cs="Times New Roman"/>
                <w:bCs/>
                <w:color w:val="000000" w:themeColor="text1"/>
                <w:kern w:val="0"/>
                <w:szCs w:val="21"/>
                <w:highlight w:val="none"/>
                <w:lang w:val="en-US" w:eastAsia="zh-CN"/>
                <w14:textFill>
                  <w14:solidFill>
                    <w14:schemeClr w14:val="tx1"/>
                  </w14:solidFill>
                </w14:textFill>
              </w:rPr>
              <w:t>15m高排气筒直接排放</w:t>
            </w:r>
            <w:r>
              <w:rPr>
                <w:rFonts w:hint="eastAsia" w:cs="Times New Roman"/>
                <w:bCs/>
                <w:color w:val="000000" w:themeColor="text1"/>
                <w:kern w:val="0"/>
                <w:szCs w:val="21"/>
                <w:highlight w:val="none"/>
                <w:lang w:eastAsia="zh-CN"/>
                <w14:textFill>
                  <w14:solidFill>
                    <w14:schemeClr w14:val="tx1"/>
                  </w14:solidFill>
                </w14:textFill>
              </w:rPr>
              <w:t>。根据现场勘查情况可知，目前企业针对</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切割工序、焊接工序产生的颗粒物</w:t>
            </w:r>
            <w:r>
              <w:rPr>
                <w:rFonts w:hint="eastAsia" w:cs="Times New Roman"/>
                <w:bCs/>
                <w:color w:val="000000" w:themeColor="text1"/>
                <w:kern w:val="0"/>
                <w:szCs w:val="21"/>
                <w:highlight w:val="none"/>
                <w:lang w:eastAsia="zh-CN"/>
                <w14:textFill>
                  <w14:solidFill>
                    <w14:schemeClr w14:val="tx1"/>
                  </w14:solidFill>
                </w14:textFill>
              </w:rPr>
              <w:t>废气，拟通过</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设置单独二次密闭间</w:t>
            </w:r>
            <w:r>
              <w:rPr>
                <w:rFonts w:hint="eastAsia" w:cs="Times New Roman"/>
                <w:b w:val="0"/>
                <w:bCs/>
                <w:color w:val="000000" w:themeColor="text1"/>
                <w:sz w:val="21"/>
                <w:szCs w:val="21"/>
                <w:highlight w:val="none"/>
                <w:lang w:val="en-US" w:eastAsia="zh-CN"/>
                <w14:textFill>
                  <w14:solidFill>
                    <w14:schemeClr w14:val="tx1"/>
                  </w14:solidFill>
                </w14:textFill>
              </w:rPr>
              <w:t>对切割、焊接工序废气进行收集</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，并通过设置负压集气装置进行收集</w:t>
            </w:r>
            <w:r>
              <w:rPr>
                <w:rFonts w:hint="eastAsia" w:ascii="Times New Roman" w:eastAsia="宋体" w:cs="Times New Roman"/>
                <w:b w:val="0"/>
                <w:bCs/>
                <w:color w:val="000000" w:themeColor="text1"/>
                <w:sz w:val="21"/>
                <w:szCs w:val="21"/>
                <w:highlight w:val="none"/>
                <w:lang w:val="en-US" w:eastAsia="zh-CN"/>
                <w14:textFill>
                  <w14:solidFill>
                    <w14:schemeClr w14:val="tx1"/>
                  </w14:solidFill>
                </w14:textFill>
              </w:rPr>
              <w:t>后</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，通过1套脉冲袋式除尘器进行处理后经15m高排气筒排放</w:t>
            </w:r>
            <w:r>
              <w:rPr>
                <w:rFonts w:hint="eastAsia" w:cs="Times New Roman"/>
                <w:bCs/>
                <w:color w:val="000000" w:themeColor="text1"/>
                <w:kern w:val="0"/>
                <w:szCs w:val="21"/>
                <w:highlight w:val="none"/>
                <w:lang w:eastAsia="zh-CN"/>
                <w14:textFill>
                  <w14:solidFill>
                    <w14:schemeClr w14:val="tx1"/>
                  </w14:solidFill>
                </w14:textFill>
              </w:rPr>
              <w:t>，目前该措施正在整改中；针对</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天然气加热炉燃气废气</w:t>
            </w:r>
            <w:r>
              <w:rPr>
                <w:rFonts w:hint="eastAsia" w:cs="Times New Roman"/>
                <w:bCs/>
                <w:color w:val="000000" w:themeColor="text1"/>
                <w:kern w:val="0"/>
                <w:szCs w:val="21"/>
                <w:highlight w:val="none"/>
                <w:lang w:eastAsia="zh-CN"/>
                <w14:textFill>
                  <w14:solidFill>
                    <w14:schemeClr w14:val="tx1"/>
                  </w14:solidFill>
                </w14:textFill>
              </w:rPr>
              <w:t>，经收集后通过1套选择性催化还原（SCR）脱硝装置”进行处理，并经1根15m高排气筒排放，目前该措施已整改完成。现有工程各</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废气排放情况如下：</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2" w:firstLineChars="200"/>
              <w:jc w:val="left"/>
              <w:textAlignment w:val="auto"/>
              <w:rPr>
                <w:rFonts w:hint="default" w:ascii="Times New Roman" w:hAnsi="Times New Roman" w:eastAsia="宋体" w:cs="Times New Roman"/>
                <w:b/>
                <w:bCs/>
                <w:color w:val="000000" w:themeColor="text1"/>
                <w:kern w:val="0"/>
                <w:szCs w:val="21"/>
                <w:highlight w:val="none"/>
                <w:lang w:eastAsia="zh-CN"/>
                <w14:textFill>
                  <w14:solidFill>
                    <w14:schemeClr w14:val="tx1"/>
                  </w14:solidFill>
                </w14:textFill>
              </w:rPr>
            </w:pPr>
            <w:r>
              <w:rPr>
                <w:rFonts w:hint="default" w:ascii="Times New Roman" w:hAnsi="Times New Roman" w:cs="Times New Roman"/>
                <w:b/>
                <w:bCs/>
                <w:color w:val="000000" w:themeColor="text1"/>
                <w:kern w:val="0"/>
                <w:szCs w:val="21"/>
                <w:highlight w:val="none"/>
                <w14:textFill>
                  <w14:solidFill>
                    <w14:schemeClr w14:val="tx1"/>
                  </w14:solidFill>
                </w14:textFill>
              </w:rPr>
              <w:fldChar w:fldCharType="begin"/>
            </w:r>
            <w:r>
              <w:rPr>
                <w:rFonts w:hint="default" w:ascii="Times New Roman" w:hAnsi="Times New Roman" w:cs="Times New Roman"/>
                <w:b/>
                <w:bCs/>
                <w:color w:val="000000" w:themeColor="text1"/>
                <w:kern w:val="0"/>
                <w:szCs w:val="21"/>
                <w:highlight w:val="none"/>
                <w14:textFill>
                  <w14:solidFill>
                    <w14:schemeClr w14:val="tx1"/>
                  </w14:solidFill>
                </w14:textFill>
              </w:rPr>
              <w:instrText xml:space="preserve"> = 1 \* GB3 \* MERGEFORMAT </w:instrText>
            </w:r>
            <w:r>
              <w:rPr>
                <w:rFonts w:hint="default" w:ascii="Times New Roman" w:hAnsi="Times New Roman" w:cs="Times New Roman"/>
                <w:b/>
                <w:bCs/>
                <w:color w:val="000000" w:themeColor="text1"/>
                <w:kern w:val="0"/>
                <w:szCs w:val="21"/>
                <w:highlight w:val="none"/>
                <w14:textFill>
                  <w14:solidFill>
                    <w14:schemeClr w14:val="tx1"/>
                  </w14:solidFill>
                </w14:textFill>
              </w:rPr>
              <w:fldChar w:fldCharType="separate"/>
            </w:r>
            <w:r>
              <w:rPr>
                <w:rFonts w:hint="default" w:ascii="Times New Roman" w:hAnsi="Times New Roman" w:cs="Times New Roman"/>
                <w:b/>
                <w:bCs/>
                <w:color w:val="000000" w:themeColor="text1"/>
                <w14:textFill>
                  <w14:solidFill>
                    <w14:schemeClr w14:val="tx1"/>
                  </w14:solidFill>
                </w14:textFill>
              </w:rPr>
              <w:t>①</w:t>
            </w:r>
            <w:r>
              <w:rPr>
                <w:rFonts w:hint="default" w:ascii="Times New Roman" w:hAnsi="Times New Roman" w:cs="Times New Roman"/>
                <w:b/>
                <w:bCs/>
                <w:color w:val="000000" w:themeColor="text1"/>
                <w:kern w:val="0"/>
                <w:szCs w:val="21"/>
                <w:highlight w:val="none"/>
                <w14:textFill>
                  <w14:solidFill>
                    <w14:schemeClr w14:val="tx1"/>
                  </w14:solidFill>
                </w14:textFill>
              </w:rPr>
              <w:fldChar w:fldCharType="end"/>
            </w:r>
            <w:r>
              <w:rPr>
                <w:rFonts w:hint="default" w:ascii="Times New Roman" w:hAnsi="Times New Roman" w:cs="Times New Roman"/>
                <w:b/>
                <w:bCs/>
                <w:color w:val="000000" w:themeColor="text1"/>
                <w:kern w:val="0"/>
                <w:szCs w:val="21"/>
                <w:highlight w:val="none"/>
                <w:lang w:eastAsia="zh-CN"/>
                <w14:textFill>
                  <w14:solidFill>
                    <w14:schemeClr w14:val="tx1"/>
                  </w14:solidFill>
                </w14:textFill>
              </w:rPr>
              <w:t>切割粉尘</w:t>
            </w:r>
          </w:p>
          <w:p>
            <w:pPr>
              <w:pStyle w:val="26"/>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工程钢板原料在使用半自动切割机（火焰切割方式）设备下料工序会产生一定量颗粒物</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，排污系数参考《工业污染源产排污系数手册》中33金属制品业中04下料核算环节产污系数，火焰切割工序产污系数为1.5千克/吨-原料，现有工程原料用量为15790t/a，经计算颗粒物产生量为23.685t/a</w:t>
            </w:r>
            <w:r>
              <w:rPr>
                <w:rFonts w:hint="eastAsia" w:ascii="Times New Roman" w:eastAsia="宋体" w:cs="Times New Roman"/>
                <w:b w:val="0"/>
                <w:bCs/>
                <w:color w:val="000000" w:themeColor="text1"/>
                <w:sz w:val="21"/>
                <w:szCs w:val="21"/>
                <w:highlight w:val="none"/>
                <w:lang w:val="en-US" w:eastAsia="zh-CN"/>
                <w14:textFill>
                  <w14:solidFill>
                    <w14:schemeClr w14:val="tx1"/>
                  </w14:solidFill>
                </w14:textFill>
              </w:rPr>
              <w:t>，拟通过</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设置单独二次密闭间，并设置负压集气装置进行收集</w:t>
            </w:r>
            <w:r>
              <w:rPr>
                <w:rFonts w:hint="eastAsia" w:ascii="Times New Roman" w:eastAsia="宋体" w:cs="Times New Roman"/>
                <w:b w:val="0"/>
                <w:bCs/>
                <w:color w:val="000000" w:themeColor="text1"/>
                <w:sz w:val="21"/>
                <w:szCs w:val="21"/>
                <w:highlight w:val="none"/>
                <w:lang w:val="en-US" w:eastAsia="zh-CN"/>
                <w14:textFill>
                  <w14:solidFill>
                    <w14:schemeClr w14:val="tx1"/>
                  </w14:solidFill>
                </w14:textFill>
              </w:rPr>
              <w:t>后</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，通过1套脉冲袋式除尘器进行处理后经15m高排气筒排放。</w:t>
            </w: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color w:val="000000" w:themeColor="text1"/>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设置的“</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密闭间</w:t>
            </w:r>
            <w:r>
              <w:rPr>
                <w:rFonts w:hint="eastAsia" w:cs="Times New Roman"/>
                <w:b w:val="0"/>
                <w:bCs/>
                <w:color w:val="000000" w:themeColor="text1"/>
                <w:sz w:val="21"/>
                <w:szCs w:val="21"/>
                <w:highlight w:val="none"/>
                <w:lang w:val="en-US" w:eastAsia="zh-CN"/>
                <w14:textFill>
                  <w14:solidFill>
                    <w14:schemeClr w14:val="tx1"/>
                  </w14:solidFill>
                </w14:textFill>
              </w:rPr>
              <w:t>+负压集气罩”的</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集气效率按照9</w:t>
            </w:r>
            <w:r>
              <w:rPr>
                <w:rFonts w:hint="eastAsia" w:cs="Times New Roman"/>
                <w:b w:val="0"/>
                <w:bCs/>
                <w:color w:val="000000" w:themeColor="text1"/>
                <w:sz w:val="21"/>
                <w:szCs w:val="21"/>
                <w:highlight w:val="none"/>
                <w:lang w:val="en-US" w:eastAsia="zh-CN"/>
                <w14:textFill>
                  <w14:solidFill>
                    <w14:schemeClr w14:val="tx1"/>
                  </w14:solidFill>
                </w14:textFill>
              </w:rPr>
              <w:t>8</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%计算，废气收集量约为5000m</w:t>
            </w:r>
            <w:r>
              <w:rPr>
                <w:rFonts w:hint="default" w:ascii="Times New Roman" w:hAnsi="Times New Roman" w:eastAsia="宋体" w:cs="Times New Roman"/>
                <w:b w:val="0"/>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/h，</w:t>
            </w:r>
            <w:r>
              <w:rPr>
                <w:rFonts w:hint="eastAsia" w:cs="Times New Roman"/>
                <w:b w:val="0"/>
                <w:bCs/>
                <w:color w:val="000000" w:themeColor="text1"/>
                <w:sz w:val="21"/>
                <w:szCs w:val="21"/>
                <w:highlight w:val="none"/>
                <w:lang w:val="en-US" w:eastAsia="zh-CN"/>
                <w14:textFill>
                  <w14:solidFill>
                    <w14:schemeClr w14:val="tx1"/>
                  </w14:solidFill>
                </w14:textFill>
              </w:rPr>
              <w:t>切割工序</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年工作时间按照</w:t>
            </w:r>
            <w:r>
              <w:rPr>
                <w:rFonts w:hint="eastAsia" w:cs="Times New Roman"/>
                <w:b w:val="0"/>
                <w:bCs/>
                <w:color w:val="000000" w:themeColor="text1"/>
                <w:sz w:val="21"/>
                <w:szCs w:val="21"/>
                <w:highlight w:val="none"/>
                <w:lang w:val="en-US" w:eastAsia="zh-CN"/>
                <w14:textFill>
                  <w14:solidFill>
                    <w14:schemeClr w14:val="tx1"/>
                  </w14:solidFill>
                </w14:textFill>
              </w:rPr>
              <w:t>12</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00h计。</w:t>
            </w:r>
            <w:r>
              <w:rPr>
                <w:rFonts w:hint="eastAsia" w:cs="Times New Roman"/>
                <w:b w:val="0"/>
                <w:bCs/>
                <w:color w:val="000000" w:themeColor="text1"/>
                <w:sz w:val="21"/>
                <w:szCs w:val="21"/>
                <w:highlight w:val="none"/>
                <w:lang w:val="en-US" w:eastAsia="zh-CN"/>
                <w14:textFill>
                  <w14:solidFill>
                    <w14:schemeClr w14:val="tx1"/>
                  </w14:solidFill>
                </w14:textFill>
              </w:rPr>
              <w:t>则有组织颗粒物收集量为23.2113t/a，</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无组织</w:t>
            </w:r>
            <w:r>
              <w:rPr>
                <w:rFonts w:hint="eastAsia" w:cs="Times New Roman"/>
                <w:b w:val="0"/>
                <w:bCs/>
                <w:color w:val="000000" w:themeColor="text1"/>
                <w:sz w:val="21"/>
                <w:szCs w:val="21"/>
                <w:highlight w:val="none"/>
                <w:lang w:val="en-US" w:eastAsia="zh-CN"/>
                <w14:textFill>
                  <w14:solidFill>
                    <w14:schemeClr w14:val="tx1"/>
                  </w14:solidFill>
                </w14:textFill>
              </w:rPr>
              <w:t>颗粒物</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产生量为</w:t>
            </w:r>
            <w:r>
              <w:rPr>
                <w:rFonts w:hint="eastAsia" w:cs="Times New Roman"/>
                <w:b w:val="0"/>
                <w:bCs/>
                <w:color w:val="000000" w:themeColor="text1"/>
                <w:sz w:val="21"/>
                <w:szCs w:val="21"/>
                <w:highlight w:val="none"/>
                <w:lang w:val="en-US" w:eastAsia="zh-CN"/>
                <w14:textFill>
                  <w14:solidFill>
                    <w14:schemeClr w14:val="tx1"/>
                  </w14:solidFill>
                </w14:textFill>
              </w:rPr>
              <w:t>0.4737</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t/a，</w:t>
            </w:r>
            <w:r>
              <w:rPr>
                <w:rFonts w:hint="eastAsia" w:cs="Times New Roman"/>
                <w:b w:val="0"/>
                <w:bCs/>
                <w:color w:val="000000" w:themeColor="text1"/>
                <w:sz w:val="21"/>
                <w:szCs w:val="21"/>
                <w:highlight w:val="none"/>
                <w:lang w:val="en-US" w:eastAsia="zh-CN"/>
                <w14:textFill>
                  <w14:solidFill>
                    <w14:schemeClr w14:val="tx1"/>
                  </w14:solidFill>
                </w14:textFill>
              </w:rPr>
              <w:t>由于该工序产生</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颗粒物主要为金属颗粒物，比重较大，主要在</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生产</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车间内进行自然沉降，根据《</w:t>
            </w:r>
            <w:r>
              <w:rPr>
                <w:rFonts w:hint="default" w:ascii="Times New Roman" w:hAnsi="Times New Roman" w:cs="Times New Roman"/>
                <w:color w:val="000000" w:themeColor="text1"/>
                <w:sz w:val="21"/>
                <w:szCs w:val="21"/>
                <w:highlight w:val="none"/>
                <w:lang w:eastAsia="zh-CN"/>
                <w14:textFill>
                  <w14:solidFill>
                    <w14:schemeClr w14:val="tx1"/>
                  </w14:solidFill>
                </w14:textFill>
              </w:rPr>
              <w:t>逸散性工业粉尘控制技术》，车间阻隔可减少无组织约70%~90%</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项目</w:t>
            </w:r>
            <w:r>
              <w:rPr>
                <w:rFonts w:hint="eastAsia" w:cs="Times New Roman"/>
                <w:b w:val="0"/>
                <w:bCs w:val="0"/>
                <w:color w:val="000000" w:themeColor="text1"/>
                <w:sz w:val="21"/>
                <w:szCs w:val="21"/>
                <w:highlight w:val="none"/>
                <w:lang w:eastAsia="zh-CN"/>
                <w14:textFill>
                  <w14:solidFill>
                    <w14:schemeClr w14:val="tx1"/>
                  </w14:solidFill>
                </w14:textFill>
              </w:rPr>
              <w:t>车间地面均已硬化处理，同时产污工序</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配套设置二次密闭间进行隔离，</w:t>
            </w:r>
            <w:r>
              <w:rPr>
                <w:rFonts w:hint="eastAsia" w:cs="Times New Roman"/>
                <w:b w:val="0"/>
                <w:bCs w:val="0"/>
                <w:color w:val="000000" w:themeColor="text1"/>
                <w:sz w:val="21"/>
                <w:szCs w:val="21"/>
                <w:highlight w:val="none"/>
                <w:lang w:eastAsia="zh-CN"/>
                <w14:textFill>
                  <w14:solidFill>
                    <w14:schemeClr w14:val="tx1"/>
                  </w14:solidFill>
                </w14:textFill>
              </w:rPr>
              <w:t>企业拟设置</w:t>
            </w:r>
            <w:r>
              <w:rPr>
                <w:rFonts w:hint="default" w:ascii="Times New Roman" w:hAnsi="Times New Roman" w:cs="Times New Roman"/>
                <w:color w:val="000000" w:themeColor="text1"/>
                <w:sz w:val="21"/>
                <w:szCs w:val="21"/>
                <w:highlight w:val="none"/>
                <w:lang w:eastAsia="zh-CN"/>
                <w14:textFill>
                  <w14:solidFill>
                    <w14:schemeClr w14:val="tx1"/>
                  </w14:solidFill>
                </w14:textFill>
              </w:rPr>
              <w:t>喷干雾抑尘装置</w:t>
            </w:r>
            <w:r>
              <w:rPr>
                <w:rFonts w:hint="eastAsia" w:cs="Times New Roman"/>
                <w:color w:val="000000" w:themeColor="text1"/>
                <w:sz w:val="21"/>
                <w:szCs w:val="21"/>
                <w:highlight w:val="none"/>
                <w:lang w:eastAsia="zh-CN"/>
                <w14:textFill>
                  <w14:solidFill>
                    <w14:schemeClr w14:val="tx1"/>
                  </w14:solidFill>
                </w14:textFill>
              </w:rPr>
              <w:t>，并在</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日常生产过程对地面</w:t>
            </w:r>
            <w:r>
              <w:rPr>
                <w:rFonts w:hint="eastAsia" w:cs="Times New Roman"/>
                <w:b w:val="0"/>
                <w:bCs w:val="0"/>
                <w:color w:val="000000" w:themeColor="text1"/>
                <w:sz w:val="21"/>
                <w:szCs w:val="21"/>
                <w:highlight w:val="none"/>
                <w:lang w:eastAsia="zh-CN"/>
                <w14:textFill>
                  <w14:solidFill>
                    <w14:schemeClr w14:val="tx1"/>
                  </w14:solidFill>
                </w14:textFill>
              </w:rPr>
              <w:t>时常</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清扫</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eastAsia" w:cs="Times New Roman"/>
                <w:color w:val="000000" w:themeColor="text1"/>
                <w:sz w:val="21"/>
                <w:szCs w:val="21"/>
                <w:highlight w:val="none"/>
                <w:lang w:eastAsia="zh-CN"/>
                <w14:textFill>
                  <w14:solidFill>
                    <w14:schemeClr w14:val="tx1"/>
                  </w14:solidFill>
                </w14:textFill>
              </w:rPr>
              <w:t>通过</w:t>
            </w:r>
            <w:r>
              <w:rPr>
                <w:rFonts w:hint="default" w:ascii="Times New Roman" w:hAnsi="Times New Roman" w:cs="Times New Roman"/>
                <w:color w:val="000000" w:themeColor="text1"/>
                <w:sz w:val="21"/>
                <w:szCs w:val="21"/>
                <w:highlight w:val="none"/>
                <w:lang w:eastAsia="zh-CN"/>
                <w14:textFill>
                  <w14:solidFill>
                    <w14:schemeClr w14:val="tx1"/>
                  </w14:solidFill>
                </w14:textFill>
              </w:rPr>
              <w:t>采取上述措施后无组织粉尘降尘效率</w:t>
            </w:r>
            <w:r>
              <w:rPr>
                <w:rFonts w:hint="default" w:ascii="Times New Roman" w:hAnsi="Times New Roman" w:cs="Times New Roman"/>
                <w:b w:val="0"/>
                <w:bCs w:val="0"/>
                <w:color w:val="000000" w:themeColor="text1"/>
                <w:sz w:val="21"/>
                <w:szCs w:val="21"/>
                <w:highlight w:val="none"/>
                <w:u w:val="none"/>
                <w:lang w:eastAsia="zh-CN"/>
                <w14:textFill>
                  <w14:solidFill>
                    <w14:schemeClr w14:val="tx1"/>
                  </w14:solidFill>
                </w14:textFill>
              </w:rPr>
              <w:t>按</w:t>
            </w:r>
            <w:r>
              <w:rPr>
                <w:rFonts w:hint="eastAsia" w:cs="Times New Roman"/>
                <w:b w:val="0"/>
                <w:bCs w:val="0"/>
                <w:color w:val="000000" w:themeColor="text1"/>
                <w:sz w:val="21"/>
                <w:szCs w:val="21"/>
                <w:highlight w:val="none"/>
                <w:u w:val="none"/>
                <w:lang w:val="en-US" w:eastAsia="zh-CN"/>
                <w14:textFill>
                  <w14:solidFill>
                    <w14:schemeClr w14:val="tx1"/>
                  </w14:solidFill>
                </w14:textFill>
              </w:rPr>
              <w:t>95</w:t>
            </w:r>
            <w:r>
              <w:rPr>
                <w:rFonts w:hint="default" w:ascii="Times New Roman" w:hAnsi="Times New Roman" w:cs="Times New Roman"/>
                <w:b w:val="0"/>
                <w:bCs w:val="0"/>
                <w:color w:val="000000" w:themeColor="text1"/>
                <w:sz w:val="21"/>
                <w:szCs w:val="21"/>
                <w:highlight w:val="none"/>
                <w:u w:val="none"/>
                <w14:textFill>
                  <w14:solidFill>
                    <w14:schemeClr w14:val="tx1"/>
                  </w14:solidFill>
                </w14:textFill>
              </w:rPr>
              <w:t>%</w:t>
            </w:r>
            <w:r>
              <w:rPr>
                <w:rFonts w:hint="eastAsia" w:cs="Times New Roman"/>
                <w:b w:val="0"/>
                <w:bCs w:val="0"/>
                <w:color w:val="000000" w:themeColor="text1"/>
                <w:sz w:val="21"/>
                <w:szCs w:val="21"/>
                <w:highlight w:val="none"/>
                <w:u w:val="none"/>
                <w:lang w:eastAsia="zh-CN"/>
                <w14:textFill>
                  <w14:solidFill>
                    <w14:schemeClr w14:val="tx1"/>
                  </w14:solidFill>
                </w14:textFill>
              </w:rPr>
              <w:t>计算</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，经计算现有工程切割工序整改后颗粒物产排情况如下：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整改后切割工序废气产排情况</w:t>
            </w:r>
          </w:p>
          <w:tbl>
            <w:tblPr>
              <w:tblStyle w:val="22"/>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96"/>
              <w:gridCol w:w="656"/>
              <w:gridCol w:w="926"/>
              <w:gridCol w:w="815"/>
              <w:gridCol w:w="815"/>
              <w:gridCol w:w="1579"/>
              <w:gridCol w:w="625"/>
              <w:gridCol w:w="901"/>
              <w:gridCol w:w="804"/>
              <w:gridCol w:w="65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643" w:type="pct"/>
                  <w:gridSpan w:val="2"/>
                  <w:tcBorders>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污染源</w:t>
                  </w:r>
                </w:p>
              </w:tc>
              <w:tc>
                <w:tcPr>
                  <w:tcW w:w="566" w:type="pct"/>
                  <w:tcBorders>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产生浓度mg/m</w:t>
                  </w:r>
                  <w:r>
                    <w:rPr>
                      <w:rFonts w:hint="default" w:ascii="Times New Roman" w:hAnsi="Times New Roman" w:eastAsia="宋体" w:cs="Times New Roman"/>
                      <w:color w:val="000000" w:themeColor="text1"/>
                      <w:sz w:val="18"/>
                      <w:szCs w:val="18"/>
                      <w:highlight w:val="none"/>
                      <w:vertAlign w:val="superscript"/>
                      <w:lang w:val="en-US" w:eastAsia="zh-CN"/>
                      <w14:textFill>
                        <w14:solidFill>
                          <w14:schemeClr w14:val="tx1"/>
                        </w14:solidFill>
                      </w14:textFill>
                    </w:rPr>
                    <w:t>3</w:t>
                  </w:r>
                </w:p>
              </w:tc>
              <w:tc>
                <w:tcPr>
                  <w:tcW w:w="498" w:type="pct"/>
                  <w:tcBorders>
                    <w:lef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产生速率kg/h</w:t>
                  </w:r>
                </w:p>
              </w:tc>
              <w:tc>
                <w:tcPr>
                  <w:tcW w:w="498" w:type="pct"/>
                  <w:tcBorders>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产生量t/a</w:t>
                  </w:r>
                </w:p>
              </w:tc>
              <w:tc>
                <w:tcPr>
                  <w:tcW w:w="965" w:type="pct"/>
                  <w:tcBorders>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治理措施</w:t>
                  </w:r>
                </w:p>
              </w:tc>
              <w:tc>
                <w:tcPr>
                  <w:tcW w:w="382" w:type="pct"/>
                  <w:tcBorders>
                    <w:left w:val="single" w:color="000000" w:sz="4" w:space="0"/>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处理效率</w:t>
                  </w:r>
                </w:p>
              </w:tc>
              <w:tc>
                <w:tcPr>
                  <w:tcW w:w="551" w:type="pct"/>
                  <w:tcBorders>
                    <w:left w:val="single" w:color="000000" w:sz="4" w:space="0"/>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排放浓度mg/m</w:t>
                  </w:r>
                  <w:r>
                    <w:rPr>
                      <w:rFonts w:hint="default" w:ascii="Times New Roman" w:hAnsi="Times New Roman" w:eastAsia="宋体" w:cs="Times New Roman"/>
                      <w:color w:val="000000" w:themeColor="text1"/>
                      <w:sz w:val="18"/>
                      <w:szCs w:val="18"/>
                      <w:highlight w:val="none"/>
                      <w:vertAlign w:val="superscript"/>
                      <w:lang w:val="en-US" w:eastAsia="zh-CN"/>
                      <w14:textFill>
                        <w14:solidFill>
                          <w14:schemeClr w14:val="tx1"/>
                        </w14:solidFill>
                      </w14:textFill>
                    </w:rPr>
                    <w:t>3</w:t>
                  </w:r>
                </w:p>
              </w:tc>
              <w:tc>
                <w:tcPr>
                  <w:tcW w:w="491" w:type="pct"/>
                  <w:tcBorders>
                    <w:lef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排放速率kg/h</w:t>
                  </w:r>
                </w:p>
              </w:tc>
              <w:tc>
                <w:tcPr>
                  <w:tcW w:w="403" w:type="pct"/>
                  <w:tcBorders>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排放量t/a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8" w:hRule="atLeast"/>
                <w:jc w:val="center"/>
              </w:trPr>
              <w:tc>
                <w:tcPr>
                  <w:tcW w:w="242" w:type="pct"/>
                  <w:vMerge w:val="restart"/>
                  <w:tcBorders>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颗粒物</w:t>
                  </w:r>
                </w:p>
              </w:tc>
              <w:tc>
                <w:tcPr>
                  <w:tcW w:w="401" w:type="pct"/>
                  <w:tcBorders>
                    <w:left w:val="single" w:color="000000" w:sz="4" w:space="0"/>
                    <w:bottom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有组织</w:t>
                  </w:r>
                </w:p>
              </w:tc>
              <w:tc>
                <w:tcPr>
                  <w:tcW w:w="566" w:type="pct"/>
                  <w:tcBorders>
                    <w:bottom w:val="single" w:color="000000" w:sz="4" w:space="0"/>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pPr>
                  <w:r>
                    <w:rPr>
                      <w:rFonts w:hint="eastAsia" w:asci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3868.55</w:t>
                  </w:r>
                </w:p>
              </w:tc>
              <w:tc>
                <w:tcPr>
                  <w:tcW w:w="498" w:type="pct"/>
                  <w:tcBorders>
                    <w:left w:val="single" w:color="000000" w:sz="4" w:space="0"/>
                    <w:bottom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pPr>
                  <w:r>
                    <w:rPr>
                      <w:rFonts w:hint="eastAsia" w:asci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19.34</w:t>
                  </w:r>
                </w:p>
              </w:tc>
              <w:tc>
                <w:tcPr>
                  <w:tcW w:w="498" w:type="pct"/>
                  <w:tcBorders>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pPr>
                  <w:r>
                    <w:rPr>
                      <w:rFonts w:hint="eastAsia" w:asci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23.2113</w:t>
                  </w:r>
                </w:p>
              </w:tc>
              <w:tc>
                <w:tcPr>
                  <w:tcW w:w="965" w:type="pct"/>
                  <w:tcBorders>
                    <w:bottom w:val="single" w:color="000000" w:sz="4" w:space="0"/>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密闭间</w:t>
                  </w:r>
                  <w:r>
                    <w:rPr>
                      <w:rFonts w:hint="eastAsia" w:asci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+集气罩</w:t>
                  </w:r>
                  <w:r>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+脉冲袋式除尘器</w:t>
                  </w:r>
                </w:p>
              </w:tc>
              <w:tc>
                <w:tcPr>
                  <w:tcW w:w="382" w:type="pct"/>
                  <w:tcBorders>
                    <w:left w:val="single" w:color="000000" w:sz="4" w:space="0"/>
                    <w:bottom w:val="single" w:color="000000" w:sz="4" w:space="0"/>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99.</w:t>
                  </w:r>
                  <w:r>
                    <w:rPr>
                      <w:rFonts w:hint="eastAsia" w:asci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9</w:t>
                  </w:r>
                  <w:r>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w:t>
                  </w:r>
                </w:p>
              </w:tc>
              <w:tc>
                <w:tcPr>
                  <w:tcW w:w="551" w:type="pct"/>
                  <w:tcBorders>
                    <w:left w:val="single" w:color="000000" w:sz="4" w:space="0"/>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vertAlign w:val="baseline"/>
                      <w:lang w:val="en-US" w:eastAsia="zh-CN" w:bidi="ar-SA"/>
                      <w14:textFill>
                        <w14:solidFill>
                          <w14:schemeClr w14:val="tx1"/>
                        </w14:solidFill>
                      </w14:textFill>
                    </w:rPr>
                  </w:pPr>
                  <w:r>
                    <w:rPr>
                      <w:rFonts w:hint="eastAsia" w:ascii="Times New Roman" w:eastAsia="宋体" w:cs="Times New Roman"/>
                      <w:b w:val="0"/>
                      <w:bCs w:val="0"/>
                      <w:color w:val="000000" w:themeColor="text1"/>
                      <w:sz w:val="18"/>
                      <w:szCs w:val="18"/>
                      <w:highlight w:val="none"/>
                      <w:u w:val="none"/>
                      <w:vertAlign w:val="baseline"/>
                      <w:lang w:val="en-US" w:eastAsia="zh-CN" w:bidi="ar-SA"/>
                      <w14:textFill>
                        <w14:solidFill>
                          <w14:schemeClr w14:val="tx1"/>
                        </w14:solidFill>
                      </w14:textFill>
                    </w:rPr>
                    <w:t>3.87</w:t>
                  </w:r>
                </w:p>
              </w:tc>
              <w:tc>
                <w:tcPr>
                  <w:tcW w:w="491" w:type="pct"/>
                  <w:tcBorders>
                    <w:lef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pPr>
                  <w:r>
                    <w:rPr>
                      <w:rFonts w:hint="eastAsia" w:asci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0.019</w:t>
                  </w:r>
                </w:p>
              </w:tc>
              <w:tc>
                <w:tcPr>
                  <w:tcW w:w="403" w:type="pct"/>
                  <w:tcBorders>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pPr>
                  <w:r>
                    <w:rPr>
                      <w:rFonts w:hint="eastAsia" w:asci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0.0232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2" w:type="pct"/>
                  <w:vMerge w:val="continue"/>
                  <w:tcBorders>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p>
              </w:tc>
              <w:tc>
                <w:tcPr>
                  <w:tcW w:w="401" w:type="pct"/>
                  <w:tcBorders>
                    <w:top w:val="single" w:color="000000" w:sz="4" w:space="0"/>
                    <w:left w:val="single" w:color="000000" w:sz="4" w:space="0"/>
                    <w:bottom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无组织</w:t>
                  </w:r>
                </w:p>
              </w:tc>
              <w:tc>
                <w:tcPr>
                  <w:tcW w:w="566" w:type="pct"/>
                  <w:tcBorders>
                    <w:top w:val="single" w:color="000000" w:sz="4" w:space="0"/>
                    <w:bottom w:val="single" w:color="000000" w:sz="4" w:space="0"/>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w:t>
                  </w:r>
                </w:p>
              </w:tc>
              <w:tc>
                <w:tcPr>
                  <w:tcW w:w="498" w:type="pct"/>
                  <w:tcBorders>
                    <w:top w:val="single" w:color="000000" w:sz="4" w:space="0"/>
                    <w:left w:val="single" w:color="000000" w:sz="4" w:space="0"/>
                    <w:bottom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pPr>
                  <w:r>
                    <w:rPr>
                      <w:rFonts w:hint="eastAsia" w:asci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0.395</w:t>
                  </w:r>
                </w:p>
              </w:tc>
              <w:tc>
                <w:tcPr>
                  <w:tcW w:w="498" w:type="pct"/>
                  <w:tcBorders>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pPr>
                  <w:r>
                    <w:rPr>
                      <w:rFonts w:hint="eastAsia" w:asci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0.4737</w:t>
                  </w:r>
                </w:p>
              </w:tc>
              <w:tc>
                <w:tcPr>
                  <w:tcW w:w="965" w:type="pct"/>
                  <w:tcBorders>
                    <w:top w:val="single" w:color="000000" w:sz="4" w:space="0"/>
                    <w:bottom w:val="single" w:color="000000" w:sz="4" w:space="0"/>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w:t>
                  </w:r>
                </w:p>
              </w:tc>
              <w:tc>
                <w:tcPr>
                  <w:tcW w:w="382" w:type="pct"/>
                  <w:tcBorders>
                    <w:top w:val="single" w:color="000000" w:sz="4" w:space="0"/>
                    <w:left w:val="single" w:color="000000" w:sz="4" w:space="0"/>
                    <w:bottom w:val="single" w:color="000000" w:sz="4" w:space="0"/>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pPr>
                  <w:r>
                    <w:rPr>
                      <w:rFonts w:hint="eastAsia" w:asci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95</w:t>
                  </w:r>
                  <w:r>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w:t>
                  </w:r>
                </w:p>
              </w:tc>
              <w:tc>
                <w:tcPr>
                  <w:tcW w:w="551" w:type="pct"/>
                  <w:tcBorders>
                    <w:left w:val="single" w:color="000000" w:sz="4" w:space="0"/>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w:t>
                  </w:r>
                </w:p>
              </w:tc>
              <w:tc>
                <w:tcPr>
                  <w:tcW w:w="491" w:type="pct"/>
                  <w:tcBorders>
                    <w:lef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pPr>
                  <w:r>
                    <w:rPr>
                      <w:rFonts w:hint="eastAsia" w:asci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0.02</w:t>
                  </w:r>
                </w:p>
              </w:tc>
              <w:tc>
                <w:tcPr>
                  <w:tcW w:w="403" w:type="pct"/>
                  <w:tcBorders>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pPr>
                  <w:r>
                    <w:rPr>
                      <w:rFonts w:hint="eastAsia" w:asci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0.0237</w:t>
                  </w:r>
                </w:p>
              </w:tc>
            </w:tr>
          </w:tbl>
          <w:p>
            <w:pPr>
              <w:pStyle w:val="2"/>
              <w:keepLines w:val="0"/>
              <w:pageBreakBefore w:val="0"/>
              <w:widowControl w:val="0"/>
              <w:kinsoku/>
              <w:wordWrap/>
              <w:topLinePunct w:val="0"/>
              <w:autoSpaceDE/>
              <w:autoSpaceDN/>
              <w:bidi w:val="0"/>
              <w:adjustRightInd/>
              <w:snapToGrid/>
              <w:spacing w:before="0" w:after="0" w:line="360" w:lineRule="auto"/>
              <w:ind w:left="0" w:leftChars="0" w:firstLine="420" w:firstLineChars="200"/>
              <w:jc w:val="both"/>
              <w:textAlignment w:val="auto"/>
              <w:rPr>
                <w:rFonts w:hint="default" w:ascii="Times New Roman" w:hAnsi="Times New Roman" w:cs="Times New Roman"/>
                <w:color w:val="000000" w:themeColor="text1"/>
                <w:lang w:val="en-US"/>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切割工序</w:t>
            </w:r>
            <w:r>
              <w:rPr>
                <w:rFonts w:hint="eastAsia" w:cs="Times New Roman"/>
                <w:b w:val="0"/>
                <w:bCs/>
                <w:color w:val="000000" w:themeColor="text1"/>
                <w:kern w:val="0"/>
                <w:sz w:val="21"/>
                <w:szCs w:val="21"/>
                <w:highlight w:val="none"/>
                <w:lang w:val="en-US" w:eastAsia="zh-CN" w:bidi="ar-SA"/>
                <w14:textFill>
                  <w14:solidFill>
                    <w14:schemeClr w14:val="tx1"/>
                  </w14:solidFill>
                </w14:textFill>
              </w:rPr>
              <w:t>颗粒物</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经采用袋式除尘器处理后，外排颗粒物能够满足《大气污染物综合排放标准》（GB16297-1996）标准（最高允许排放浓度120mg/m</w:t>
            </w:r>
            <w:r>
              <w:rPr>
                <w:rFonts w:hint="default" w:ascii="Times New Roman" w:hAnsi="Times New Roman" w:eastAsia="宋体" w:cs="Times New Roman"/>
                <w:b w:val="0"/>
                <w:bCs/>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），同时满足《新乡市生态环境局关于进一步规范工业企业颗粒物排限值的通知》要求（其他工业企业：10mg/m</w:t>
            </w:r>
            <w:r>
              <w:rPr>
                <w:rFonts w:hint="default" w:ascii="Times New Roman" w:hAnsi="Times New Roman" w:eastAsia="宋体" w:cs="Times New Roman"/>
                <w:b w:val="0"/>
                <w:bCs/>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eastAsia="宋体" w:cs="Times New Roman"/>
                <w:b/>
                <w:bCs/>
                <w:color w:val="000000" w:themeColor="text1"/>
                <w:kern w:val="0"/>
                <w:szCs w:val="21"/>
                <w:highlight w:val="none"/>
                <w:lang w:eastAsia="zh-CN"/>
                <w14:textFill>
                  <w14:solidFill>
                    <w14:schemeClr w14:val="tx1"/>
                  </w14:solidFill>
                </w14:textFill>
              </w:rPr>
            </w:pPr>
            <w:r>
              <w:rPr>
                <w:rFonts w:hint="default" w:ascii="Times New Roman" w:hAnsi="Times New Roman" w:cs="Times New Roman"/>
                <w:b/>
                <w:bCs/>
                <w:color w:val="000000" w:themeColor="text1"/>
                <w:kern w:val="0"/>
                <w:szCs w:val="21"/>
                <w:highlight w:val="none"/>
                <w14:textFill>
                  <w14:solidFill>
                    <w14:schemeClr w14:val="tx1"/>
                  </w14:solidFill>
                </w14:textFill>
              </w:rPr>
              <w:fldChar w:fldCharType="begin"/>
            </w:r>
            <w:r>
              <w:rPr>
                <w:rFonts w:hint="default" w:ascii="Times New Roman" w:hAnsi="Times New Roman" w:cs="Times New Roman"/>
                <w:b/>
                <w:bCs/>
                <w:color w:val="000000" w:themeColor="text1"/>
                <w:kern w:val="0"/>
                <w:szCs w:val="21"/>
                <w:highlight w:val="none"/>
                <w14:textFill>
                  <w14:solidFill>
                    <w14:schemeClr w14:val="tx1"/>
                  </w14:solidFill>
                </w14:textFill>
              </w:rPr>
              <w:instrText xml:space="preserve"> = 2 \* GB3 \* MERGEFORMAT </w:instrText>
            </w:r>
            <w:r>
              <w:rPr>
                <w:rFonts w:hint="default" w:ascii="Times New Roman" w:hAnsi="Times New Roman" w:cs="Times New Roman"/>
                <w:b/>
                <w:bCs/>
                <w:color w:val="000000" w:themeColor="text1"/>
                <w:kern w:val="0"/>
                <w:szCs w:val="21"/>
                <w:highlight w:val="none"/>
                <w14:textFill>
                  <w14:solidFill>
                    <w14:schemeClr w14:val="tx1"/>
                  </w14:solidFill>
                </w14:textFill>
              </w:rPr>
              <w:fldChar w:fldCharType="separate"/>
            </w:r>
            <w:r>
              <w:rPr>
                <w:rFonts w:hint="default" w:ascii="Times New Roman" w:hAnsi="Times New Roman" w:cs="Times New Roman"/>
                <w:b/>
                <w:bCs/>
                <w:color w:val="000000" w:themeColor="text1"/>
                <w14:textFill>
                  <w14:solidFill>
                    <w14:schemeClr w14:val="tx1"/>
                  </w14:solidFill>
                </w14:textFill>
              </w:rPr>
              <w:t>②</w:t>
            </w:r>
            <w:r>
              <w:rPr>
                <w:rFonts w:hint="default" w:ascii="Times New Roman" w:hAnsi="Times New Roman" w:cs="Times New Roman"/>
                <w:b/>
                <w:bCs/>
                <w:color w:val="000000" w:themeColor="text1"/>
                <w:kern w:val="0"/>
                <w:szCs w:val="21"/>
                <w:highlight w:val="none"/>
                <w14:textFill>
                  <w14:solidFill>
                    <w14:schemeClr w14:val="tx1"/>
                  </w14:solidFill>
                </w14:textFill>
              </w:rPr>
              <w:fldChar w:fldCharType="end"/>
            </w:r>
            <w:r>
              <w:rPr>
                <w:rFonts w:hint="default" w:ascii="Times New Roman" w:hAnsi="Times New Roman" w:cs="Times New Roman"/>
                <w:b/>
                <w:bCs/>
                <w:color w:val="000000" w:themeColor="text1"/>
                <w:kern w:val="0"/>
                <w:szCs w:val="21"/>
                <w:highlight w:val="none"/>
                <w:lang w:eastAsia="zh-CN"/>
                <w14:textFill>
                  <w14:solidFill>
                    <w14:schemeClr w14:val="tx1"/>
                  </w14:solidFill>
                </w14:textFill>
              </w:rPr>
              <w:t>焊接烟尘</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jc w:val="left"/>
              <w:textAlignment w:val="auto"/>
              <w:rPr>
                <w:rFonts w:hint="default" w:ascii="Times New Roman" w:hAnsi="Times New Roman" w:cs="Times New Roman"/>
                <w:b w:val="0"/>
                <w:bCs w:val="0"/>
                <w:color w:val="000000" w:themeColor="text1"/>
                <w:kern w:val="0"/>
                <w:szCs w:val="21"/>
                <w:highlight w:val="none"/>
                <w14:textFill>
                  <w14:solidFill>
                    <w14:schemeClr w14:val="tx1"/>
                  </w14:solidFill>
                </w14:textFill>
              </w:rPr>
            </w:pPr>
            <w:r>
              <w:rPr>
                <w:rFonts w:hint="default" w:ascii="Times New Roman" w:hAnsi="Times New Roman" w:cs="Times New Roman"/>
                <w:b w:val="0"/>
                <w:bCs w:val="0"/>
                <w:color w:val="000000" w:themeColor="text1"/>
                <w:kern w:val="0"/>
                <w:szCs w:val="21"/>
                <w:highlight w:val="none"/>
                <w14:textFill>
                  <w14:solidFill>
                    <w14:schemeClr w14:val="tx1"/>
                  </w14:solidFill>
                </w14:textFill>
              </w:rPr>
              <w:t>工程封头拼板焊接过程会产生焊接烟尘，工程主要以埋弧焊为主，排污系数参考《工业污染源产排污系数手册》中33金属制品业中09焊接核算环节中产污系数，采用药芯焊丝的埋弧焊产污系数均为20.5千克/吨-原料，根据企业提供资料，焊接过程药芯焊丝用量约为</w:t>
            </w:r>
            <w:r>
              <w:rPr>
                <w:rFonts w:hint="default" w:ascii="Times New Roman" w:hAnsi="Times New Roman" w:cs="Times New Roman"/>
                <w:b w:val="0"/>
                <w:bCs w:val="0"/>
                <w:color w:val="000000" w:themeColor="text1"/>
                <w:kern w:val="0"/>
                <w:szCs w:val="21"/>
                <w:highlight w:val="none"/>
                <w:lang w:val="en-US" w:eastAsia="zh-CN"/>
                <w14:textFill>
                  <w14:solidFill>
                    <w14:schemeClr w14:val="tx1"/>
                  </w14:solidFill>
                </w14:textFill>
              </w:rPr>
              <w:t>27</w:t>
            </w:r>
            <w:r>
              <w:rPr>
                <w:rFonts w:hint="default" w:ascii="Times New Roman" w:hAnsi="Times New Roman" w:cs="Times New Roman"/>
                <w:b w:val="0"/>
                <w:bCs w:val="0"/>
                <w:color w:val="000000" w:themeColor="text1"/>
                <w:kern w:val="0"/>
                <w:szCs w:val="21"/>
                <w:highlight w:val="none"/>
                <w14:textFill>
                  <w14:solidFill>
                    <w14:schemeClr w14:val="tx1"/>
                  </w14:solidFill>
                </w14:textFill>
              </w:rPr>
              <w:t>t/a，则焊接过程焊接烟尘产生量为</w:t>
            </w:r>
            <w:r>
              <w:rPr>
                <w:rFonts w:hint="default" w:ascii="Times New Roman" w:hAnsi="Times New Roman" w:cs="Times New Roman"/>
                <w:b w:val="0"/>
                <w:bCs w:val="0"/>
                <w:color w:val="000000" w:themeColor="text1"/>
                <w:kern w:val="0"/>
                <w:szCs w:val="21"/>
                <w:highlight w:val="none"/>
                <w:lang w:val="en-US" w:eastAsia="zh-CN"/>
                <w14:textFill>
                  <w14:solidFill>
                    <w14:schemeClr w14:val="tx1"/>
                  </w14:solidFill>
                </w14:textFill>
              </w:rPr>
              <w:t>0.5535</w:t>
            </w:r>
            <w:r>
              <w:rPr>
                <w:rFonts w:hint="default" w:ascii="Times New Roman" w:hAnsi="Times New Roman" w:cs="Times New Roman"/>
                <w:b w:val="0"/>
                <w:bCs w:val="0"/>
                <w:color w:val="000000" w:themeColor="text1"/>
                <w:kern w:val="0"/>
                <w:szCs w:val="21"/>
                <w:highlight w:val="none"/>
                <w14:textFill>
                  <w14:solidFill>
                    <w14:schemeClr w14:val="tx1"/>
                  </w14:solidFill>
                </w14:textFill>
              </w:rPr>
              <w:t>t/a</w:t>
            </w:r>
            <w:r>
              <w:rPr>
                <w:rFonts w:hint="eastAsia" w:cs="Times New Roman"/>
                <w:b w:val="0"/>
                <w:bCs w:val="0"/>
                <w:color w:val="000000" w:themeColor="text1"/>
                <w:kern w:val="0"/>
                <w:szCs w:val="21"/>
                <w:highlight w:val="none"/>
                <w:lang w:eastAsia="zh-CN"/>
                <w14:textFill>
                  <w14:solidFill>
                    <w14:schemeClr w14:val="tx1"/>
                  </w14:solidFill>
                </w14:textFill>
              </w:rPr>
              <w:t>，</w:t>
            </w:r>
            <w:r>
              <w:rPr>
                <w:rFonts w:hint="eastAsia" w:ascii="Times New Roman" w:eastAsia="宋体" w:cs="Times New Roman"/>
                <w:b w:val="0"/>
                <w:bCs/>
                <w:color w:val="000000" w:themeColor="text1"/>
                <w:sz w:val="21"/>
                <w:szCs w:val="21"/>
                <w:highlight w:val="none"/>
                <w:lang w:val="en-US" w:eastAsia="zh-CN"/>
                <w14:textFill>
                  <w14:solidFill>
                    <w14:schemeClr w14:val="tx1"/>
                  </w14:solidFill>
                </w14:textFill>
              </w:rPr>
              <w:t>拟通过</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设置单独二次密闭间</w:t>
            </w:r>
            <w:r>
              <w:rPr>
                <w:rFonts w:hint="default" w:ascii="Times New Roman" w:hAnsi="Times New Roman" w:cs="Times New Roman"/>
                <w:b w:val="0"/>
                <w:bCs w:val="0"/>
                <w:color w:val="000000" w:themeColor="text1"/>
                <w:kern w:val="0"/>
                <w:szCs w:val="21"/>
                <w:highlight w:val="none"/>
                <w14:textFill>
                  <w14:solidFill>
                    <w14:schemeClr w14:val="tx1"/>
                  </w14:solidFill>
                </w14:textFill>
              </w:rPr>
              <w:t>，并设置负压集气装置进行收集，通过1套脉冲袋式除尘器进行处理后经15m高排气筒排放。</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jc w:val="left"/>
              <w:textAlignment w:val="auto"/>
              <w:rPr>
                <w:rFonts w:hint="default"/>
                <w:color w:val="000000" w:themeColor="text1"/>
                <w:lang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工程设置的“</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密闭间</w:t>
            </w:r>
            <w:r>
              <w:rPr>
                <w:rFonts w:hint="eastAsia" w:cs="Times New Roman"/>
                <w:b w:val="0"/>
                <w:bCs/>
                <w:color w:val="000000" w:themeColor="text1"/>
                <w:sz w:val="21"/>
                <w:szCs w:val="21"/>
                <w:highlight w:val="none"/>
                <w:lang w:val="en-US" w:eastAsia="zh-CN"/>
                <w14:textFill>
                  <w14:solidFill>
                    <w14:schemeClr w14:val="tx1"/>
                  </w14:solidFill>
                </w14:textFill>
              </w:rPr>
              <w:t>+负压集气罩”的</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集气效率按照9</w:t>
            </w:r>
            <w:r>
              <w:rPr>
                <w:rFonts w:hint="eastAsia" w:cs="Times New Roman"/>
                <w:b w:val="0"/>
                <w:bCs/>
                <w:color w:val="000000" w:themeColor="text1"/>
                <w:sz w:val="21"/>
                <w:szCs w:val="21"/>
                <w:highlight w:val="none"/>
                <w:lang w:val="en-US" w:eastAsia="zh-CN"/>
                <w14:textFill>
                  <w14:solidFill>
                    <w14:schemeClr w14:val="tx1"/>
                  </w14:solidFill>
                </w14:textFill>
              </w:rPr>
              <w:t>8</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%计算，</w:t>
            </w:r>
            <w:r>
              <w:rPr>
                <w:rFonts w:hint="default" w:ascii="Times New Roman" w:hAnsi="Times New Roman" w:cs="Times New Roman"/>
                <w:b w:val="0"/>
                <w:bCs w:val="0"/>
                <w:color w:val="000000" w:themeColor="text1"/>
                <w:kern w:val="0"/>
                <w:szCs w:val="21"/>
                <w:highlight w:val="none"/>
                <w14:textFill>
                  <w14:solidFill>
                    <w14:schemeClr w14:val="tx1"/>
                  </w14:solidFill>
                </w14:textFill>
              </w:rPr>
              <w:t>废气收集量约为</w:t>
            </w:r>
            <w:r>
              <w:rPr>
                <w:rFonts w:hint="default" w:ascii="Times New Roman" w:hAnsi="Times New Roman" w:cs="Times New Roman"/>
                <w:b w:val="0"/>
                <w:bCs w:val="0"/>
                <w:color w:val="000000" w:themeColor="text1"/>
                <w:kern w:val="0"/>
                <w:szCs w:val="21"/>
                <w:highlight w:val="none"/>
                <w:lang w:val="en-US" w:eastAsia="zh-CN"/>
                <w14:textFill>
                  <w14:solidFill>
                    <w14:schemeClr w14:val="tx1"/>
                  </w14:solidFill>
                </w14:textFill>
              </w:rPr>
              <w:t>1000</w:t>
            </w:r>
            <w:r>
              <w:rPr>
                <w:rFonts w:hint="default" w:ascii="Times New Roman" w:hAnsi="Times New Roman" w:cs="Times New Roman"/>
                <w:b w:val="0"/>
                <w:bCs w:val="0"/>
                <w:color w:val="000000" w:themeColor="text1"/>
                <w:kern w:val="0"/>
                <w:szCs w:val="21"/>
                <w:highlight w:val="none"/>
                <w14:textFill>
                  <w14:solidFill>
                    <w14:schemeClr w14:val="tx1"/>
                  </w14:solidFill>
                </w14:textFill>
              </w:rPr>
              <w:t>m</w:t>
            </w:r>
            <w:r>
              <w:rPr>
                <w:rFonts w:hint="default" w:ascii="Times New Roman" w:hAnsi="Times New Roman" w:cs="Times New Roman"/>
                <w:b w:val="0"/>
                <w:bCs w:val="0"/>
                <w:color w:val="000000" w:themeColor="text1"/>
                <w:kern w:val="0"/>
                <w:szCs w:val="21"/>
                <w:highlight w:val="none"/>
                <w:vertAlign w:val="superscript"/>
                <w14:textFill>
                  <w14:solidFill>
                    <w14:schemeClr w14:val="tx1"/>
                  </w14:solidFill>
                </w14:textFill>
              </w:rPr>
              <w:t>3</w:t>
            </w:r>
            <w:r>
              <w:rPr>
                <w:rFonts w:hint="default" w:ascii="Times New Roman" w:hAnsi="Times New Roman" w:cs="Times New Roman"/>
                <w:b w:val="0"/>
                <w:bCs w:val="0"/>
                <w:color w:val="000000" w:themeColor="text1"/>
                <w:kern w:val="0"/>
                <w:szCs w:val="21"/>
                <w:highlight w:val="none"/>
                <w14:textFill>
                  <w14:solidFill>
                    <w14:schemeClr w14:val="tx1"/>
                  </w14:solidFill>
                </w14:textFill>
              </w:rPr>
              <w:t>/h，年工作时间按照</w:t>
            </w:r>
            <w:r>
              <w:rPr>
                <w:rFonts w:hint="eastAsia" w:cs="Times New Roman"/>
                <w:b w:val="0"/>
                <w:bCs w:val="0"/>
                <w:color w:val="000000" w:themeColor="text1"/>
                <w:kern w:val="0"/>
                <w:szCs w:val="21"/>
                <w:highlight w:val="none"/>
                <w:lang w:val="en-US" w:eastAsia="zh-CN"/>
                <w14:textFill>
                  <w14:solidFill>
                    <w14:schemeClr w14:val="tx1"/>
                  </w14:solidFill>
                </w14:textFill>
              </w:rPr>
              <w:t>12</w:t>
            </w:r>
            <w:r>
              <w:rPr>
                <w:rFonts w:hint="default" w:ascii="Times New Roman" w:hAnsi="Times New Roman" w:cs="Times New Roman"/>
                <w:b w:val="0"/>
                <w:bCs w:val="0"/>
                <w:color w:val="000000" w:themeColor="text1"/>
                <w:kern w:val="0"/>
                <w:szCs w:val="21"/>
                <w:highlight w:val="none"/>
                <w14:textFill>
                  <w14:solidFill>
                    <w14:schemeClr w14:val="tx1"/>
                  </w14:solidFill>
                </w14:textFill>
              </w:rPr>
              <w:t>00h计，</w:t>
            </w:r>
            <w:r>
              <w:rPr>
                <w:rFonts w:hint="eastAsia" w:cs="Times New Roman"/>
                <w:b w:val="0"/>
                <w:bCs/>
                <w:color w:val="000000" w:themeColor="text1"/>
                <w:sz w:val="21"/>
                <w:szCs w:val="21"/>
                <w:highlight w:val="none"/>
                <w:lang w:val="en-US" w:eastAsia="zh-CN"/>
                <w14:textFill>
                  <w14:solidFill>
                    <w14:schemeClr w14:val="tx1"/>
                  </w14:solidFill>
                </w14:textFill>
              </w:rPr>
              <w:t>则该工序有组织颗粒物收集量为0.5424t/a，</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无组织粉尘产生量为</w:t>
            </w:r>
            <w:r>
              <w:rPr>
                <w:rFonts w:hint="eastAsia" w:cs="Times New Roman"/>
                <w:b w:val="0"/>
                <w:bCs/>
                <w:color w:val="000000" w:themeColor="text1"/>
                <w:sz w:val="21"/>
                <w:szCs w:val="21"/>
                <w:highlight w:val="none"/>
                <w:lang w:val="en-US" w:eastAsia="zh-CN"/>
                <w14:textFill>
                  <w14:solidFill>
                    <w14:schemeClr w14:val="tx1"/>
                  </w14:solidFill>
                </w14:textFill>
              </w:rPr>
              <w:t>0.0111</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t/a，</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该部分颗粒物主要为金属颗粒物，比重较大，主要在</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生产</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车间内进行自然沉降，根据《</w:t>
            </w:r>
            <w:r>
              <w:rPr>
                <w:rFonts w:hint="default" w:ascii="Times New Roman" w:hAnsi="Times New Roman" w:cs="Times New Roman"/>
                <w:color w:val="000000" w:themeColor="text1"/>
                <w:sz w:val="21"/>
                <w:szCs w:val="21"/>
                <w:highlight w:val="none"/>
                <w:lang w:eastAsia="zh-CN"/>
                <w14:textFill>
                  <w14:solidFill>
                    <w14:schemeClr w14:val="tx1"/>
                  </w14:solidFill>
                </w14:textFill>
              </w:rPr>
              <w:t>逸散性工业粉尘控制技术》，车间阻隔可减少无组织约70%~90%</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项目</w:t>
            </w:r>
            <w:r>
              <w:rPr>
                <w:rFonts w:hint="eastAsia" w:cs="Times New Roman"/>
                <w:b w:val="0"/>
                <w:bCs w:val="0"/>
                <w:color w:val="000000" w:themeColor="text1"/>
                <w:sz w:val="21"/>
                <w:szCs w:val="21"/>
                <w:highlight w:val="none"/>
                <w:lang w:eastAsia="zh-CN"/>
                <w14:textFill>
                  <w14:solidFill>
                    <w14:schemeClr w14:val="tx1"/>
                  </w14:solidFill>
                </w14:textFill>
              </w:rPr>
              <w:t>车间地面均已硬化处理，同时产污工序</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配套设置二次密闭间进行隔离，</w:t>
            </w:r>
            <w:r>
              <w:rPr>
                <w:rFonts w:hint="eastAsia" w:cs="Times New Roman"/>
                <w:b w:val="0"/>
                <w:bCs w:val="0"/>
                <w:color w:val="000000" w:themeColor="text1"/>
                <w:sz w:val="21"/>
                <w:szCs w:val="21"/>
                <w:highlight w:val="none"/>
                <w:lang w:eastAsia="zh-CN"/>
                <w14:textFill>
                  <w14:solidFill>
                    <w14:schemeClr w14:val="tx1"/>
                  </w14:solidFill>
                </w14:textFill>
              </w:rPr>
              <w:t>企业拟设置</w:t>
            </w:r>
            <w:r>
              <w:rPr>
                <w:rFonts w:hint="default" w:ascii="Times New Roman" w:hAnsi="Times New Roman" w:cs="Times New Roman"/>
                <w:color w:val="000000" w:themeColor="text1"/>
                <w:sz w:val="21"/>
                <w:szCs w:val="21"/>
                <w:highlight w:val="none"/>
                <w:lang w:eastAsia="zh-CN"/>
                <w14:textFill>
                  <w14:solidFill>
                    <w14:schemeClr w14:val="tx1"/>
                  </w14:solidFill>
                </w14:textFill>
              </w:rPr>
              <w:t>喷干雾抑尘装置</w:t>
            </w:r>
            <w:r>
              <w:rPr>
                <w:rFonts w:hint="eastAsia" w:cs="Times New Roman"/>
                <w:color w:val="000000" w:themeColor="text1"/>
                <w:sz w:val="21"/>
                <w:szCs w:val="21"/>
                <w:highlight w:val="none"/>
                <w:lang w:eastAsia="zh-CN"/>
                <w14:textFill>
                  <w14:solidFill>
                    <w14:schemeClr w14:val="tx1"/>
                  </w14:solidFill>
                </w14:textFill>
              </w:rPr>
              <w:t>，并在</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日常生产过程对地面</w:t>
            </w:r>
            <w:r>
              <w:rPr>
                <w:rFonts w:hint="eastAsia" w:cs="Times New Roman"/>
                <w:b w:val="0"/>
                <w:bCs w:val="0"/>
                <w:color w:val="000000" w:themeColor="text1"/>
                <w:sz w:val="21"/>
                <w:szCs w:val="21"/>
                <w:highlight w:val="none"/>
                <w:lang w:eastAsia="zh-CN"/>
                <w14:textFill>
                  <w14:solidFill>
                    <w14:schemeClr w14:val="tx1"/>
                  </w14:solidFill>
                </w14:textFill>
              </w:rPr>
              <w:t>时常</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清扫</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eastAsia" w:cs="Times New Roman"/>
                <w:color w:val="000000" w:themeColor="text1"/>
                <w:sz w:val="21"/>
                <w:szCs w:val="21"/>
                <w:highlight w:val="none"/>
                <w:lang w:eastAsia="zh-CN"/>
                <w14:textFill>
                  <w14:solidFill>
                    <w14:schemeClr w14:val="tx1"/>
                  </w14:solidFill>
                </w14:textFill>
              </w:rPr>
              <w:t>通过</w:t>
            </w:r>
            <w:r>
              <w:rPr>
                <w:rFonts w:hint="default" w:ascii="Times New Roman" w:hAnsi="Times New Roman" w:cs="Times New Roman"/>
                <w:color w:val="000000" w:themeColor="text1"/>
                <w:sz w:val="21"/>
                <w:szCs w:val="21"/>
                <w:highlight w:val="none"/>
                <w:lang w:eastAsia="zh-CN"/>
                <w14:textFill>
                  <w14:solidFill>
                    <w14:schemeClr w14:val="tx1"/>
                  </w14:solidFill>
                </w14:textFill>
              </w:rPr>
              <w:t>采取上述措施后无组织粉尘降尘效率</w:t>
            </w:r>
            <w:r>
              <w:rPr>
                <w:rFonts w:hint="default" w:ascii="Times New Roman" w:hAnsi="Times New Roman" w:cs="Times New Roman"/>
                <w:b w:val="0"/>
                <w:bCs w:val="0"/>
                <w:color w:val="000000" w:themeColor="text1"/>
                <w:sz w:val="21"/>
                <w:szCs w:val="21"/>
                <w:highlight w:val="none"/>
                <w:u w:val="none"/>
                <w:lang w:eastAsia="zh-CN"/>
                <w14:textFill>
                  <w14:solidFill>
                    <w14:schemeClr w14:val="tx1"/>
                  </w14:solidFill>
                </w14:textFill>
              </w:rPr>
              <w:t>按</w:t>
            </w:r>
            <w:r>
              <w:rPr>
                <w:rFonts w:hint="eastAsia" w:cs="Times New Roman"/>
                <w:b w:val="0"/>
                <w:bCs w:val="0"/>
                <w:color w:val="000000" w:themeColor="text1"/>
                <w:sz w:val="21"/>
                <w:szCs w:val="21"/>
                <w:highlight w:val="none"/>
                <w:u w:val="none"/>
                <w:lang w:val="en-US" w:eastAsia="zh-CN"/>
                <w14:textFill>
                  <w14:solidFill>
                    <w14:schemeClr w14:val="tx1"/>
                  </w14:solidFill>
                </w14:textFill>
              </w:rPr>
              <w:t>95</w:t>
            </w:r>
            <w:r>
              <w:rPr>
                <w:rFonts w:hint="default" w:ascii="Times New Roman" w:hAnsi="Times New Roman" w:cs="Times New Roman"/>
                <w:b w:val="0"/>
                <w:bCs w:val="0"/>
                <w:color w:val="000000" w:themeColor="text1"/>
                <w:sz w:val="21"/>
                <w:szCs w:val="21"/>
                <w:highlight w:val="none"/>
                <w:u w:val="none"/>
                <w14:textFill>
                  <w14:solidFill>
                    <w14:schemeClr w14:val="tx1"/>
                  </w14:solidFill>
                </w14:textFill>
              </w:rPr>
              <w:t>%</w:t>
            </w:r>
            <w:r>
              <w:rPr>
                <w:rFonts w:hint="eastAsia" w:cs="Times New Roman"/>
                <w:b w:val="0"/>
                <w:bCs w:val="0"/>
                <w:color w:val="000000" w:themeColor="text1"/>
                <w:sz w:val="21"/>
                <w:szCs w:val="21"/>
                <w:highlight w:val="none"/>
                <w:u w:val="none"/>
                <w:lang w:eastAsia="zh-CN"/>
                <w14:textFill>
                  <w14:solidFill>
                    <w14:schemeClr w14:val="tx1"/>
                  </w14:solidFill>
                </w14:textFill>
              </w:rPr>
              <w:t>计算</w:t>
            </w:r>
            <w:r>
              <w:rPr>
                <w:rFonts w:hint="default" w:ascii="Times New Roman" w:hAnsi="Times New Roman" w:cs="Times New Roman"/>
                <w:b w:val="0"/>
                <w:bCs w:val="0"/>
                <w:color w:val="000000" w:themeColor="text1"/>
                <w:sz w:val="21"/>
                <w:szCs w:val="21"/>
                <w:highlight w:val="none"/>
                <w:u w:val="none"/>
                <w:lang w:eastAsia="zh-CN"/>
                <w14:textFill>
                  <w14:solidFill>
                    <w14:schemeClr w14:val="tx1"/>
                  </w14:solidFill>
                </w14:textFill>
              </w:rPr>
              <w:t>，</w:t>
            </w:r>
            <w:r>
              <w:rPr>
                <w:rFonts w:hint="default" w:ascii="Times New Roman" w:hAnsi="Times New Roman" w:cs="Times New Roman"/>
                <w:b w:val="0"/>
                <w:bCs w:val="0"/>
                <w:color w:val="000000" w:themeColor="text1"/>
                <w:kern w:val="0"/>
                <w:szCs w:val="21"/>
                <w:highlight w:val="none"/>
                <w14:textFill>
                  <w14:solidFill>
                    <w14:schemeClr w14:val="tx1"/>
                  </w14:solidFill>
                </w14:textFill>
              </w:rPr>
              <w:t>经计算现有工程切割工序整改后颗粒物产排情况如下：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整改后焊接工序废气产排情况</w:t>
            </w:r>
          </w:p>
          <w:tbl>
            <w:tblPr>
              <w:tblStyle w:val="22"/>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45"/>
              <w:gridCol w:w="696"/>
              <w:gridCol w:w="924"/>
              <w:gridCol w:w="818"/>
              <w:gridCol w:w="900"/>
              <w:gridCol w:w="1146"/>
              <w:gridCol w:w="654"/>
              <w:gridCol w:w="940"/>
              <w:gridCol w:w="872"/>
              <w:gridCol w:w="78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7" w:type="pct"/>
                  <w:gridSpan w:val="2"/>
                  <w:tcBorders>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污染源</w:t>
                  </w:r>
                </w:p>
              </w:tc>
              <w:tc>
                <w:tcPr>
                  <w:tcW w:w="565" w:type="pct"/>
                  <w:tcBorders>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产生浓度mg/m</w:t>
                  </w:r>
                  <w:r>
                    <w:rPr>
                      <w:rFonts w:hint="default" w:ascii="Times New Roman" w:hAnsi="Times New Roman" w:eastAsia="宋体" w:cs="Times New Roman"/>
                      <w:color w:val="000000" w:themeColor="text1"/>
                      <w:sz w:val="18"/>
                      <w:szCs w:val="18"/>
                      <w:highlight w:val="none"/>
                      <w:vertAlign w:val="superscript"/>
                      <w:lang w:val="en-US" w:eastAsia="zh-CN"/>
                      <w14:textFill>
                        <w14:solidFill>
                          <w14:schemeClr w14:val="tx1"/>
                        </w14:solidFill>
                      </w14:textFill>
                    </w:rPr>
                    <w:t>3</w:t>
                  </w:r>
                </w:p>
              </w:tc>
              <w:tc>
                <w:tcPr>
                  <w:tcW w:w="500" w:type="pct"/>
                  <w:tcBorders>
                    <w:lef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产生速率kg/h</w:t>
                  </w:r>
                </w:p>
              </w:tc>
              <w:tc>
                <w:tcPr>
                  <w:tcW w:w="550" w:type="pct"/>
                  <w:tcBorders>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产生量t/a</w:t>
                  </w:r>
                </w:p>
              </w:tc>
              <w:tc>
                <w:tcPr>
                  <w:tcW w:w="700" w:type="pct"/>
                  <w:tcBorders>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治理措施</w:t>
                  </w:r>
                </w:p>
              </w:tc>
              <w:tc>
                <w:tcPr>
                  <w:tcW w:w="399" w:type="pct"/>
                  <w:tcBorders>
                    <w:left w:val="single" w:color="000000" w:sz="4" w:space="0"/>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处理效率</w:t>
                  </w:r>
                </w:p>
              </w:tc>
              <w:tc>
                <w:tcPr>
                  <w:tcW w:w="574" w:type="pct"/>
                  <w:tcBorders>
                    <w:left w:val="single" w:color="000000" w:sz="4" w:space="0"/>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排放浓度mg/m</w:t>
                  </w:r>
                  <w:r>
                    <w:rPr>
                      <w:rFonts w:hint="default" w:ascii="Times New Roman" w:hAnsi="Times New Roman" w:eastAsia="宋体" w:cs="Times New Roman"/>
                      <w:color w:val="000000" w:themeColor="text1"/>
                      <w:sz w:val="18"/>
                      <w:szCs w:val="18"/>
                      <w:highlight w:val="none"/>
                      <w:vertAlign w:val="superscript"/>
                      <w:lang w:val="en-US" w:eastAsia="zh-CN"/>
                      <w14:textFill>
                        <w14:solidFill>
                          <w14:schemeClr w14:val="tx1"/>
                        </w14:solidFill>
                      </w14:textFill>
                    </w:rPr>
                    <w:t>3</w:t>
                  </w:r>
                </w:p>
              </w:tc>
              <w:tc>
                <w:tcPr>
                  <w:tcW w:w="533" w:type="pct"/>
                  <w:tcBorders>
                    <w:lef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排放速率kg/h</w:t>
                  </w:r>
                </w:p>
              </w:tc>
              <w:tc>
                <w:tcPr>
                  <w:tcW w:w="477" w:type="pct"/>
                  <w:tcBorders>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排放量t/a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2" w:type="pct"/>
                  <w:vMerge w:val="restart"/>
                  <w:tcBorders>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颗粒物</w:t>
                  </w:r>
                </w:p>
              </w:tc>
              <w:tc>
                <w:tcPr>
                  <w:tcW w:w="425" w:type="pct"/>
                  <w:tcBorders>
                    <w:left w:val="single" w:color="000000" w:sz="4" w:space="0"/>
                    <w:bottom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有组织</w:t>
                  </w:r>
                </w:p>
              </w:tc>
              <w:tc>
                <w:tcPr>
                  <w:tcW w:w="565" w:type="pct"/>
                  <w:tcBorders>
                    <w:bottom w:val="single" w:color="000000" w:sz="4" w:space="0"/>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452</w:t>
                  </w:r>
                </w:p>
              </w:tc>
              <w:tc>
                <w:tcPr>
                  <w:tcW w:w="500" w:type="pct"/>
                  <w:tcBorders>
                    <w:left w:val="single" w:color="000000" w:sz="4" w:space="0"/>
                    <w:bottom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0.452</w:t>
                  </w:r>
                </w:p>
              </w:tc>
              <w:tc>
                <w:tcPr>
                  <w:tcW w:w="550" w:type="pct"/>
                  <w:tcBorders>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0.5424</w:t>
                  </w:r>
                </w:p>
              </w:tc>
              <w:tc>
                <w:tcPr>
                  <w:tcW w:w="700" w:type="pct"/>
                  <w:tcBorders>
                    <w:bottom w:val="single" w:color="000000" w:sz="4" w:space="0"/>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密闭间+</w:t>
                  </w: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集气罩+</w:t>
                  </w: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脉冲袋式除尘器</w:t>
                  </w:r>
                </w:p>
              </w:tc>
              <w:tc>
                <w:tcPr>
                  <w:tcW w:w="399" w:type="pct"/>
                  <w:tcBorders>
                    <w:left w:val="single" w:color="000000" w:sz="4" w:space="0"/>
                    <w:bottom w:val="single" w:color="000000" w:sz="4" w:space="0"/>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99.</w:t>
                  </w: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9</w:t>
                  </w: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w:t>
                  </w:r>
                </w:p>
              </w:tc>
              <w:tc>
                <w:tcPr>
                  <w:tcW w:w="574" w:type="pct"/>
                  <w:tcBorders>
                    <w:left w:val="single" w:color="000000" w:sz="4" w:space="0"/>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bidi="ar-SA"/>
                      <w14:textFill>
                        <w14:solidFill>
                          <w14:schemeClr w14:val="tx1"/>
                        </w14:solidFill>
                      </w14:textFill>
                    </w:rPr>
                    <w:t>0.45</w:t>
                  </w:r>
                </w:p>
              </w:tc>
              <w:tc>
                <w:tcPr>
                  <w:tcW w:w="533" w:type="pct"/>
                  <w:tcBorders>
                    <w:lef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0.0004</w:t>
                  </w:r>
                </w:p>
              </w:tc>
              <w:tc>
                <w:tcPr>
                  <w:tcW w:w="477" w:type="pct"/>
                  <w:tcBorders>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0.0005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2" w:type="pct"/>
                  <w:vMerge w:val="continue"/>
                  <w:tcBorders>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p>
              </w:tc>
              <w:tc>
                <w:tcPr>
                  <w:tcW w:w="425" w:type="pct"/>
                  <w:tcBorders>
                    <w:top w:val="single" w:color="000000" w:sz="4" w:space="0"/>
                    <w:left w:val="single" w:color="000000" w:sz="4" w:space="0"/>
                    <w:bottom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无组织</w:t>
                  </w:r>
                </w:p>
              </w:tc>
              <w:tc>
                <w:tcPr>
                  <w:tcW w:w="565" w:type="pct"/>
                  <w:tcBorders>
                    <w:top w:val="single" w:color="000000" w:sz="4" w:space="0"/>
                    <w:bottom w:val="single" w:color="000000" w:sz="4" w:space="0"/>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w:t>
                  </w:r>
                </w:p>
              </w:tc>
              <w:tc>
                <w:tcPr>
                  <w:tcW w:w="500" w:type="pct"/>
                  <w:tcBorders>
                    <w:top w:val="single" w:color="000000" w:sz="4" w:space="0"/>
                    <w:left w:val="single" w:color="000000" w:sz="4" w:space="0"/>
                    <w:bottom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0.0093</w:t>
                  </w:r>
                </w:p>
              </w:tc>
              <w:tc>
                <w:tcPr>
                  <w:tcW w:w="550" w:type="pct"/>
                  <w:tcBorders>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0.0111</w:t>
                  </w:r>
                </w:p>
              </w:tc>
              <w:tc>
                <w:tcPr>
                  <w:tcW w:w="700" w:type="pct"/>
                  <w:tcBorders>
                    <w:top w:val="single" w:color="000000" w:sz="4" w:space="0"/>
                    <w:bottom w:val="single" w:color="000000" w:sz="4" w:space="0"/>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w:t>
                  </w:r>
                </w:p>
              </w:tc>
              <w:tc>
                <w:tcPr>
                  <w:tcW w:w="399" w:type="pct"/>
                  <w:tcBorders>
                    <w:top w:val="single" w:color="000000" w:sz="4" w:space="0"/>
                    <w:left w:val="single" w:color="000000" w:sz="4" w:space="0"/>
                    <w:bottom w:val="single" w:color="000000" w:sz="4" w:space="0"/>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95</w:t>
                  </w: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w:t>
                  </w:r>
                </w:p>
              </w:tc>
              <w:tc>
                <w:tcPr>
                  <w:tcW w:w="574" w:type="pct"/>
                  <w:tcBorders>
                    <w:left w:val="single" w:color="000000" w:sz="4" w:space="0"/>
                    <w:righ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w:t>
                  </w:r>
                </w:p>
              </w:tc>
              <w:tc>
                <w:tcPr>
                  <w:tcW w:w="533" w:type="pct"/>
                  <w:tcBorders>
                    <w:left w:val="single" w:color="000000" w:sz="4" w:space="0"/>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0.0005</w:t>
                  </w:r>
                </w:p>
              </w:tc>
              <w:tc>
                <w:tcPr>
                  <w:tcW w:w="477" w:type="pct"/>
                  <w:tcBorders>
                    <w:tl2br w:val="nil"/>
                    <w:tr2bl w:val="nil"/>
                  </w:tcBorders>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0.0006</w:t>
                  </w:r>
                </w:p>
              </w:tc>
            </w:tr>
          </w:tbl>
          <w:p>
            <w:pPr>
              <w:pStyle w:val="2"/>
              <w:keepLines w:val="0"/>
              <w:pageBreakBefore w:val="0"/>
              <w:widowControl w:val="0"/>
              <w:kinsoku/>
              <w:wordWrap/>
              <w:topLinePunct w:val="0"/>
              <w:autoSpaceDE/>
              <w:autoSpaceDN/>
              <w:bidi w:val="0"/>
              <w:adjustRightInd/>
              <w:snapToGrid/>
              <w:spacing w:before="0" w:after="0" w:line="360" w:lineRule="auto"/>
              <w:ind w:left="0" w:leftChars="0" w:firstLine="420" w:firstLineChars="200"/>
              <w:jc w:val="both"/>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焊接工序</w:t>
            </w:r>
            <w:r>
              <w:rPr>
                <w:rFonts w:hint="eastAsia" w:cs="Times New Roman"/>
                <w:b w:val="0"/>
                <w:bCs/>
                <w:color w:val="000000" w:themeColor="text1"/>
                <w:kern w:val="0"/>
                <w:sz w:val="21"/>
                <w:szCs w:val="21"/>
                <w:highlight w:val="none"/>
                <w:lang w:val="en-US" w:eastAsia="zh-CN" w:bidi="ar-SA"/>
                <w14:textFill>
                  <w14:solidFill>
                    <w14:schemeClr w14:val="tx1"/>
                  </w14:solidFill>
                </w14:textFill>
              </w:rPr>
              <w:t>颗粒物</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经采用袋式除尘器处理后，外排颗粒物能够满足《大气污染物综合排放标准》（GB16297-1996）标准（最高允许排放浓度120mg/m</w:t>
            </w:r>
            <w:r>
              <w:rPr>
                <w:rFonts w:hint="default" w:ascii="Times New Roman" w:hAnsi="Times New Roman" w:eastAsia="宋体" w:cs="Times New Roman"/>
                <w:b w:val="0"/>
                <w:bCs/>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），同时满足《新乡市生态环境局关于进一步规范工业企业颗粒物排限值的通知》要求（其他工业企业：10mg/m</w:t>
            </w:r>
            <w:r>
              <w:rPr>
                <w:rFonts w:hint="default" w:ascii="Times New Roman" w:hAnsi="Times New Roman" w:eastAsia="宋体" w:cs="Times New Roman"/>
                <w:b w:val="0"/>
                <w:bCs/>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w:t>
            </w:r>
          </w:p>
          <w:p>
            <w:pPr>
              <w:pStyle w:val="2"/>
              <w:keepLines w:val="0"/>
              <w:pageBreakBefore w:val="0"/>
              <w:widowControl w:val="0"/>
              <w:kinsoku/>
              <w:wordWrap/>
              <w:topLinePunct w:val="0"/>
              <w:autoSpaceDE/>
              <w:autoSpaceDN/>
              <w:bidi w:val="0"/>
              <w:adjustRightInd/>
              <w:snapToGrid/>
              <w:spacing w:before="0" w:after="0" w:line="360" w:lineRule="auto"/>
              <w:ind w:left="0" w:leftChars="0" w:firstLine="422" w:firstLineChars="200"/>
              <w:jc w:val="both"/>
              <w:textAlignment w:val="auto"/>
              <w:rPr>
                <w:rFonts w:hint="default" w:ascii="Times New Roman" w:hAnsi="Times New Roman" w:eastAsia="宋体" w:cs="Times New Roman"/>
                <w:b/>
                <w:bCs/>
                <w:color w:val="000000" w:themeColor="text1"/>
                <w:kern w:val="0"/>
                <w:szCs w:val="21"/>
                <w:highlight w:val="none"/>
                <w:u w:val="none"/>
                <w:lang w:eastAsia="zh-CN"/>
                <w14:textFill>
                  <w14:solidFill>
                    <w14:schemeClr w14:val="tx1"/>
                  </w14:solidFill>
                </w14:textFill>
              </w:rPr>
            </w:pPr>
            <w:r>
              <w:rPr>
                <w:rFonts w:hint="default"/>
                <w:b/>
                <w:bCs/>
                <w:color w:val="000000" w:themeColor="text1"/>
                <w:u w:val="none"/>
                <w14:textFill>
                  <w14:solidFill>
                    <w14:schemeClr w14:val="tx1"/>
                  </w14:solidFill>
                </w14:textFill>
              </w:rPr>
              <w:fldChar w:fldCharType="begin"/>
            </w:r>
            <w:r>
              <w:rPr>
                <w:rFonts w:hint="default"/>
                <w:b/>
                <w:bCs/>
                <w:color w:val="000000" w:themeColor="text1"/>
                <w:u w:val="none"/>
                <w14:textFill>
                  <w14:solidFill>
                    <w14:schemeClr w14:val="tx1"/>
                  </w14:solidFill>
                </w14:textFill>
              </w:rPr>
              <w:instrText xml:space="preserve"> = 3 \* GB3 \* MERGEFORMAT </w:instrText>
            </w:r>
            <w:r>
              <w:rPr>
                <w:rFonts w:hint="default"/>
                <w:b/>
                <w:bCs/>
                <w:color w:val="000000" w:themeColor="text1"/>
                <w:u w:val="none"/>
                <w14:textFill>
                  <w14:solidFill>
                    <w14:schemeClr w14:val="tx1"/>
                  </w14:solidFill>
                </w14:textFill>
              </w:rPr>
              <w:fldChar w:fldCharType="separate"/>
            </w:r>
            <w:r>
              <w:rPr>
                <w:b/>
                <w:bCs/>
                <w:color w:val="000000" w:themeColor="text1"/>
                <w:u w:val="none"/>
                <w14:textFill>
                  <w14:solidFill>
                    <w14:schemeClr w14:val="tx1"/>
                  </w14:solidFill>
                </w14:textFill>
              </w:rPr>
              <w:t>③</w:t>
            </w:r>
            <w:r>
              <w:rPr>
                <w:rFonts w:hint="default"/>
                <w:b/>
                <w:bCs/>
                <w:color w:val="000000" w:themeColor="text1"/>
                <w:u w:val="none"/>
                <w14:textFill>
                  <w14:solidFill>
                    <w14:schemeClr w14:val="tx1"/>
                  </w14:solidFill>
                </w14:textFill>
              </w:rPr>
              <w:fldChar w:fldCharType="end"/>
            </w:r>
            <w:r>
              <w:rPr>
                <w:rFonts w:hint="default" w:ascii="Times New Roman" w:hAnsi="Times New Roman" w:cs="Times New Roman"/>
                <w:b/>
                <w:bCs/>
                <w:color w:val="000000" w:themeColor="text1"/>
                <w:kern w:val="0"/>
                <w:szCs w:val="21"/>
                <w:highlight w:val="none"/>
                <w:u w:val="none"/>
                <w:lang w:eastAsia="zh-CN"/>
                <w14:textFill>
                  <w14:solidFill>
                    <w14:schemeClr w14:val="tx1"/>
                  </w14:solidFill>
                </w14:textFill>
              </w:rPr>
              <w:t>天然气加热炉</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工程燃气加热炉燃烧天然气产生的废气通过收集后，通过</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1套选择性催化还原（SCR）脱硝装置”进行处理后，经1根15m高排气筒排放。企业委托河南鼎晟监测检测技术有限公司于2022年09月21日对现有工程各燃气炉进口以及配套选择性催化还原（SCR）脱硝装置总排口进行了监测，具体监测结果如下：</w:t>
            </w:r>
          </w:p>
        </w:tc>
      </w:tr>
    </w:tbl>
    <w:p>
      <w:pPr>
        <w:pStyle w:val="16"/>
        <w:jc w:val="center"/>
        <w:rPr>
          <w:rFonts w:hint="default" w:ascii="Times New Roman" w:hAnsi="Times New Roman" w:eastAsia="黑体" w:cs="Times New Roman"/>
          <w:snapToGrid w:val="0"/>
          <w:color w:val="000000" w:themeColor="text1"/>
          <w:sz w:val="36"/>
          <w:szCs w:val="36"/>
          <w:highlight w:val="cyan"/>
          <w14:textFill>
            <w14:solidFill>
              <w14:schemeClr w14:val="tx1"/>
            </w14:solidFill>
          </w14:textFill>
        </w:rPr>
        <w:sectPr>
          <w:pgSz w:w="11906" w:h="16838"/>
          <w:pgMar w:top="1803" w:right="1440" w:bottom="1803" w:left="1440"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12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9" w:hRule="atLeast"/>
        </w:trPr>
        <w:tc>
          <w:tcPr>
            <w:tcW w:w="777" w:type="dxa"/>
            <w:vAlign w:val="center"/>
          </w:tcPr>
          <w:p>
            <w:pPr>
              <w:pStyle w:val="16"/>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黑体" w:cs="Times New Roman"/>
                <w:snapToGrid w:val="0"/>
                <w:color w:val="000000" w:themeColor="text1"/>
                <w:sz w:val="36"/>
                <w:szCs w:val="36"/>
                <w:highlight w:val="cyan"/>
                <w:vertAlign w:val="baseline"/>
                <w14:textFill>
                  <w14:solidFill>
                    <w14:schemeClr w14:val="tx1"/>
                  </w14:solidFill>
                </w14:textFill>
              </w:rPr>
            </w:pPr>
            <w:r>
              <w:rPr>
                <w:rFonts w:hint="default" w:ascii="Times New Roman" w:hAnsi="Times New Roman" w:cs="Times New Roman"/>
                <w:bCs/>
                <w:color w:val="000000" w:themeColor="text1"/>
                <w:kern w:val="2"/>
                <w:sz w:val="21"/>
                <w:szCs w:val="21"/>
                <w:highlight w:val="none"/>
                <w14:textFill>
                  <w14:solidFill>
                    <w14:schemeClr w14:val="tx1"/>
                  </w14:solidFill>
                </w14:textFill>
              </w:rPr>
              <w:t>与项目有关的原有环境污染问题</w:t>
            </w:r>
          </w:p>
        </w:tc>
        <w:tc>
          <w:tcPr>
            <w:tcW w:w="12671" w:type="dxa"/>
          </w:tcPr>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现有工程燃气炉废气（颗粒物、SO</w:t>
            </w:r>
            <w:r>
              <w:rPr>
                <w:rFonts w:hint="default" w:ascii="Times New Roman" w:hAnsi="Times New Roman" w:eastAsia="黑体" w:cs="Times New Roman"/>
                <w:color w:val="000000" w:themeColor="text1"/>
                <w:sz w:val="21"/>
                <w:szCs w:val="21"/>
                <w:highlight w:val="none"/>
                <w:vertAlign w:val="subscript"/>
                <w:lang w:val="en-US" w:eastAsia="zh-CN"/>
                <w14:textFill>
                  <w14:solidFill>
                    <w14:schemeClr w14:val="tx1"/>
                  </w14:solidFill>
                </w14:textFill>
              </w:rPr>
              <w:t>2</w:t>
            </w: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、NOx）监测结果（低温段）</w:t>
            </w:r>
          </w:p>
          <w:tbl>
            <w:tblPr>
              <w:tblStyle w:val="21"/>
              <w:tblW w:w="499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899"/>
              <w:gridCol w:w="914"/>
              <w:gridCol w:w="468"/>
              <w:gridCol w:w="471"/>
              <w:gridCol w:w="1007"/>
              <w:gridCol w:w="773"/>
              <w:gridCol w:w="800"/>
              <w:gridCol w:w="773"/>
              <w:gridCol w:w="773"/>
              <w:gridCol w:w="800"/>
              <w:gridCol w:w="773"/>
              <w:gridCol w:w="773"/>
              <w:gridCol w:w="800"/>
              <w:gridCol w:w="790"/>
              <w:gridCol w:w="817"/>
              <w:gridCol w:w="81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restart"/>
                  <w:tcBorders>
                    <w:tl2br w:val="nil"/>
                    <w:tr2bl w:val="nil"/>
                  </w:tcBorders>
                  <w:noWrap w:val="0"/>
                  <w:vAlign w:val="center"/>
                </w:tcPr>
                <w:p>
                  <w:pPr>
                    <w:keepNext w:val="0"/>
                    <w:keepLines w:val="0"/>
                    <w:pageBreakBefore w:val="0"/>
                    <w:widowControl/>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设备名称</w:t>
                  </w:r>
                </w:p>
              </w:tc>
              <w:tc>
                <w:tcPr>
                  <w:tcW w:w="367" w:type="pct"/>
                  <w:vMerge w:val="restart"/>
                  <w:tcBorders>
                    <w:tl2br w:val="nil"/>
                    <w:tr2bl w:val="nil"/>
                  </w:tcBorders>
                  <w:noWrap w:val="0"/>
                  <w:vAlign w:val="center"/>
                </w:tcPr>
                <w:p>
                  <w:pPr>
                    <w:keepNext w:val="0"/>
                    <w:keepLines w:val="0"/>
                    <w:pageBreakBefore w:val="0"/>
                    <w:widowControl/>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采样</w:t>
                  </w:r>
                  <w:r>
                    <w:rPr>
                      <w:rFonts w:hint="default" w:ascii="Times New Roman" w:hAnsi="Times New Roman" w:eastAsia="宋体" w:cs="Times New Roman"/>
                      <w:b/>
                      <w:bCs/>
                      <w:color w:val="000000" w:themeColor="text1"/>
                      <w:sz w:val="18"/>
                      <w:szCs w:val="18"/>
                      <w:u w:val="single"/>
                      <w14:textFill>
                        <w14:solidFill>
                          <w14:schemeClr w14:val="tx1"/>
                        </w14:solidFill>
                      </w14:textFill>
                    </w:rPr>
                    <w:t>时间</w:t>
                  </w:r>
                </w:p>
              </w:tc>
              <w:tc>
                <w:tcPr>
                  <w:tcW w:w="188" w:type="pct"/>
                  <w:vMerge w:val="restart"/>
                  <w:tcBorders>
                    <w:tl2br w:val="nil"/>
                    <w:tr2bl w:val="nil"/>
                  </w:tcBorders>
                  <w:noWrap w:val="0"/>
                  <w:vAlign w:val="center"/>
                </w:tcPr>
                <w:p>
                  <w:pPr>
                    <w:keepNext w:val="0"/>
                    <w:keepLines w:val="0"/>
                    <w:pageBreakBefore w:val="0"/>
                    <w:widowControl/>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采样点位</w:t>
                  </w:r>
                </w:p>
              </w:tc>
              <w:tc>
                <w:tcPr>
                  <w:tcW w:w="189" w:type="pct"/>
                  <w:vMerge w:val="restart"/>
                  <w:tcBorders>
                    <w:tl2br w:val="nil"/>
                    <w:tr2bl w:val="nil"/>
                  </w:tcBorders>
                  <w:noWrap w:val="0"/>
                  <w:vAlign w:val="center"/>
                </w:tcPr>
                <w:p>
                  <w:pPr>
                    <w:keepNext w:val="0"/>
                    <w:keepLines w:val="0"/>
                    <w:pageBreakBefore w:val="0"/>
                    <w:widowControl/>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频次</w:t>
                  </w:r>
                </w:p>
              </w:tc>
              <w:tc>
                <w:tcPr>
                  <w:tcW w:w="404" w:type="pct"/>
                  <w:vMerge w:val="restart"/>
                  <w:tcBorders>
                    <w:tl2br w:val="nil"/>
                    <w:tr2bl w:val="nil"/>
                  </w:tcBorders>
                  <w:noWrap w:val="0"/>
                  <w:vAlign w:val="center"/>
                </w:tcPr>
                <w:p>
                  <w:pPr>
                    <w:keepNext w:val="0"/>
                    <w:keepLines w:val="0"/>
                    <w:pageBreakBefore w:val="0"/>
                    <w:widowControl/>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废气</w:t>
                  </w:r>
                  <w:r>
                    <w:rPr>
                      <w:rFonts w:hint="default" w:ascii="Times New Roman" w:hAnsi="Times New Roman" w:eastAsia="宋体" w:cs="Times New Roman"/>
                      <w:b/>
                      <w:bCs/>
                      <w:color w:val="000000" w:themeColor="text1"/>
                      <w:sz w:val="18"/>
                      <w:szCs w:val="18"/>
                      <w:u w:val="single"/>
                      <w14:textFill>
                        <w14:solidFill>
                          <w14:schemeClr w14:val="tx1"/>
                        </w14:solidFill>
                      </w14:textFill>
                    </w:rPr>
                    <w:t>流量</w:t>
                  </w:r>
                </w:p>
                <w:p>
                  <w:pPr>
                    <w:keepNext w:val="0"/>
                    <w:keepLines w:val="0"/>
                    <w:pageBreakBefore w:val="0"/>
                    <w:widowControl/>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w:t>
                  </w:r>
                  <w:r>
                    <w:rPr>
                      <w:rFonts w:hint="default" w:ascii="Times New Roman" w:hAnsi="Times New Roman" w:eastAsia="宋体" w:cs="Times New Roman"/>
                      <w:b/>
                      <w:bCs/>
                      <w:color w:val="000000" w:themeColor="text1"/>
                      <w:sz w:val="18"/>
                      <w:szCs w:val="18"/>
                      <w:u w:val="single"/>
                      <w14:textFill>
                        <w14:solidFill>
                          <w14:schemeClr w14:val="tx1"/>
                        </w14:solidFill>
                      </w14:textFill>
                    </w:rPr>
                    <w:t>标m</w:t>
                  </w:r>
                  <w:r>
                    <w:rPr>
                      <w:rFonts w:hint="default" w:ascii="Times New Roman" w:hAnsi="Times New Roman" w:eastAsia="宋体" w:cs="Times New Roman"/>
                      <w:b/>
                      <w:bCs/>
                      <w:color w:val="000000" w:themeColor="text1"/>
                      <w:sz w:val="18"/>
                      <w:szCs w:val="18"/>
                      <w:u w:val="single"/>
                      <w:vertAlign w:val="superscript"/>
                      <w14:textFill>
                        <w14:solidFill>
                          <w14:schemeClr w14:val="tx1"/>
                        </w14:solidFill>
                      </w14:textFill>
                    </w:rPr>
                    <w:t>3</w:t>
                  </w:r>
                  <w:r>
                    <w:rPr>
                      <w:rFonts w:hint="default" w:ascii="Times New Roman" w:hAnsi="Times New Roman" w:eastAsia="宋体" w:cs="Times New Roman"/>
                      <w:b/>
                      <w:bCs/>
                      <w:color w:val="000000" w:themeColor="text1"/>
                      <w:sz w:val="18"/>
                      <w:szCs w:val="18"/>
                      <w:u w:val="single"/>
                      <w14:textFill>
                        <w14:solidFill>
                          <w14:schemeClr w14:val="tx1"/>
                        </w14:solidFill>
                      </w14:textFill>
                    </w:rPr>
                    <w:t>/h</w:t>
                  </w: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w:t>
                  </w:r>
                </w:p>
              </w:tc>
              <w:tc>
                <w:tcPr>
                  <w:tcW w:w="631" w:type="pct"/>
                  <w:gridSpan w:val="2"/>
                  <w:tcBorders>
                    <w:tl2br w:val="nil"/>
                    <w:tr2bl w:val="nil"/>
                  </w:tcBorders>
                  <w:noWrap w:val="0"/>
                  <w:vAlign w:val="center"/>
                </w:tcPr>
                <w:p>
                  <w:pPr>
                    <w:keepNext w:val="0"/>
                    <w:keepLines w:val="0"/>
                    <w:pageBreakBefore w:val="0"/>
                    <w:widowControl/>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颗粒物浓度</w:t>
                  </w:r>
                </w:p>
                <w:p>
                  <w:pPr>
                    <w:keepNext w:val="0"/>
                    <w:keepLines w:val="0"/>
                    <w:pageBreakBefore w:val="0"/>
                    <w:widowControl/>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（mg/m</w:t>
                  </w:r>
                  <w:r>
                    <w:rPr>
                      <w:rFonts w:hint="default" w:ascii="Times New Roman" w:hAnsi="Times New Roman" w:eastAsia="宋体" w:cs="Times New Roman"/>
                      <w:b/>
                      <w:bCs/>
                      <w:color w:val="000000" w:themeColor="text1"/>
                      <w:sz w:val="18"/>
                      <w:szCs w:val="18"/>
                      <w:u w:val="single"/>
                      <w:vertAlign w:val="superscript"/>
                      <w:lang w:eastAsia="zh-CN"/>
                      <w14:textFill>
                        <w14:solidFill>
                          <w14:schemeClr w14:val="tx1"/>
                        </w14:solidFill>
                      </w14:textFill>
                    </w:rPr>
                    <w:t>3</w:t>
                  </w: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w:t>
                  </w:r>
                </w:p>
              </w:tc>
              <w:tc>
                <w:tcPr>
                  <w:tcW w:w="310" w:type="pct"/>
                  <w:vMerge w:val="restart"/>
                  <w:tcBorders>
                    <w:tl2br w:val="nil"/>
                    <w:tr2bl w:val="nil"/>
                  </w:tcBorders>
                  <w:noWrap w:val="0"/>
                  <w:vAlign w:val="center"/>
                </w:tcPr>
                <w:p>
                  <w:pPr>
                    <w:keepNext w:val="0"/>
                    <w:keepLines w:val="0"/>
                    <w:pageBreakBefore w:val="0"/>
                    <w:widowControl/>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颗粒物</w:t>
                  </w: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排放速率（kg/h）</w:t>
                  </w:r>
                </w:p>
              </w:tc>
              <w:tc>
                <w:tcPr>
                  <w:tcW w:w="631" w:type="pct"/>
                  <w:gridSpan w:val="2"/>
                  <w:tcBorders>
                    <w:tl2br w:val="nil"/>
                    <w:tr2bl w:val="nil"/>
                  </w:tcBorders>
                  <w:noWrap w:val="0"/>
                  <w:vAlign w:val="center"/>
                </w:tcPr>
                <w:p>
                  <w:pPr>
                    <w:keepNext w:val="0"/>
                    <w:keepLines w:val="0"/>
                    <w:pageBreakBefore w:val="0"/>
                    <w:widowControl/>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二氧化硫浓度</w:t>
                  </w:r>
                </w:p>
                <w:p>
                  <w:pPr>
                    <w:keepNext w:val="0"/>
                    <w:keepLines w:val="0"/>
                    <w:pageBreakBefore w:val="0"/>
                    <w:widowControl/>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（mg/m</w:t>
                  </w:r>
                  <w:r>
                    <w:rPr>
                      <w:rFonts w:hint="default" w:ascii="Times New Roman" w:hAnsi="Times New Roman" w:eastAsia="宋体" w:cs="Times New Roman"/>
                      <w:b/>
                      <w:bCs/>
                      <w:color w:val="000000" w:themeColor="text1"/>
                      <w:sz w:val="18"/>
                      <w:szCs w:val="18"/>
                      <w:u w:val="single"/>
                      <w:vertAlign w:val="superscript"/>
                      <w:lang w:eastAsia="zh-CN"/>
                      <w14:textFill>
                        <w14:solidFill>
                          <w14:schemeClr w14:val="tx1"/>
                        </w14:solidFill>
                      </w14:textFill>
                    </w:rPr>
                    <w:t>3</w:t>
                  </w: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w:t>
                  </w:r>
                </w:p>
              </w:tc>
              <w:tc>
                <w:tcPr>
                  <w:tcW w:w="310" w:type="pct"/>
                  <w:vMerge w:val="restart"/>
                  <w:tcBorders>
                    <w:tl2br w:val="nil"/>
                    <w:tr2bl w:val="nil"/>
                  </w:tcBorders>
                  <w:noWrap w:val="0"/>
                  <w:vAlign w:val="center"/>
                </w:tcPr>
                <w:p>
                  <w:pPr>
                    <w:keepNext w:val="0"/>
                    <w:keepLines w:val="0"/>
                    <w:pageBreakBefore w:val="0"/>
                    <w:widowControl/>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二氧化硫</w:t>
                  </w: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排放速率（kg/h）</w:t>
                  </w:r>
                </w:p>
              </w:tc>
              <w:tc>
                <w:tcPr>
                  <w:tcW w:w="631" w:type="pct"/>
                  <w:gridSpan w:val="2"/>
                  <w:tcBorders>
                    <w:tl2br w:val="nil"/>
                    <w:tr2bl w:val="nil"/>
                  </w:tcBorders>
                  <w:noWrap w:val="0"/>
                  <w:vAlign w:val="center"/>
                </w:tcPr>
                <w:p>
                  <w:pPr>
                    <w:keepNext w:val="0"/>
                    <w:keepLines w:val="0"/>
                    <w:pageBreakBefore w:val="0"/>
                    <w:widowControl/>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氮氧化物浓度</w:t>
                  </w:r>
                </w:p>
                <w:p>
                  <w:pPr>
                    <w:keepNext w:val="0"/>
                    <w:keepLines w:val="0"/>
                    <w:pageBreakBefore w:val="0"/>
                    <w:widowControl/>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（mg/m</w:t>
                  </w:r>
                  <w:r>
                    <w:rPr>
                      <w:rFonts w:hint="default" w:ascii="Times New Roman" w:hAnsi="Times New Roman" w:eastAsia="宋体" w:cs="Times New Roman"/>
                      <w:b/>
                      <w:bCs/>
                      <w:color w:val="000000" w:themeColor="text1"/>
                      <w:sz w:val="18"/>
                      <w:szCs w:val="18"/>
                      <w:u w:val="single"/>
                      <w:vertAlign w:val="superscript"/>
                      <w:lang w:eastAsia="zh-CN"/>
                      <w14:textFill>
                        <w14:solidFill>
                          <w14:schemeClr w14:val="tx1"/>
                        </w14:solidFill>
                      </w14:textFill>
                    </w:rPr>
                    <w:t>3</w:t>
                  </w: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w:t>
                  </w:r>
                </w:p>
              </w:tc>
              <w:tc>
                <w:tcPr>
                  <w:tcW w:w="317" w:type="pct"/>
                  <w:vMerge w:val="restart"/>
                  <w:tcBorders>
                    <w:tl2br w:val="nil"/>
                    <w:tr2bl w:val="nil"/>
                  </w:tcBorders>
                  <w:noWrap w:val="0"/>
                  <w:vAlign w:val="center"/>
                </w:tcPr>
                <w:p>
                  <w:pPr>
                    <w:keepNext w:val="0"/>
                    <w:keepLines w:val="0"/>
                    <w:pageBreakBefore w:val="0"/>
                    <w:widowControl/>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氮氧化物</w:t>
                  </w: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排放速率（kg/h）</w:t>
                  </w:r>
                </w:p>
              </w:tc>
              <w:tc>
                <w:tcPr>
                  <w:tcW w:w="328" w:type="pct"/>
                  <w:vMerge w:val="restart"/>
                  <w:tcBorders>
                    <w:tl2br w:val="nil"/>
                    <w:tr2bl w:val="nil"/>
                  </w:tcBorders>
                  <w:noWrap w:val="0"/>
                  <w:vAlign w:val="center"/>
                </w:tcPr>
                <w:p>
                  <w:pPr>
                    <w:keepNext w:val="0"/>
                    <w:keepLines w:val="0"/>
                    <w:pageBreakBefore w:val="0"/>
                    <w:widowControl/>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氧含量（%）</w:t>
                  </w:r>
                </w:p>
              </w:tc>
              <w:tc>
                <w:tcPr>
                  <w:tcW w:w="328" w:type="pct"/>
                  <w:vMerge w:val="restart"/>
                  <w:tcBorders>
                    <w:tl2br w:val="nil"/>
                    <w:tr2bl w:val="nil"/>
                  </w:tcBorders>
                  <w:noWrap w:val="0"/>
                  <w:vAlign w:val="center"/>
                </w:tcPr>
                <w:p>
                  <w:pPr>
                    <w:keepNext w:val="0"/>
                    <w:keepLines w:val="0"/>
                    <w:pageBreakBefore w:val="0"/>
                    <w:widowControl/>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工况状态</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c>
                <w:tcPr>
                  <w:tcW w:w="18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404" w:type="pct"/>
                  <w:vMerge w:val="continue"/>
                  <w:tcBorders>
                    <w:tl2br w:val="nil"/>
                    <w:tr2bl w:val="nil"/>
                  </w:tcBorders>
                  <w:noWrap w:val="0"/>
                  <w:vAlign w:val="center"/>
                </w:tcPr>
                <w:p>
                  <w:pPr>
                    <w:keepNext w:val="0"/>
                    <w:keepLines w:val="0"/>
                    <w:pageBreakBefore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c>
                <w:tcPr>
                  <w:tcW w:w="310" w:type="pct"/>
                  <w:tcBorders>
                    <w:tl2br w:val="nil"/>
                    <w:tr2bl w:val="nil"/>
                  </w:tcBorders>
                  <w:noWrap w:val="0"/>
                  <w:vAlign w:val="center"/>
                </w:tcPr>
                <w:p>
                  <w:pPr>
                    <w:keepNext w:val="0"/>
                    <w:keepLines w:val="0"/>
                    <w:pageBreakBefore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实测值</w:t>
                  </w:r>
                </w:p>
              </w:tc>
              <w:tc>
                <w:tcPr>
                  <w:tcW w:w="320" w:type="pct"/>
                  <w:tcBorders>
                    <w:tl2br w:val="nil"/>
                    <w:tr2bl w:val="nil"/>
                  </w:tcBorders>
                  <w:noWrap w:val="0"/>
                  <w:vAlign w:val="center"/>
                </w:tcPr>
                <w:p>
                  <w:pPr>
                    <w:keepNext w:val="0"/>
                    <w:keepLines w:val="0"/>
                    <w:pageBreakBefore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折算值</w:t>
                  </w:r>
                </w:p>
              </w:tc>
              <w:tc>
                <w:tcPr>
                  <w:tcW w:w="310" w:type="pct"/>
                  <w:vMerge w:val="continue"/>
                  <w:tcBorders>
                    <w:tl2br w:val="nil"/>
                    <w:tr2bl w:val="nil"/>
                  </w:tcBorders>
                  <w:noWrap w:val="0"/>
                  <w:vAlign w:val="center"/>
                </w:tcPr>
                <w:p>
                  <w:pPr>
                    <w:keepNext w:val="0"/>
                    <w:keepLines w:val="0"/>
                    <w:pageBreakBefore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c>
                <w:tcPr>
                  <w:tcW w:w="310" w:type="pct"/>
                  <w:tcBorders>
                    <w:tl2br w:val="nil"/>
                    <w:tr2bl w:val="nil"/>
                  </w:tcBorders>
                  <w:noWrap w:val="0"/>
                  <w:vAlign w:val="center"/>
                </w:tcPr>
                <w:p>
                  <w:pPr>
                    <w:keepNext w:val="0"/>
                    <w:keepLines w:val="0"/>
                    <w:pageBreakBefore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实测值</w:t>
                  </w:r>
                </w:p>
              </w:tc>
              <w:tc>
                <w:tcPr>
                  <w:tcW w:w="320" w:type="pct"/>
                  <w:tcBorders>
                    <w:tl2br w:val="nil"/>
                    <w:tr2bl w:val="nil"/>
                  </w:tcBorders>
                  <w:noWrap w:val="0"/>
                  <w:vAlign w:val="center"/>
                </w:tcPr>
                <w:p>
                  <w:pPr>
                    <w:keepNext w:val="0"/>
                    <w:keepLines w:val="0"/>
                    <w:pageBreakBefore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折算值</w:t>
                  </w:r>
                </w:p>
              </w:tc>
              <w:tc>
                <w:tcPr>
                  <w:tcW w:w="310" w:type="pct"/>
                  <w:vMerge w:val="continue"/>
                  <w:tcBorders>
                    <w:tl2br w:val="nil"/>
                    <w:tr2bl w:val="nil"/>
                  </w:tcBorders>
                  <w:noWrap w:val="0"/>
                  <w:vAlign w:val="center"/>
                </w:tcPr>
                <w:p>
                  <w:pPr>
                    <w:keepNext w:val="0"/>
                    <w:keepLines w:val="0"/>
                    <w:pageBreakBefore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c>
                <w:tcPr>
                  <w:tcW w:w="310" w:type="pct"/>
                  <w:tcBorders>
                    <w:tl2br w:val="nil"/>
                    <w:tr2bl w:val="nil"/>
                  </w:tcBorders>
                  <w:noWrap w:val="0"/>
                  <w:vAlign w:val="center"/>
                </w:tcPr>
                <w:p>
                  <w:pPr>
                    <w:keepNext w:val="0"/>
                    <w:keepLines w:val="0"/>
                    <w:pageBreakBefore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实测值</w:t>
                  </w:r>
                </w:p>
              </w:tc>
              <w:tc>
                <w:tcPr>
                  <w:tcW w:w="320" w:type="pct"/>
                  <w:tcBorders>
                    <w:tl2br w:val="nil"/>
                    <w:tr2bl w:val="nil"/>
                  </w:tcBorders>
                  <w:noWrap w:val="0"/>
                  <w:vAlign w:val="center"/>
                </w:tcPr>
                <w:p>
                  <w:pPr>
                    <w:keepNext w:val="0"/>
                    <w:keepLines w:val="0"/>
                    <w:pageBreakBefore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折算值</w:t>
                  </w:r>
                </w:p>
              </w:tc>
              <w:tc>
                <w:tcPr>
                  <w:tcW w:w="317" w:type="pct"/>
                  <w:vMerge w:val="continue"/>
                  <w:tcBorders>
                    <w:tl2br w:val="nil"/>
                    <w:tr2bl w:val="nil"/>
                  </w:tcBorders>
                  <w:noWrap w:val="0"/>
                  <w:vAlign w:val="center"/>
                </w:tcPr>
                <w:p>
                  <w:pPr>
                    <w:keepNext w:val="0"/>
                    <w:keepLines w:val="0"/>
                    <w:pageBreakBefore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restart"/>
                  <w:tcBorders>
                    <w:tl2br w:val="nil"/>
                    <w:tr2bl w:val="nil"/>
                  </w:tcBorders>
                  <w:noWrap w:val="0"/>
                  <w:vAlign w:val="center"/>
                </w:tcPr>
                <w:p>
                  <w:pPr>
                    <w:pStyle w:val="6"/>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r>
                    <w:rPr>
                      <w:rFonts w:hint="default" w:ascii="Times New Roman" w:hAnsi="Times New Roman" w:eastAsia="宋体" w:cs="Times New Roman"/>
                      <w:b/>
                      <w:bCs/>
                      <w:color w:val="000000" w:themeColor="text1"/>
                      <w:kern w:val="2"/>
                      <w:sz w:val="18"/>
                      <w:szCs w:val="18"/>
                      <w:u w:val="single"/>
                      <w:vertAlign w:val="baseline"/>
                      <w:lang w:val="en-US" w:eastAsia="zh-CN" w:bidi="ar-SA"/>
                      <w14:textFill>
                        <w14:solidFill>
                          <w14:schemeClr w14:val="tx1"/>
                        </w14:solidFill>
                      </w14:textFill>
                    </w:rPr>
                    <w:t>燃气加热炉</w:t>
                  </w:r>
                </w:p>
              </w:tc>
              <w:tc>
                <w:tcPr>
                  <w:tcW w:w="367" w:type="pct"/>
                  <w:vMerge w:val="restart"/>
                  <w:tcBorders>
                    <w:tl2br w:val="nil"/>
                    <w:tr2bl w:val="nil"/>
                  </w:tcBorders>
                  <w:noWrap w:val="0"/>
                  <w:vAlign w:val="center"/>
                </w:tcPr>
                <w:p>
                  <w:pPr>
                    <w:keepNext w:val="0"/>
                    <w:keepLines w:val="0"/>
                    <w:pageBreakBefore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highlight w:val="none"/>
                      <w:u w:val="single"/>
                      <w:lang w:val="en-US" w:eastAsia="zh-CN"/>
                      <w14:textFill>
                        <w14:solidFill>
                          <w14:schemeClr w14:val="tx1"/>
                        </w14:solidFill>
                      </w14:textFill>
                    </w:rPr>
                    <w:t>2022.09.21</w:t>
                  </w:r>
                </w:p>
              </w:tc>
              <w:tc>
                <w:tcPr>
                  <w:tcW w:w="188" w:type="pct"/>
                  <w:vMerge w:val="restar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1#进口</w:t>
                  </w: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1</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2.04</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3.3</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8.8</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6.72</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11</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8.14</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43</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115</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0.0875</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16.5</w:t>
                  </w:r>
                </w:p>
              </w:tc>
              <w:tc>
                <w:tcPr>
                  <w:tcW w:w="328" w:type="pct"/>
                  <w:vMerge w:val="restar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炉膛内烟气温度550℃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2</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2.01</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3.5</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9.5</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7.04</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11</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8.05</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40</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109</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0.0805</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16.6</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3</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2.09</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3.1</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8.1</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6.48</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 xml:space="preserve">0.0105 </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41</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107</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0.0857</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16.4</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均值</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2.05</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3.3</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8.8</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6.75</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12</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8.88</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41</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110</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0.0846</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16.5</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restar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2#进口</w:t>
                  </w: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1</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1.94</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3.6</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7.9</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6.97</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9</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7.74</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56</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122</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0.108</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15.5</w:t>
                  </w:r>
                </w:p>
              </w:tc>
              <w:tc>
                <w:tcPr>
                  <w:tcW w:w="328" w:type="pct"/>
                  <w:vMerge w:val="restar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炉膛内烟气温度</w:t>
                  </w:r>
                  <w:r>
                    <w:rPr>
                      <w:rFonts w:hint="eastAsia" w:cs="Times New Roman"/>
                      <w:b/>
                      <w:bCs/>
                      <w:color w:val="000000" w:themeColor="text1"/>
                      <w:sz w:val="18"/>
                      <w:szCs w:val="18"/>
                      <w:u w:val="single"/>
                      <w:lang w:val="en-US" w:eastAsia="zh-CN"/>
                      <w14:textFill>
                        <w14:solidFill>
                          <w14:schemeClr w14:val="tx1"/>
                        </w14:solidFill>
                      </w14:textFill>
                    </w:rPr>
                    <w:t>550</w:t>
                  </w: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2</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2.01</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3.5</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7.5</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7.04</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9</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8.04</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53</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114</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0.107</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15.4</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3</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1.97</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3.8</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8.4</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7.49</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11</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9.86</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58</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129</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0.114</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15.6</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均值</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1.97</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3.6</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7.9</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7.17</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9</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8.55</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56</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122</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0.110</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15.5</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restar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3#进口</w:t>
                  </w: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1</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3.18</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4.8</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8.7</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0.0153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11</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0.0191</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33</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60</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0.105</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14.4</w:t>
                  </w:r>
                </w:p>
              </w:tc>
              <w:tc>
                <w:tcPr>
                  <w:tcW w:w="328" w:type="pct"/>
                  <w:vMerge w:val="restar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炉膛内烟气温度550℃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2</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3.22</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4.2</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7.8</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0.0135</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9</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0.0161</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36</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66</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0.116</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14.5</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3</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3.20</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4.6</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8.2</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0.0147</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11</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0.0192</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35</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63</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0.112</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14.3</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均值</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3.20</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4.5</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8.2</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0.0145</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10</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0.0181</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35</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63</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0.111</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14.4</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restar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4#进口</w:t>
                  </w: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1</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3.28</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4.2</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6.5</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0.0138</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12</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0.0263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86</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132</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0.282</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13.2</w:t>
                  </w:r>
                </w:p>
              </w:tc>
              <w:tc>
                <w:tcPr>
                  <w:tcW w:w="328" w:type="pct"/>
                  <w:vMerge w:val="restar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炉膛内烟气温度600℃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2</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3.16</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4.4</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7.1</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0.0139</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11</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0.0221</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94</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152</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0.297</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13.6</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3</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3.19</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3.6</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5.7</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0.0115</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9</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0.0192</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82</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129</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0.262</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13.4</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均值</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3.21</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4.1</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6.4</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0.0131</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11</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0.0225</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87</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138</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0.281</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13.4</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restar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5#进口</w:t>
                  </w: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1</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3.32</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4.3</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9.2</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0.0143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11</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0.0166</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73</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156</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0.242</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15.4</w:t>
                  </w:r>
                </w:p>
              </w:tc>
              <w:tc>
                <w:tcPr>
                  <w:tcW w:w="328" w:type="pct"/>
                  <w:vMerge w:val="restar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炉膛内烟气温度600℃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2</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3.35</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3.6</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7.6</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0.0121</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11</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0.0168</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78</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164</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0.261</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15.3</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3</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3.39</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4.5</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9.8</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0.0153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0.0203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74</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161</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0.251</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15.5</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均值</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3.35</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4.1</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8.9</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0.0139</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11</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0.0179</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75</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161</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0.251</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15.4</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restar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总出口</w:t>
                  </w: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1</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1.45</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4</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2.2</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5.9</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0.0320</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eastAsia" w:cs="Times New Roman"/>
                      <w:b/>
                      <w:bCs/>
                      <w:color w:val="000000" w:themeColor="text1"/>
                      <w:sz w:val="18"/>
                      <w:szCs w:val="18"/>
                      <w:highlight w:val="none"/>
                      <w:u w:val="single"/>
                      <w:lang w:val="en-US" w:eastAsia="zh-CN"/>
                      <w14:textFill>
                        <w14:solidFill>
                          <w14:schemeClr w14:val="tx1"/>
                        </w14:solidFill>
                      </w14:textFill>
                    </w:rPr>
                    <w:t>4</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eastAsia" w:cs="Times New Roman"/>
                      <w:b/>
                      <w:bCs/>
                      <w:color w:val="000000" w:themeColor="text1"/>
                      <w:sz w:val="18"/>
                      <w:szCs w:val="18"/>
                      <w:highlight w:val="none"/>
                      <w:u w:val="single"/>
                      <w:lang w:val="en-US" w:eastAsia="zh-CN"/>
                      <w14:textFill>
                        <w14:solidFill>
                          <w14:schemeClr w14:val="tx1"/>
                        </w14:solidFill>
                      </w14:textFill>
                    </w:rPr>
                    <w:t>10</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eastAsia" w:cs="Times New Roman"/>
                      <w:b/>
                      <w:bCs/>
                      <w:color w:val="000000" w:themeColor="text1"/>
                      <w:sz w:val="18"/>
                      <w:szCs w:val="18"/>
                      <w:highlight w:val="none"/>
                      <w:u w:val="single"/>
                      <w:lang w:val="en-US" w:eastAsia="zh-CN"/>
                      <w14:textFill>
                        <w14:solidFill>
                          <w14:schemeClr w14:val="tx1"/>
                        </w14:solidFill>
                      </w14:textFill>
                    </w:rPr>
                    <w:t>0.0582</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8</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21</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0.116</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16.5</w:t>
                  </w:r>
                </w:p>
              </w:tc>
              <w:tc>
                <w:tcPr>
                  <w:tcW w:w="328" w:type="pct"/>
                  <w:vMerge w:val="restar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2</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1.39</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4</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1.9</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5.0</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0.0264</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eastAsia" w:cs="Times New Roman"/>
                      <w:b/>
                      <w:bCs/>
                      <w:color w:val="000000" w:themeColor="text1"/>
                      <w:sz w:val="18"/>
                      <w:szCs w:val="18"/>
                      <w:highlight w:val="none"/>
                      <w:u w:val="single"/>
                      <w:lang w:val="en-US" w:eastAsia="zh-CN"/>
                      <w14:textFill>
                        <w14:solidFill>
                          <w14:schemeClr w14:val="tx1"/>
                        </w14:solidFill>
                      </w14:textFill>
                    </w:rPr>
                    <w:t>4</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eastAsia" w:cs="Times New Roman"/>
                      <w:b/>
                      <w:bCs/>
                      <w:color w:val="000000" w:themeColor="text1"/>
                      <w:sz w:val="18"/>
                      <w:szCs w:val="18"/>
                      <w:highlight w:val="none"/>
                      <w:u w:val="single"/>
                      <w:lang w:val="en-US" w:eastAsia="zh-CN"/>
                      <w14:textFill>
                        <w14:solidFill>
                          <w14:schemeClr w14:val="tx1"/>
                        </w14:solidFill>
                      </w14:textFill>
                    </w:rPr>
                    <w:t>10</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eastAsia" w:cs="Times New Roman"/>
                      <w:b/>
                      <w:bCs/>
                      <w:color w:val="000000" w:themeColor="text1"/>
                      <w:sz w:val="18"/>
                      <w:szCs w:val="18"/>
                      <w:highlight w:val="none"/>
                      <w:u w:val="single"/>
                      <w:lang w:val="en-US" w:eastAsia="zh-CN"/>
                      <w14:textFill>
                        <w14:solidFill>
                          <w14:schemeClr w14:val="tx1"/>
                        </w14:solidFill>
                      </w14:textFill>
                    </w:rPr>
                    <w:t>0.0556</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7</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18</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0.0973</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16.4</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3</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1.41</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4</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2.3</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6.1</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0.0325</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3</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eastAsia" w:cs="Times New Roman"/>
                      <w:b/>
                      <w:bCs/>
                      <w:color w:val="000000" w:themeColor="text1"/>
                      <w:sz w:val="18"/>
                      <w:szCs w:val="18"/>
                      <w:highlight w:val="none"/>
                      <w:u w:val="single"/>
                      <w:lang w:val="en-US" w:eastAsia="zh-CN"/>
                      <w14:textFill>
                        <w14:solidFill>
                          <w14:schemeClr w14:val="tx1"/>
                        </w14:solidFill>
                      </w14:textFill>
                    </w:rPr>
                    <w:t>7</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eastAsia" w:cs="Times New Roman"/>
                      <w:b/>
                      <w:bCs/>
                      <w:color w:val="000000" w:themeColor="text1"/>
                      <w:sz w:val="18"/>
                      <w:szCs w:val="18"/>
                      <w:highlight w:val="none"/>
                      <w:u w:val="single"/>
                      <w:lang w:val="en-US" w:eastAsia="zh-CN"/>
                      <w14:textFill>
                        <w14:solidFill>
                          <w14:schemeClr w14:val="tx1"/>
                        </w14:solidFill>
                      </w14:textFill>
                    </w:rPr>
                    <w:t>0.0424</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9</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24</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0.127</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16.5</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7"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均值</w:t>
                  </w:r>
                </w:p>
              </w:tc>
              <w:tc>
                <w:tcPr>
                  <w:tcW w:w="404"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1.42</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4</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2.1</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5.6</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0.0303</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eastAsia" w:cs="Times New Roman"/>
                      <w:b/>
                      <w:bCs/>
                      <w:color w:val="000000" w:themeColor="text1"/>
                      <w:sz w:val="18"/>
                      <w:szCs w:val="18"/>
                      <w:u w:val="single"/>
                      <w:lang w:val="en-US" w:eastAsia="zh-CN"/>
                      <w14:textFill>
                        <w14:solidFill>
                          <w14:schemeClr w14:val="tx1"/>
                        </w14:solidFill>
                      </w14:textFill>
                    </w:rPr>
                    <w:t>4</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eastAsia" w:cs="Times New Roman"/>
                      <w:b/>
                      <w:bCs/>
                      <w:color w:val="000000" w:themeColor="text1"/>
                      <w:sz w:val="18"/>
                      <w:szCs w:val="18"/>
                      <w:u w:val="single"/>
                      <w:lang w:val="en-US" w:eastAsia="zh-CN"/>
                      <w14:textFill>
                        <w14:solidFill>
                          <w14:schemeClr w14:val="tx1"/>
                        </w14:solidFill>
                      </w14:textFill>
                    </w:rPr>
                    <w:t>9</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w:t>
                  </w:r>
                  <w:r>
                    <w:rPr>
                      <w:rFonts w:hint="eastAsia" w:cs="Times New Roman"/>
                      <w:b/>
                      <w:bCs/>
                      <w:color w:val="000000" w:themeColor="text1"/>
                      <w:sz w:val="18"/>
                      <w:szCs w:val="18"/>
                      <w:u w:val="single"/>
                      <w:lang w:val="en-US" w:eastAsia="zh-CN"/>
                      <w14:textFill>
                        <w14:solidFill>
                          <w14:schemeClr w14:val="tx1"/>
                        </w14:solidFill>
                      </w14:textFill>
                    </w:rPr>
                    <w:t>521</w:t>
                  </w:r>
                </w:p>
              </w:tc>
              <w:tc>
                <w:tcPr>
                  <w:tcW w:w="31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w:t>
                  </w:r>
                </w:p>
              </w:tc>
              <w:tc>
                <w:tcPr>
                  <w:tcW w:w="320"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21</w:t>
                  </w:r>
                </w:p>
              </w:tc>
              <w:tc>
                <w:tcPr>
                  <w:tcW w:w="317"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0.114</w:t>
                  </w:r>
                </w:p>
              </w:tc>
              <w:tc>
                <w:tcPr>
                  <w:tcW w:w="328" w:type="pct"/>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16.5</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p>
              </w:tc>
            </w:tr>
          </w:tbl>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现有工程燃气炉废气（颗粒物、SO</w:t>
            </w:r>
            <w:r>
              <w:rPr>
                <w:rFonts w:hint="default" w:ascii="Times New Roman" w:hAnsi="Times New Roman" w:eastAsia="黑体" w:cs="Times New Roman"/>
                <w:color w:val="000000" w:themeColor="text1"/>
                <w:sz w:val="21"/>
                <w:szCs w:val="21"/>
                <w:highlight w:val="none"/>
                <w:vertAlign w:val="subscript"/>
                <w:lang w:val="en-US" w:eastAsia="zh-CN"/>
                <w14:textFill>
                  <w14:solidFill>
                    <w14:schemeClr w14:val="tx1"/>
                  </w14:solidFill>
                </w14:textFill>
              </w:rPr>
              <w:t>2</w:t>
            </w: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、NOx）监测结果（高温段）</w:t>
            </w:r>
          </w:p>
          <w:tbl>
            <w:tblPr>
              <w:tblStyle w:val="21"/>
              <w:tblW w:w="499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899"/>
              <w:gridCol w:w="916"/>
              <w:gridCol w:w="470"/>
              <w:gridCol w:w="471"/>
              <w:gridCol w:w="1007"/>
              <w:gridCol w:w="773"/>
              <w:gridCol w:w="798"/>
              <w:gridCol w:w="773"/>
              <w:gridCol w:w="773"/>
              <w:gridCol w:w="798"/>
              <w:gridCol w:w="773"/>
              <w:gridCol w:w="773"/>
              <w:gridCol w:w="798"/>
              <w:gridCol w:w="790"/>
              <w:gridCol w:w="818"/>
              <w:gridCol w:w="81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jc w:val="center"/>
              </w:trPr>
              <w:tc>
                <w:tcPr>
                  <w:tcW w:w="361" w:type="pct"/>
                  <w:vMerge w:val="restart"/>
                  <w:tcBorders>
                    <w:tl2br w:val="nil"/>
                    <w:tr2bl w:val="nil"/>
                  </w:tcBorders>
                  <w:noWrap w:val="0"/>
                  <w:vAlign w:val="center"/>
                </w:tcPr>
                <w:p>
                  <w:pPr>
                    <w:keepNext w:val="0"/>
                    <w:keepLines w:val="0"/>
                    <w:pageBreakBefore w:val="0"/>
                    <w:widowControl/>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设备名称</w:t>
                  </w:r>
                </w:p>
              </w:tc>
              <w:tc>
                <w:tcPr>
                  <w:tcW w:w="368" w:type="pct"/>
                  <w:vMerge w:val="restart"/>
                  <w:tcBorders>
                    <w:tl2br w:val="nil"/>
                    <w:tr2bl w:val="nil"/>
                  </w:tcBorders>
                  <w:noWrap w:val="0"/>
                  <w:vAlign w:val="center"/>
                </w:tcPr>
                <w:p>
                  <w:pPr>
                    <w:keepNext w:val="0"/>
                    <w:keepLines w:val="0"/>
                    <w:pageBreakBefore w:val="0"/>
                    <w:widowControl/>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采样</w:t>
                  </w:r>
                  <w:r>
                    <w:rPr>
                      <w:rFonts w:hint="default" w:ascii="Times New Roman" w:hAnsi="Times New Roman" w:eastAsia="宋体" w:cs="Times New Roman"/>
                      <w:b/>
                      <w:bCs/>
                      <w:color w:val="000000" w:themeColor="text1"/>
                      <w:sz w:val="18"/>
                      <w:szCs w:val="18"/>
                      <w:u w:val="single"/>
                      <w14:textFill>
                        <w14:solidFill>
                          <w14:schemeClr w14:val="tx1"/>
                        </w14:solidFill>
                      </w14:textFill>
                    </w:rPr>
                    <w:t>时间</w:t>
                  </w:r>
                </w:p>
              </w:tc>
              <w:tc>
                <w:tcPr>
                  <w:tcW w:w="189" w:type="pct"/>
                  <w:vMerge w:val="restart"/>
                  <w:tcBorders>
                    <w:tl2br w:val="nil"/>
                    <w:tr2bl w:val="nil"/>
                  </w:tcBorders>
                  <w:noWrap w:val="0"/>
                  <w:vAlign w:val="center"/>
                </w:tcPr>
                <w:p>
                  <w:pPr>
                    <w:keepNext w:val="0"/>
                    <w:keepLines w:val="0"/>
                    <w:pageBreakBefore w:val="0"/>
                    <w:widowControl/>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采样点位</w:t>
                  </w:r>
                </w:p>
              </w:tc>
              <w:tc>
                <w:tcPr>
                  <w:tcW w:w="189" w:type="pct"/>
                  <w:vMerge w:val="restart"/>
                  <w:tcBorders>
                    <w:tl2br w:val="nil"/>
                    <w:tr2bl w:val="nil"/>
                  </w:tcBorders>
                  <w:noWrap w:val="0"/>
                  <w:vAlign w:val="center"/>
                </w:tcPr>
                <w:p>
                  <w:pPr>
                    <w:keepNext w:val="0"/>
                    <w:keepLines w:val="0"/>
                    <w:pageBreakBefore w:val="0"/>
                    <w:widowControl/>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频次</w:t>
                  </w:r>
                </w:p>
              </w:tc>
              <w:tc>
                <w:tcPr>
                  <w:tcW w:w="404" w:type="pct"/>
                  <w:vMerge w:val="restart"/>
                  <w:tcBorders>
                    <w:tl2br w:val="nil"/>
                    <w:tr2bl w:val="nil"/>
                  </w:tcBorders>
                  <w:noWrap w:val="0"/>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废气</w:t>
                  </w:r>
                  <w:r>
                    <w:rPr>
                      <w:rFonts w:hint="default" w:ascii="Times New Roman" w:hAnsi="Times New Roman" w:eastAsia="宋体" w:cs="Times New Roman"/>
                      <w:b/>
                      <w:bCs/>
                      <w:color w:val="000000" w:themeColor="text1"/>
                      <w:sz w:val="18"/>
                      <w:szCs w:val="18"/>
                      <w:u w:val="single"/>
                      <w14:textFill>
                        <w14:solidFill>
                          <w14:schemeClr w14:val="tx1"/>
                        </w14:solidFill>
                      </w14:textFill>
                    </w:rPr>
                    <w:t>流量</w:t>
                  </w:r>
                </w:p>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w:t>
                  </w:r>
                  <w:r>
                    <w:rPr>
                      <w:rFonts w:hint="default" w:ascii="Times New Roman" w:hAnsi="Times New Roman" w:eastAsia="宋体" w:cs="Times New Roman"/>
                      <w:b/>
                      <w:bCs/>
                      <w:color w:val="000000" w:themeColor="text1"/>
                      <w:sz w:val="18"/>
                      <w:szCs w:val="18"/>
                      <w:u w:val="single"/>
                      <w14:textFill>
                        <w14:solidFill>
                          <w14:schemeClr w14:val="tx1"/>
                        </w14:solidFill>
                      </w14:textFill>
                    </w:rPr>
                    <w:t>标m</w:t>
                  </w:r>
                  <w:r>
                    <w:rPr>
                      <w:rFonts w:hint="default" w:ascii="Times New Roman" w:hAnsi="Times New Roman" w:eastAsia="宋体" w:cs="Times New Roman"/>
                      <w:b/>
                      <w:bCs/>
                      <w:color w:val="000000" w:themeColor="text1"/>
                      <w:sz w:val="18"/>
                      <w:szCs w:val="18"/>
                      <w:u w:val="single"/>
                      <w:vertAlign w:val="superscript"/>
                      <w14:textFill>
                        <w14:solidFill>
                          <w14:schemeClr w14:val="tx1"/>
                        </w14:solidFill>
                      </w14:textFill>
                    </w:rPr>
                    <w:t>3</w:t>
                  </w:r>
                  <w:r>
                    <w:rPr>
                      <w:rFonts w:hint="default" w:ascii="Times New Roman" w:hAnsi="Times New Roman" w:eastAsia="宋体" w:cs="Times New Roman"/>
                      <w:b/>
                      <w:bCs/>
                      <w:color w:val="000000" w:themeColor="text1"/>
                      <w:sz w:val="18"/>
                      <w:szCs w:val="18"/>
                      <w:u w:val="single"/>
                      <w14:textFill>
                        <w14:solidFill>
                          <w14:schemeClr w14:val="tx1"/>
                        </w14:solidFill>
                      </w14:textFill>
                    </w:rPr>
                    <w:t>/h</w:t>
                  </w: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w:t>
                  </w:r>
                </w:p>
              </w:tc>
              <w:tc>
                <w:tcPr>
                  <w:tcW w:w="630" w:type="pct"/>
                  <w:gridSpan w:val="2"/>
                  <w:tcBorders>
                    <w:tl2br w:val="nil"/>
                    <w:tr2bl w:val="nil"/>
                  </w:tcBorders>
                  <w:noWrap w:val="0"/>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颗粒物浓度</w:t>
                  </w:r>
                </w:p>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（mg/m</w:t>
                  </w:r>
                  <w:r>
                    <w:rPr>
                      <w:rFonts w:hint="default" w:ascii="Times New Roman" w:hAnsi="Times New Roman" w:eastAsia="宋体" w:cs="Times New Roman"/>
                      <w:b/>
                      <w:bCs/>
                      <w:color w:val="000000" w:themeColor="text1"/>
                      <w:sz w:val="18"/>
                      <w:szCs w:val="18"/>
                      <w:u w:val="single"/>
                      <w:vertAlign w:val="superscript"/>
                      <w:lang w:eastAsia="zh-CN"/>
                      <w14:textFill>
                        <w14:solidFill>
                          <w14:schemeClr w14:val="tx1"/>
                        </w14:solidFill>
                      </w14:textFill>
                    </w:rPr>
                    <w:t>3</w:t>
                  </w: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w:t>
                  </w:r>
                </w:p>
              </w:tc>
              <w:tc>
                <w:tcPr>
                  <w:tcW w:w="310" w:type="pct"/>
                  <w:vMerge w:val="restart"/>
                  <w:tcBorders>
                    <w:tl2br w:val="nil"/>
                    <w:tr2bl w:val="nil"/>
                  </w:tcBorders>
                  <w:noWrap w:val="0"/>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颗粒物</w:t>
                  </w: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排放速率（kg/h）</w:t>
                  </w:r>
                </w:p>
              </w:tc>
              <w:tc>
                <w:tcPr>
                  <w:tcW w:w="630" w:type="pct"/>
                  <w:gridSpan w:val="2"/>
                  <w:tcBorders>
                    <w:tl2br w:val="nil"/>
                    <w:tr2bl w:val="nil"/>
                  </w:tcBorders>
                  <w:noWrap w:val="0"/>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二氧化硫浓度</w:t>
                  </w:r>
                </w:p>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（mg/m</w:t>
                  </w:r>
                  <w:r>
                    <w:rPr>
                      <w:rFonts w:hint="default" w:ascii="Times New Roman" w:hAnsi="Times New Roman" w:eastAsia="宋体" w:cs="Times New Roman"/>
                      <w:b/>
                      <w:bCs/>
                      <w:color w:val="000000" w:themeColor="text1"/>
                      <w:sz w:val="18"/>
                      <w:szCs w:val="18"/>
                      <w:u w:val="single"/>
                      <w:vertAlign w:val="superscript"/>
                      <w:lang w:eastAsia="zh-CN"/>
                      <w14:textFill>
                        <w14:solidFill>
                          <w14:schemeClr w14:val="tx1"/>
                        </w14:solidFill>
                      </w14:textFill>
                    </w:rPr>
                    <w:t>3</w:t>
                  </w: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w:t>
                  </w:r>
                </w:p>
              </w:tc>
              <w:tc>
                <w:tcPr>
                  <w:tcW w:w="310" w:type="pct"/>
                  <w:vMerge w:val="restart"/>
                  <w:tcBorders>
                    <w:tl2br w:val="nil"/>
                    <w:tr2bl w:val="nil"/>
                  </w:tcBorders>
                  <w:noWrap w:val="0"/>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二氧化硫</w:t>
                  </w: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排放速率（kg/h）</w:t>
                  </w:r>
                </w:p>
              </w:tc>
              <w:tc>
                <w:tcPr>
                  <w:tcW w:w="630" w:type="pct"/>
                  <w:gridSpan w:val="2"/>
                  <w:tcBorders>
                    <w:tl2br w:val="nil"/>
                    <w:tr2bl w:val="nil"/>
                  </w:tcBorders>
                  <w:noWrap w:val="0"/>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氮氧化物浓度</w:t>
                  </w:r>
                </w:p>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（mg/m</w:t>
                  </w:r>
                  <w:r>
                    <w:rPr>
                      <w:rFonts w:hint="default" w:ascii="Times New Roman" w:hAnsi="Times New Roman" w:eastAsia="宋体" w:cs="Times New Roman"/>
                      <w:b/>
                      <w:bCs/>
                      <w:color w:val="000000" w:themeColor="text1"/>
                      <w:sz w:val="18"/>
                      <w:szCs w:val="18"/>
                      <w:u w:val="single"/>
                      <w:vertAlign w:val="superscript"/>
                      <w:lang w:eastAsia="zh-CN"/>
                      <w14:textFill>
                        <w14:solidFill>
                          <w14:schemeClr w14:val="tx1"/>
                        </w14:solidFill>
                      </w14:textFill>
                    </w:rPr>
                    <w:t>3</w:t>
                  </w: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w:t>
                  </w:r>
                </w:p>
              </w:tc>
              <w:tc>
                <w:tcPr>
                  <w:tcW w:w="317" w:type="pct"/>
                  <w:vMerge w:val="restart"/>
                  <w:tcBorders>
                    <w:tl2br w:val="nil"/>
                    <w:tr2bl w:val="nil"/>
                  </w:tcBorders>
                  <w:noWrap w:val="0"/>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氮氧化物</w:t>
                  </w: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排放速率（kg/h）</w:t>
                  </w:r>
                </w:p>
              </w:tc>
              <w:tc>
                <w:tcPr>
                  <w:tcW w:w="328" w:type="pct"/>
                  <w:vMerge w:val="restart"/>
                  <w:tcBorders>
                    <w:tl2br w:val="nil"/>
                    <w:tr2bl w:val="nil"/>
                  </w:tcBorders>
                  <w:noWrap w:val="0"/>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氧含量（%）</w:t>
                  </w:r>
                </w:p>
              </w:tc>
              <w:tc>
                <w:tcPr>
                  <w:tcW w:w="328" w:type="pct"/>
                  <w:vMerge w:val="restart"/>
                  <w:tcBorders>
                    <w:tl2br w:val="nil"/>
                    <w:tr2bl w:val="nil"/>
                  </w:tcBorders>
                  <w:noWrap w:val="0"/>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工况状态</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c>
                <w:tcPr>
                  <w:tcW w:w="189"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404"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实测值</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折算值</w:t>
                  </w:r>
                </w:p>
              </w:tc>
              <w:tc>
                <w:tcPr>
                  <w:tcW w:w="310"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实测值</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折算值</w:t>
                  </w:r>
                </w:p>
              </w:tc>
              <w:tc>
                <w:tcPr>
                  <w:tcW w:w="310"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实测值</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折算值</w:t>
                  </w:r>
                </w:p>
              </w:tc>
              <w:tc>
                <w:tcPr>
                  <w:tcW w:w="317"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restart"/>
                  <w:tcBorders>
                    <w:tl2br w:val="nil"/>
                    <w:tr2bl w:val="nil"/>
                  </w:tcBorders>
                  <w:noWrap w:val="0"/>
                  <w:vAlign w:val="center"/>
                </w:tcPr>
                <w:p>
                  <w:pPr>
                    <w:pStyle w:val="6"/>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r>
                    <w:rPr>
                      <w:rFonts w:hint="default" w:ascii="Times New Roman" w:hAnsi="Times New Roman" w:eastAsia="宋体" w:cs="Times New Roman"/>
                      <w:b/>
                      <w:bCs/>
                      <w:color w:val="000000" w:themeColor="text1"/>
                      <w:kern w:val="2"/>
                      <w:sz w:val="18"/>
                      <w:szCs w:val="18"/>
                      <w:u w:val="single"/>
                      <w:vertAlign w:val="baseline"/>
                      <w:lang w:val="en-US" w:eastAsia="zh-CN" w:bidi="ar-SA"/>
                      <w14:textFill>
                        <w14:solidFill>
                          <w14:schemeClr w14:val="tx1"/>
                        </w14:solidFill>
                      </w14:textFill>
                    </w:rPr>
                    <w:t>燃气加热炉</w:t>
                  </w:r>
                </w:p>
              </w:tc>
              <w:tc>
                <w:tcPr>
                  <w:tcW w:w="368" w:type="pct"/>
                  <w:vMerge w:val="restar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eastAsia="宋体" w:cs="Times New Roman"/>
                      <w:b/>
                      <w:bCs/>
                      <w:color w:val="000000" w:themeColor="text1"/>
                      <w:sz w:val="18"/>
                      <w:szCs w:val="18"/>
                      <w:highlight w:val="none"/>
                      <w:u w:val="single"/>
                      <w:lang w:val="en-US" w:eastAsia="zh-CN"/>
                      <w14:textFill>
                        <w14:solidFill>
                          <w14:schemeClr w14:val="tx1"/>
                        </w14:solidFill>
                      </w14:textFill>
                    </w:rPr>
                    <w:t>2022.09.21</w:t>
                  </w:r>
                </w:p>
              </w:tc>
              <w:tc>
                <w:tcPr>
                  <w:tcW w:w="189" w:type="pct"/>
                  <w:vMerge w:val="restar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1#进口</w:t>
                  </w: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1</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2.13</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2.3</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5.9</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4.90</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0.0107</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46</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117</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0.0981</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16.3</w:t>
                  </w:r>
                </w:p>
              </w:tc>
              <w:tc>
                <w:tcPr>
                  <w:tcW w:w="328" w:type="pct"/>
                  <w:vMerge w:val="restar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炉膛内烟气温度800℃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2</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2.08</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2.5</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5.21</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0.0104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49</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123</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0.102</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16.2</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3</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2.16</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2.7</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7.0</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5.83</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16</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0.0130</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52</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136</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0.112</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16.4</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均值</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2.13</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2.5</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5.31</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0.0113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49</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125</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0.104</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16.3</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restar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2#进口</w:t>
                  </w: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1</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2.11</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3.9</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9.2</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8.23</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12</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0.0106</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57</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134</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0.120</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15.9</w:t>
                  </w:r>
                </w:p>
              </w:tc>
              <w:tc>
                <w:tcPr>
                  <w:tcW w:w="328" w:type="pct"/>
                  <w:vMerge w:val="restar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炉膛内烟气温度</w:t>
                  </w:r>
                  <w:r>
                    <w:rPr>
                      <w:rFonts w:hint="eastAsia" w:cs="Times New Roman"/>
                      <w:b/>
                      <w:bCs/>
                      <w:color w:val="000000" w:themeColor="text1"/>
                      <w:sz w:val="18"/>
                      <w:szCs w:val="18"/>
                      <w:u w:val="single"/>
                      <w:lang w:val="en-US" w:eastAsia="zh-CN"/>
                      <w14:textFill>
                        <w14:solidFill>
                          <w14:schemeClr w14:val="tx1"/>
                        </w14:solidFill>
                      </w14:textFill>
                    </w:rPr>
                    <w:t>900</w:t>
                  </w: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2</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1.99</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3.3</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7.6</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6.55</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12</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9.93</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61</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141</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0.121</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15.8</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3</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2.04</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3.6</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8.2</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7.33</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0.0122</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53</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120</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0.108</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15.7</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2"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均值</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2.04</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3.6</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7.37</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12</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0.0109</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57</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132</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0.116</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15.8</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restar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3#进口</w:t>
                  </w: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1</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3.24</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4.1</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7.2</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0.0133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11</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0.0194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34</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60</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0.110</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14.2</w:t>
                  </w:r>
                </w:p>
              </w:tc>
              <w:tc>
                <w:tcPr>
                  <w:tcW w:w="328" w:type="pct"/>
                  <w:vMerge w:val="restar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炉膛内烟气温度900℃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2</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3.15</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3.9</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7.0</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0.0123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0.0252</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30</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54</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0.0946</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14.3</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3</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3.36</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4.5</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7.8</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0.0151</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12</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0.0235</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39</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68</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0.131</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14.1</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均值</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3.25</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4.2</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0.0136</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12</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0.0227</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34</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61</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0.112</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14.2</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restar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4#进口</w:t>
                  </w: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1</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3.14</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3.9</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6.5</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0.0123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0.0251</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94</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157</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0.295</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13.8</w:t>
                  </w:r>
                </w:p>
              </w:tc>
              <w:tc>
                <w:tcPr>
                  <w:tcW w:w="328" w:type="pct"/>
                  <w:vMerge w:val="restar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炉膛内烟气温1000℃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2</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3.26</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4.1</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6.9</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0.0134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9</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0.0294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92</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155</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0.300</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13.9</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3</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3.21</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4.5</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0.0144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12</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0.0225</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97</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159</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0.311</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13.7</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均值</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3.21</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4.2</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6.9</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0.0134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0.0257</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94</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157</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0.302</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13.8</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restar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5#进口</w:t>
                  </w: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1</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3.42</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3.3</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6.7</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0.0113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0.0239</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75</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153</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0.257</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15.1</w:t>
                  </w:r>
                </w:p>
              </w:tc>
              <w:tc>
                <w:tcPr>
                  <w:tcW w:w="328" w:type="pct"/>
                  <w:vMerge w:val="restar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炉膛内烟气温度1000℃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2</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3.36</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3.8</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7.6</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0.0128</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12</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0.0202</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79</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158</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0.266</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15.0</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3</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3.30</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3.6</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0.0119</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0.0231</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71</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147</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0.234</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15.2</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均值</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3.36</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3.6</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0.0120</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0.0224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75</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152</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0.252</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15.1</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restar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val="en-US" w:eastAsia="zh-CN"/>
                      <w14:textFill>
                        <w14:solidFill>
                          <w14:schemeClr w14:val="tx1"/>
                        </w14:solidFill>
                      </w14:textFill>
                    </w:rPr>
                    <w:t>总出口</w:t>
                  </w: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1</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1.45</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1.6</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5.1</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0.0232</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9</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0.0436</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19</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0.0871</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17.2</w:t>
                  </w:r>
                </w:p>
              </w:tc>
              <w:tc>
                <w:tcPr>
                  <w:tcW w:w="328" w:type="pct"/>
                  <w:vMerge w:val="restar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2</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1.40</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2.1</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6.3</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0.0294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4</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12</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0.0561</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8</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24</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0.112</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17.0</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3</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1.42</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1.8</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5.5</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0.0256</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9</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0.0427</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22</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0.100</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17.1</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61"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368"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p>
              </w:tc>
              <w:tc>
                <w:tcPr>
                  <w:tcW w:w="189" w:type="pct"/>
                  <w:vMerge w:val="continue"/>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14:textFill>
                        <w14:solidFill>
                          <w14:schemeClr w14:val="tx1"/>
                        </w14:solidFill>
                      </w14:textFill>
                    </w:rPr>
                  </w:pPr>
                </w:p>
              </w:tc>
              <w:tc>
                <w:tcPr>
                  <w:tcW w:w="189" w:type="pct"/>
                  <w:tcBorders>
                    <w:tl2br w:val="nil"/>
                    <w:tr2bl w:val="nil"/>
                  </w:tcBorders>
                  <w:noWrap w:val="0"/>
                  <w:vAlign w:val="center"/>
                </w:tcPr>
                <w:p>
                  <w:pPr>
                    <w:keepNext w:val="0"/>
                    <w:keepLines w:val="0"/>
                    <w:pageBreakBefore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18"/>
                      <w:szCs w:val="18"/>
                      <w:u w:val="single"/>
                      <w14:textFill>
                        <w14:solidFill>
                          <w14:schemeClr w14:val="tx1"/>
                        </w14:solidFill>
                      </w14:textFill>
                    </w:rPr>
                    <w:t>均值</w:t>
                  </w:r>
                </w:p>
              </w:tc>
              <w:tc>
                <w:tcPr>
                  <w:tcW w:w="404"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1.43</w:t>
                  </w:r>
                  <w: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t>×10</w:t>
                  </w:r>
                  <w:r>
                    <w:rPr>
                      <w:rFonts w:hint="default" w:ascii="Times New Roman" w:hAnsi="Times New Roman" w:eastAsia="宋体" w:cs="Times New Roman"/>
                      <w:b/>
                      <w:bCs/>
                      <w:i w:val="0"/>
                      <w:iCs w:val="0"/>
                      <w:color w:val="000000" w:themeColor="text1"/>
                      <w:kern w:val="0"/>
                      <w:sz w:val="18"/>
                      <w:szCs w:val="18"/>
                      <w:u w:val="single"/>
                      <w:vertAlign w:val="superscript"/>
                      <w:lang w:val="en-US" w:eastAsia="zh-CN" w:bidi="ar"/>
                      <w14:textFill>
                        <w14:solidFill>
                          <w14:schemeClr w14:val="tx1"/>
                        </w14:solidFill>
                      </w14:textFill>
                    </w:rPr>
                    <w:t>4</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1.8</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5.6</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0.0261</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3</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10</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0.0475</w:t>
                  </w:r>
                </w:p>
              </w:tc>
              <w:tc>
                <w:tcPr>
                  <w:tcW w:w="31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7</w:t>
                  </w:r>
                </w:p>
              </w:tc>
              <w:tc>
                <w:tcPr>
                  <w:tcW w:w="320"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21</w:t>
                  </w:r>
                </w:p>
              </w:tc>
              <w:tc>
                <w:tcPr>
                  <w:tcW w:w="317"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0.100</w:t>
                  </w:r>
                </w:p>
              </w:tc>
              <w:tc>
                <w:tcPr>
                  <w:tcW w:w="328" w:type="pct"/>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u w:val="single"/>
                      <w:lang w:val="en-US" w:eastAsia="zh-CN"/>
                      <w14:textFill>
                        <w14:solidFill>
                          <w14:schemeClr w14:val="tx1"/>
                        </w14:solidFill>
                      </w14:textFill>
                    </w:rPr>
                    <w:t>17.1</w:t>
                  </w:r>
                </w:p>
              </w:tc>
              <w:tc>
                <w:tcPr>
                  <w:tcW w:w="328" w:type="pct"/>
                  <w:vMerge w:val="continue"/>
                  <w:tcBorders>
                    <w:tl2br w:val="nil"/>
                    <w:tr2bl w:val="nil"/>
                  </w:tcBorders>
                  <w:noWrap w:val="0"/>
                  <w:vAlign w:val="center"/>
                </w:tcPr>
                <w:p>
                  <w:pPr>
                    <w:keepNext w:val="0"/>
                    <w:keepLines w:val="0"/>
                    <w:pageBreakBefore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lang w:val="en-US" w:eastAsia="zh-CN"/>
                      <w14:textFill>
                        <w14:solidFill>
                          <w14:schemeClr w14:val="tx1"/>
                        </w14:solidFill>
                      </w14:textFill>
                    </w:rPr>
                  </w:pPr>
                </w:p>
              </w:tc>
            </w:tr>
          </w:tbl>
          <w:p>
            <w:pPr>
              <w:pStyle w:val="30"/>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综上可知，现有工程天然气加热炉燃气废气采用选择性催化还原（SCR）脱硝装置处理后，外排废气能够能够满足</w:t>
            </w:r>
            <w:r>
              <w:rPr>
                <w:rFonts w:hint="default" w:ascii="Times New Roman" w:hAnsi="Times New Roman" w:cs="Times New Roman"/>
                <w:b/>
                <w:bCs w:val="0"/>
                <w:color w:val="000000" w:themeColor="text1"/>
                <w:kern w:val="0"/>
                <w:sz w:val="21"/>
                <w:szCs w:val="21"/>
                <w:highlight w:val="none"/>
                <w:u w:val="single"/>
                <w:lang w:eastAsia="zh-CN"/>
                <w14:textFill>
                  <w14:solidFill>
                    <w14:schemeClr w14:val="tx1"/>
                  </w14:solidFill>
                </w14:textFill>
              </w:rPr>
              <w:t>《工业炉窑大气污染物排放标准》（DB41/1066-2020）要求（颗粒物</w:t>
            </w:r>
            <w:r>
              <w:rPr>
                <w:rFonts w:hint="default" w:ascii="Times New Roman" w:hAnsi="Times New Roman" w:cs="Times New Roman"/>
                <w:b/>
                <w:bCs w:val="0"/>
                <w:color w:val="000000" w:themeColor="text1"/>
                <w:kern w:val="0"/>
                <w:sz w:val="21"/>
                <w:szCs w:val="21"/>
                <w:highlight w:val="none"/>
                <w:u w:val="single"/>
                <w:lang w:val="en-US" w:eastAsia="zh-CN"/>
                <w14:textFill>
                  <w14:solidFill>
                    <w14:schemeClr w14:val="tx1"/>
                  </w14:solidFill>
                </w14:textFill>
              </w:rPr>
              <w:t>30</w:t>
            </w:r>
            <w:r>
              <w:rPr>
                <w:rFonts w:hint="default" w:ascii="Times New Roman" w:hAnsi="Times New Roman" w:cs="Times New Roman"/>
                <w:b/>
                <w:bCs w:val="0"/>
                <w:color w:val="000000" w:themeColor="text1"/>
                <w:kern w:val="0"/>
                <w:sz w:val="21"/>
                <w:szCs w:val="21"/>
                <w:highlight w:val="none"/>
                <w:u w:val="single"/>
                <w:lang w:eastAsia="zh-CN"/>
                <w14:textFill>
                  <w14:solidFill>
                    <w14:schemeClr w14:val="tx1"/>
                  </w14:solidFill>
                </w14:textFill>
              </w:rPr>
              <w:t>mg/m</w:t>
            </w:r>
            <w:r>
              <w:rPr>
                <w:rFonts w:hint="default" w:ascii="Times New Roman" w:hAnsi="Times New Roman" w:cs="Times New Roman"/>
                <w:b/>
                <w:bCs w:val="0"/>
                <w:color w:val="000000" w:themeColor="text1"/>
                <w:kern w:val="0"/>
                <w:sz w:val="21"/>
                <w:szCs w:val="21"/>
                <w:highlight w:val="none"/>
                <w:u w:val="single"/>
                <w:vertAlign w:val="superscript"/>
                <w:lang w:eastAsia="zh-CN"/>
                <w14:textFill>
                  <w14:solidFill>
                    <w14:schemeClr w14:val="tx1"/>
                  </w14:solidFill>
                </w14:textFill>
              </w:rPr>
              <w:t>3</w:t>
            </w:r>
            <w:r>
              <w:rPr>
                <w:rFonts w:hint="default" w:ascii="Times New Roman" w:hAnsi="Times New Roman" w:cs="Times New Roman"/>
                <w:b/>
                <w:bCs w:val="0"/>
                <w:color w:val="000000" w:themeColor="text1"/>
                <w:kern w:val="0"/>
                <w:sz w:val="21"/>
                <w:szCs w:val="21"/>
                <w:highlight w:val="none"/>
                <w:u w:val="single"/>
                <w:lang w:eastAsia="zh-CN"/>
                <w14:textFill>
                  <w14:solidFill>
                    <w14:schemeClr w14:val="tx1"/>
                  </w14:solidFill>
                </w14:textFill>
              </w:rPr>
              <w:t>、SO</w:t>
            </w:r>
            <w:r>
              <w:rPr>
                <w:rFonts w:hint="default" w:ascii="Times New Roman" w:hAnsi="Times New Roman" w:cs="Times New Roman"/>
                <w:b/>
                <w:bCs w:val="0"/>
                <w:color w:val="000000" w:themeColor="text1"/>
                <w:kern w:val="0"/>
                <w:sz w:val="21"/>
                <w:szCs w:val="21"/>
                <w:highlight w:val="none"/>
                <w:u w:val="single"/>
                <w:vertAlign w:val="subscript"/>
                <w:lang w:eastAsia="zh-CN"/>
                <w14:textFill>
                  <w14:solidFill>
                    <w14:schemeClr w14:val="tx1"/>
                  </w14:solidFill>
                </w14:textFill>
              </w:rPr>
              <w:t>2</w:t>
            </w:r>
            <w:r>
              <w:rPr>
                <w:rFonts w:hint="default" w:ascii="Times New Roman" w:hAnsi="Times New Roman" w:cs="Times New Roman"/>
                <w:b/>
                <w:bCs w:val="0"/>
                <w:color w:val="000000" w:themeColor="text1"/>
                <w:kern w:val="0"/>
                <w:sz w:val="21"/>
                <w:szCs w:val="21"/>
                <w:highlight w:val="none"/>
                <w:u w:val="single"/>
                <w:lang w:val="en-US" w:eastAsia="zh-CN"/>
                <w14:textFill>
                  <w14:solidFill>
                    <w14:schemeClr w14:val="tx1"/>
                  </w14:solidFill>
                </w14:textFill>
              </w:rPr>
              <w:t>200</w:t>
            </w:r>
            <w:r>
              <w:rPr>
                <w:rFonts w:hint="default" w:ascii="Times New Roman" w:hAnsi="Times New Roman" w:cs="Times New Roman"/>
                <w:b/>
                <w:bCs w:val="0"/>
                <w:color w:val="000000" w:themeColor="text1"/>
                <w:kern w:val="0"/>
                <w:sz w:val="21"/>
                <w:szCs w:val="21"/>
                <w:highlight w:val="none"/>
                <w:u w:val="single"/>
                <w:lang w:eastAsia="zh-CN"/>
                <w14:textFill>
                  <w14:solidFill>
                    <w14:schemeClr w14:val="tx1"/>
                  </w14:solidFill>
                </w14:textFill>
              </w:rPr>
              <w:t>mg/m</w:t>
            </w:r>
            <w:r>
              <w:rPr>
                <w:rFonts w:hint="default" w:ascii="Times New Roman" w:hAnsi="Times New Roman" w:cs="Times New Roman"/>
                <w:b/>
                <w:bCs w:val="0"/>
                <w:color w:val="000000" w:themeColor="text1"/>
                <w:kern w:val="0"/>
                <w:sz w:val="21"/>
                <w:szCs w:val="21"/>
                <w:highlight w:val="none"/>
                <w:u w:val="single"/>
                <w:vertAlign w:val="superscript"/>
                <w:lang w:eastAsia="zh-CN"/>
                <w14:textFill>
                  <w14:solidFill>
                    <w14:schemeClr w14:val="tx1"/>
                  </w14:solidFill>
                </w14:textFill>
              </w:rPr>
              <w:t>3</w:t>
            </w:r>
            <w:r>
              <w:rPr>
                <w:rFonts w:hint="default" w:ascii="Times New Roman" w:hAnsi="Times New Roman" w:cs="Times New Roman"/>
                <w:b/>
                <w:bCs w:val="0"/>
                <w:color w:val="000000" w:themeColor="text1"/>
                <w:kern w:val="0"/>
                <w:sz w:val="21"/>
                <w:szCs w:val="21"/>
                <w:highlight w:val="none"/>
                <w:u w:val="single"/>
                <w:lang w:eastAsia="zh-CN"/>
                <w14:textFill>
                  <w14:solidFill>
                    <w14:schemeClr w14:val="tx1"/>
                  </w14:solidFill>
                </w14:textFill>
              </w:rPr>
              <w:t>、NO</w:t>
            </w:r>
            <w:r>
              <w:rPr>
                <w:rFonts w:hint="default" w:ascii="Times New Roman" w:hAnsi="Times New Roman" w:cs="Times New Roman"/>
                <w:b/>
                <w:bCs w:val="0"/>
                <w:color w:val="000000" w:themeColor="text1"/>
                <w:kern w:val="0"/>
                <w:sz w:val="21"/>
                <w:szCs w:val="21"/>
                <w:highlight w:val="none"/>
                <w:u w:val="single"/>
                <w:vertAlign w:val="subscript"/>
                <w:lang w:eastAsia="zh-CN"/>
                <w14:textFill>
                  <w14:solidFill>
                    <w14:schemeClr w14:val="tx1"/>
                  </w14:solidFill>
                </w14:textFill>
              </w:rPr>
              <w:t>x</w:t>
            </w:r>
            <w:r>
              <w:rPr>
                <w:rFonts w:hint="default" w:ascii="Times New Roman" w:hAnsi="Times New Roman" w:cs="Times New Roman"/>
                <w:b/>
                <w:bCs w:val="0"/>
                <w:color w:val="000000" w:themeColor="text1"/>
                <w:kern w:val="0"/>
                <w:sz w:val="21"/>
                <w:szCs w:val="21"/>
                <w:highlight w:val="none"/>
                <w:u w:val="single"/>
                <w:lang w:val="en-US" w:eastAsia="zh-CN"/>
                <w14:textFill>
                  <w14:solidFill>
                    <w14:schemeClr w14:val="tx1"/>
                  </w14:solidFill>
                </w14:textFill>
              </w:rPr>
              <w:t>300</w:t>
            </w:r>
            <w:r>
              <w:rPr>
                <w:rFonts w:hint="default" w:ascii="Times New Roman" w:hAnsi="Times New Roman" w:cs="Times New Roman"/>
                <w:b/>
                <w:bCs w:val="0"/>
                <w:color w:val="000000" w:themeColor="text1"/>
                <w:kern w:val="0"/>
                <w:sz w:val="21"/>
                <w:szCs w:val="21"/>
                <w:highlight w:val="none"/>
                <w:u w:val="single"/>
                <w:lang w:eastAsia="zh-CN"/>
                <w14:textFill>
                  <w14:solidFill>
                    <w14:schemeClr w14:val="tx1"/>
                  </w14:solidFill>
                </w14:textFill>
              </w:rPr>
              <w:t>mg/m</w:t>
            </w:r>
            <w:r>
              <w:rPr>
                <w:rFonts w:hint="default" w:ascii="Times New Roman" w:hAnsi="Times New Roman" w:cs="Times New Roman"/>
                <w:b/>
                <w:bCs w:val="0"/>
                <w:color w:val="000000" w:themeColor="text1"/>
                <w:kern w:val="0"/>
                <w:sz w:val="21"/>
                <w:szCs w:val="21"/>
                <w:highlight w:val="none"/>
                <w:u w:val="single"/>
                <w:vertAlign w:val="superscript"/>
                <w:lang w:eastAsia="zh-CN"/>
                <w14:textFill>
                  <w14:solidFill>
                    <w14:schemeClr w14:val="tx1"/>
                  </w14:solidFill>
                </w14:textFill>
              </w:rPr>
              <w:t>3</w:t>
            </w:r>
            <w:r>
              <w:rPr>
                <w:rFonts w:hint="default" w:ascii="Times New Roman" w:hAnsi="Times New Roman" w:cs="Times New Roman"/>
                <w:b/>
                <w:bCs w:val="0"/>
                <w:color w:val="000000" w:themeColor="text1"/>
                <w:kern w:val="0"/>
                <w:sz w:val="21"/>
                <w:szCs w:val="21"/>
                <w:highlight w:val="none"/>
                <w:u w:val="single"/>
                <w:vertAlign w:val="baseline"/>
                <w:lang w:eastAsia="zh-CN"/>
                <w14:textFill>
                  <w14:solidFill>
                    <w14:schemeClr w14:val="tx1"/>
                  </w14:solidFill>
                </w14:textFill>
              </w:rPr>
              <w:t>、</w:t>
            </w:r>
            <w:r>
              <w:rPr>
                <w:rFonts w:hint="default" w:ascii="Times New Roman" w:hAnsi="Times New Roman" w:eastAsia="宋体" w:cs="Times New Roman"/>
                <w:b/>
                <w:bCs w:val="0"/>
                <w:color w:val="000000" w:themeColor="text1"/>
                <w:sz w:val="21"/>
                <w:szCs w:val="21"/>
                <w:highlight w:val="none"/>
                <w:u w:val="single"/>
                <w:vertAlign w:val="baseline"/>
                <w:lang w:val="en-US" w:eastAsia="zh-CN"/>
                <w14:textFill>
                  <w14:solidFill>
                    <w14:schemeClr w14:val="tx1"/>
                  </w14:solidFill>
                </w14:textFill>
              </w:rPr>
              <w:t>氨8</w:t>
            </w:r>
            <w:r>
              <w:rPr>
                <w:rFonts w:hint="default" w:ascii="Times New Roman" w:hAnsi="Times New Roman" w:eastAsia="宋体" w:cs="Times New Roman"/>
                <w:b/>
                <w:bCs w:val="0"/>
                <w:color w:val="000000" w:themeColor="text1"/>
                <w:sz w:val="21"/>
                <w:szCs w:val="21"/>
                <w:highlight w:val="none"/>
                <w:u w:val="single"/>
                <w:lang w:val="en-US" w:eastAsia="zh-CN"/>
                <w14:textFill>
                  <w14:solidFill>
                    <w14:schemeClr w14:val="tx1"/>
                  </w14:solidFill>
                </w14:textFill>
              </w:rPr>
              <w:t>mg/m</w:t>
            </w:r>
            <w:r>
              <w:rPr>
                <w:rFonts w:hint="default" w:ascii="Times New Roman" w:hAnsi="Times New Roman" w:eastAsia="宋体" w:cs="Times New Roman"/>
                <w:b/>
                <w:bCs w:val="0"/>
                <w:color w:val="000000" w:themeColor="text1"/>
                <w:sz w:val="21"/>
                <w:szCs w:val="21"/>
                <w:highlight w:val="none"/>
                <w:u w:val="single"/>
                <w:vertAlign w:val="superscript"/>
                <w:lang w:val="en-US" w:eastAsia="zh-CN"/>
                <w14:textFill>
                  <w14:solidFill>
                    <w14:schemeClr w14:val="tx1"/>
                  </w14:solidFill>
                </w14:textFill>
              </w:rPr>
              <w:t>3</w:t>
            </w:r>
            <w:r>
              <w:rPr>
                <w:rFonts w:hint="default" w:ascii="Times New Roman" w:hAnsi="Times New Roman" w:cs="Times New Roman"/>
                <w:b/>
                <w:bCs w:val="0"/>
                <w:color w:val="000000" w:themeColor="text1"/>
                <w:kern w:val="0"/>
                <w:sz w:val="21"/>
                <w:szCs w:val="21"/>
                <w:highlight w:val="none"/>
                <w:u w:val="single"/>
                <w:lang w:eastAsia="zh-CN"/>
                <w14:textFill>
                  <w14:solidFill>
                    <w14:schemeClr w14:val="tx1"/>
                  </w14:solidFill>
                </w14:textFill>
              </w:rPr>
              <w:t>）（基准含氧量</w:t>
            </w:r>
            <w:r>
              <w:rPr>
                <w:rFonts w:hint="default" w:ascii="Times New Roman" w:hAnsi="Times New Roman" w:cs="Times New Roman"/>
                <w:b/>
                <w:bCs w:val="0"/>
                <w:color w:val="000000" w:themeColor="text1"/>
                <w:kern w:val="0"/>
                <w:sz w:val="21"/>
                <w:szCs w:val="21"/>
                <w:highlight w:val="none"/>
                <w:u w:val="single"/>
                <w:lang w:val="en-US" w:eastAsia="zh-CN"/>
                <w14:textFill>
                  <w14:solidFill>
                    <w14:schemeClr w14:val="tx1"/>
                  </w14:solidFill>
                </w14:textFill>
              </w:rPr>
              <w:t>9%</w:t>
            </w:r>
            <w:r>
              <w:rPr>
                <w:rFonts w:hint="default" w:ascii="Times New Roman" w:hAnsi="Times New Roman" w:cs="Times New Roman"/>
                <w:b/>
                <w:bCs w:val="0"/>
                <w:color w:val="000000" w:themeColor="text1"/>
                <w:kern w:val="0"/>
                <w:sz w:val="21"/>
                <w:szCs w:val="21"/>
                <w:highlight w:val="none"/>
                <w:u w:val="single"/>
                <w:lang w:eastAsia="zh-CN"/>
                <w14:textFill>
                  <w14:solidFill>
                    <w14:schemeClr w14:val="tx1"/>
                  </w14:solidFill>
                </w14:textFill>
              </w:rPr>
              <w:t>），《河南省重污染天气通用行业应急减排措施制定技术指南》（2021 年修订版）中附录2（河南省重点行业绩效分级排放限值（通用行业-其他炉窑））（颗粒物</w:t>
            </w:r>
            <w:r>
              <w:rPr>
                <w:rFonts w:hint="default" w:ascii="Times New Roman" w:hAnsi="Times New Roman" w:cs="Times New Roman"/>
                <w:b/>
                <w:bCs w:val="0"/>
                <w:color w:val="000000" w:themeColor="text1"/>
                <w:kern w:val="0"/>
                <w:sz w:val="21"/>
                <w:szCs w:val="21"/>
                <w:highlight w:val="none"/>
                <w:u w:val="single"/>
                <w:lang w:val="en-US" w:eastAsia="zh-CN"/>
                <w14:textFill>
                  <w14:solidFill>
                    <w14:schemeClr w14:val="tx1"/>
                  </w14:solidFill>
                </w14:textFill>
              </w:rPr>
              <w:t>10</w:t>
            </w:r>
            <w:r>
              <w:rPr>
                <w:rFonts w:hint="default" w:ascii="Times New Roman" w:hAnsi="Times New Roman" w:cs="Times New Roman"/>
                <w:b/>
                <w:bCs w:val="0"/>
                <w:color w:val="000000" w:themeColor="text1"/>
                <w:kern w:val="0"/>
                <w:sz w:val="21"/>
                <w:szCs w:val="21"/>
                <w:highlight w:val="none"/>
                <w:u w:val="single"/>
                <w:lang w:eastAsia="zh-CN"/>
                <w14:textFill>
                  <w14:solidFill>
                    <w14:schemeClr w14:val="tx1"/>
                  </w14:solidFill>
                </w14:textFill>
              </w:rPr>
              <w:t>mg/m</w:t>
            </w:r>
            <w:r>
              <w:rPr>
                <w:rFonts w:hint="default" w:ascii="Times New Roman" w:hAnsi="Times New Roman" w:cs="Times New Roman"/>
                <w:b/>
                <w:bCs w:val="0"/>
                <w:color w:val="000000" w:themeColor="text1"/>
                <w:kern w:val="0"/>
                <w:sz w:val="21"/>
                <w:szCs w:val="21"/>
                <w:highlight w:val="none"/>
                <w:u w:val="single"/>
                <w:vertAlign w:val="superscript"/>
                <w:lang w:eastAsia="zh-CN"/>
                <w14:textFill>
                  <w14:solidFill>
                    <w14:schemeClr w14:val="tx1"/>
                  </w14:solidFill>
                </w14:textFill>
              </w:rPr>
              <w:t>3</w:t>
            </w:r>
            <w:r>
              <w:rPr>
                <w:rFonts w:hint="default" w:ascii="Times New Roman" w:hAnsi="Times New Roman" w:cs="Times New Roman"/>
                <w:b/>
                <w:bCs w:val="0"/>
                <w:color w:val="000000" w:themeColor="text1"/>
                <w:kern w:val="0"/>
                <w:sz w:val="21"/>
                <w:szCs w:val="21"/>
                <w:highlight w:val="none"/>
                <w:u w:val="single"/>
                <w:lang w:eastAsia="zh-CN"/>
                <w14:textFill>
                  <w14:solidFill>
                    <w14:schemeClr w14:val="tx1"/>
                  </w14:solidFill>
                </w14:textFill>
              </w:rPr>
              <w:t>、SO</w:t>
            </w:r>
            <w:r>
              <w:rPr>
                <w:rFonts w:hint="default" w:ascii="Times New Roman" w:hAnsi="Times New Roman" w:cs="Times New Roman"/>
                <w:b/>
                <w:bCs w:val="0"/>
                <w:color w:val="000000" w:themeColor="text1"/>
                <w:kern w:val="0"/>
                <w:sz w:val="21"/>
                <w:szCs w:val="21"/>
                <w:highlight w:val="none"/>
                <w:u w:val="single"/>
                <w:vertAlign w:val="subscript"/>
                <w:lang w:eastAsia="zh-CN"/>
                <w14:textFill>
                  <w14:solidFill>
                    <w14:schemeClr w14:val="tx1"/>
                  </w14:solidFill>
                </w14:textFill>
              </w:rPr>
              <w:t>2</w:t>
            </w:r>
            <w:r>
              <w:rPr>
                <w:rFonts w:hint="default" w:ascii="Times New Roman" w:hAnsi="Times New Roman" w:cs="Times New Roman"/>
                <w:b/>
                <w:bCs w:val="0"/>
                <w:color w:val="000000" w:themeColor="text1"/>
                <w:kern w:val="0"/>
                <w:sz w:val="21"/>
                <w:szCs w:val="21"/>
                <w:highlight w:val="none"/>
                <w:u w:val="single"/>
                <w:lang w:val="en-US" w:eastAsia="zh-CN"/>
                <w14:textFill>
                  <w14:solidFill>
                    <w14:schemeClr w14:val="tx1"/>
                  </w14:solidFill>
                </w14:textFill>
              </w:rPr>
              <w:t>50</w:t>
            </w:r>
            <w:r>
              <w:rPr>
                <w:rFonts w:hint="default" w:ascii="Times New Roman" w:hAnsi="Times New Roman" w:cs="Times New Roman"/>
                <w:b/>
                <w:bCs w:val="0"/>
                <w:color w:val="000000" w:themeColor="text1"/>
                <w:kern w:val="0"/>
                <w:sz w:val="21"/>
                <w:szCs w:val="21"/>
                <w:highlight w:val="none"/>
                <w:u w:val="single"/>
                <w:lang w:eastAsia="zh-CN"/>
                <w14:textFill>
                  <w14:solidFill>
                    <w14:schemeClr w14:val="tx1"/>
                  </w14:solidFill>
                </w14:textFill>
              </w:rPr>
              <w:t>mg/m</w:t>
            </w:r>
            <w:r>
              <w:rPr>
                <w:rFonts w:hint="default" w:ascii="Times New Roman" w:hAnsi="Times New Roman" w:cs="Times New Roman"/>
                <w:b/>
                <w:bCs w:val="0"/>
                <w:color w:val="000000" w:themeColor="text1"/>
                <w:kern w:val="0"/>
                <w:sz w:val="21"/>
                <w:szCs w:val="21"/>
                <w:highlight w:val="none"/>
                <w:u w:val="single"/>
                <w:vertAlign w:val="superscript"/>
                <w:lang w:eastAsia="zh-CN"/>
                <w14:textFill>
                  <w14:solidFill>
                    <w14:schemeClr w14:val="tx1"/>
                  </w14:solidFill>
                </w14:textFill>
              </w:rPr>
              <w:t>3</w:t>
            </w:r>
            <w:r>
              <w:rPr>
                <w:rFonts w:hint="default" w:ascii="Times New Roman" w:hAnsi="Times New Roman" w:cs="Times New Roman"/>
                <w:b/>
                <w:bCs w:val="0"/>
                <w:color w:val="000000" w:themeColor="text1"/>
                <w:kern w:val="0"/>
                <w:sz w:val="21"/>
                <w:szCs w:val="21"/>
                <w:highlight w:val="none"/>
                <w:u w:val="single"/>
                <w:lang w:eastAsia="zh-CN"/>
                <w14:textFill>
                  <w14:solidFill>
                    <w14:schemeClr w14:val="tx1"/>
                  </w14:solidFill>
                </w14:textFill>
              </w:rPr>
              <w:t>、NO</w:t>
            </w:r>
            <w:r>
              <w:rPr>
                <w:rFonts w:hint="default" w:ascii="Times New Roman" w:hAnsi="Times New Roman" w:cs="Times New Roman"/>
                <w:b/>
                <w:bCs w:val="0"/>
                <w:color w:val="000000" w:themeColor="text1"/>
                <w:kern w:val="0"/>
                <w:sz w:val="21"/>
                <w:szCs w:val="21"/>
                <w:highlight w:val="none"/>
                <w:u w:val="single"/>
                <w:vertAlign w:val="subscript"/>
                <w:lang w:eastAsia="zh-CN"/>
                <w14:textFill>
                  <w14:solidFill>
                    <w14:schemeClr w14:val="tx1"/>
                  </w14:solidFill>
                </w14:textFill>
              </w:rPr>
              <w:t>x</w:t>
            </w:r>
            <w:r>
              <w:rPr>
                <w:rFonts w:hint="default" w:ascii="Times New Roman" w:hAnsi="Times New Roman" w:cs="Times New Roman"/>
                <w:b/>
                <w:bCs w:val="0"/>
                <w:color w:val="000000" w:themeColor="text1"/>
                <w:kern w:val="0"/>
                <w:sz w:val="21"/>
                <w:szCs w:val="21"/>
                <w:highlight w:val="none"/>
                <w:u w:val="single"/>
                <w:lang w:val="en-US" w:eastAsia="zh-CN"/>
                <w14:textFill>
                  <w14:solidFill>
                    <w14:schemeClr w14:val="tx1"/>
                  </w14:solidFill>
                </w14:textFill>
              </w:rPr>
              <w:t>100</w:t>
            </w:r>
            <w:r>
              <w:rPr>
                <w:rFonts w:hint="default" w:ascii="Times New Roman" w:hAnsi="Times New Roman" w:cs="Times New Roman"/>
                <w:b/>
                <w:bCs w:val="0"/>
                <w:color w:val="000000" w:themeColor="text1"/>
                <w:kern w:val="0"/>
                <w:sz w:val="21"/>
                <w:szCs w:val="21"/>
                <w:highlight w:val="none"/>
                <w:u w:val="single"/>
                <w:lang w:eastAsia="zh-CN"/>
                <w14:textFill>
                  <w14:solidFill>
                    <w14:schemeClr w14:val="tx1"/>
                  </w14:solidFill>
                </w14:textFill>
              </w:rPr>
              <w:t>mg/m</w:t>
            </w:r>
            <w:r>
              <w:rPr>
                <w:rFonts w:hint="default" w:ascii="Times New Roman" w:hAnsi="Times New Roman" w:cs="Times New Roman"/>
                <w:b/>
                <w:bCs w:val="0"/>
                <w:color w:val="000000" w:themeColor="text1"/>
                <w:kern w:val="0"/>
                <w:sz w:val="21"/>
                <w:szCs w:val="21"/>
                <w:highlight w:val="none"/>
                <w:u w:val="single"/>
                <w:vertAlign w:val="superscript"/>
                <w:lang w:eastAsia="zh-CN"/>
                <w14:textFill>
                  <w14:solidFill>
                    <w14:schemeClr w14:val="tx1"/>
                  </w14:solidFill>
                </w14:textFill>
              </w:rPr>
              <w:t>3</w:t>
            </w:r>
            <w:r>
              <w:rPr>
                <w:rFonts w:hint="default" w:ascii="Times New Roman" w:hAnsi="Times New Roman" w:cs="Times New Roman"/>
                <w:b/>
                <w:bCs w:val="0"/>
                <w:color w:val="000000" w:themeColor="text1"/>
                <w:kern w:val="0"/>
                <w:sz w:val="21"/>
                <w:szCs w:val="21"/>
                <w:highlight w:val="none"/>
                <w:u w:val="single"/>
                <w:lang w:eastAsia="zh-CN"/>
                <w14:textFill>
                  <w14:solidFill>
                    <w14:schemeClr w14:val="tx1"/>
                  </w14:solidFill>
                </w14:textFill>
              </w:rPr>
              <w:t>）（基准含氧量</w:t>
            </w:r>
            <w:r>
              <w:rPr>
                <w:rFonts w:hint="default" w:ascii="Times New Roman" w:hAnsi="Times New Roman" w:cs="Times New Roman"/>
                <w:b/>
                <w:bCs w:val="0"/>
                <w:color w:val="000000" w:themeColor="text1"/>
                <w:kern w:val="0"/>
                <w:sz w:val="21"/>
                <w:szCs w:val="21"/>
                <w:highlight w:val="none"/>
                <w:u w:val="single"/>
                <w:lang w:val="en-US" w:eastAsia="zh-CN"/>
                <w14:textFill>
                  <w14:solidFill>
                    <w14:schemeClr w14:val="tx1"/>
                  </w14:solidFill>
                </w14:textFill>
              </w:rPr>
              <w:t>9%</w:t>
            </w:r>
            <w:r>
              <w:rPr>
                <w:rFonts w:hint="default" w:ascii="Times New Roman" w:hAnsi="Times New Roman" w:cs="Times New Roman"/>
                <w:b/>
                <w:bCs w:val="0"/>
                <w:color w:val="000000" w:themeColor="text1"/>
                <w:kern w:val="0"/>
                <w:sz w:val="21"/>
                <w:szCs w:val="21"/>
                <w:highlight w:val="none"/>
                <w:u w:val="single"/>
                <w:lang w:eastAsia="zh-CN"/>
                <w14:textFill>
                  <w14:solidFill>
                    <w14:schemeClr w14:val="tx1"/>
                  </w14:solidFill>
                </w14:textFill>
              </w:rPr>
              <w:t>）</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，同时颗粒物满足《新乡市生态环境局关于进一步规范工业企业颗粒物排限值的通知》要求（其他工业企业：10mg/m</w:t>
            </w:r>
            <w:r>
              <w:rPr>
                <w:rFonts w:hint="default" w:ascii="Times New Roman" w:hAnsi="Times New Roman" w:cs="Times New Roman"/>
                <w:bCs/>
                <w:color w:val="000000" w:themeColor="text1"/>
                <w:kern w:val="0"/>
                <w:sz w:val="21"/>
                <w:szCs w:val="21"/>
                <w:highlight w:val="none"/>
                <w:vertAlign w:val="superscript"/>
                <w:lang w:eastAsia="zh-CN"/>
                <w14:textFill>
                  <w14:solidFill>
                    <w14:schemeClr w14:val="tx1"/>
                  </w14:solidFill>
                </w14:textFill>
              </w:rPr>
              <w:t>3</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w:t>
            </w:r>
          </w:p>
          <w:p>
            <w:pPr>
              <w:pStyle w:val="2"/>
              <w:ind w:left="0" w:leftChars="0" w:firstLine="0" w:firstLineChars="0"/>
              <w:rPr>
                <w:rFonts w:hint="default" w:ascii="Times New Roman" w:hAnsi="Times New Roman" w:cs="Times New Roman"/>
                <w:color w:val="000000" w:themeColor="text1"/>
                <w:lang w:eastAsia="zh-CN"/>
                <w14:textFill>
                  <w14:solidFill>
                    <w14:schemeClr w14:val="tx1"/>
                  </w14:solidFill>
                </w14:textFill>
              </w:rPr>
            </w:pPr>
          </w:p>
        </w:tc>
      </w:tr>
    </w:tbl>
    <w:p>
      <w:pPr>
        <w:pStyle w:val="16"/>
        <w:jc w:val="center"/>
        <w:rPr>
          <w:rFonts w:hint="default" w:ascii="Times New Roman" w:hAnsi="Times New Roman" w:eastAsia="黑体" w:cs="Times New Roman"/>
          <w:snapToGrid w:val="0"/>
          <w:color w:val="000000" w:themeColor="text1"/>
          <w:sz w:val="36"/>
          <w:szCs w:val="36"/>
          <w:highlight w:val="cyan"/>
          <w14:textFill>
            <w14:solidFill>
              <w14:schemeClr w14:val="tx1"/>
            </w14:solidFill>
          </w14:textFill>
        </w:rPr>
        <w:sectPr>
          <w:pgSz w:w="16838" w:h="11906" w:orient="landscape"/>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83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pPr>
              <w:pStyle w:val="16"/>
              <w:keepNext w:val="0"/>
              <w:keepLines w:val="0"/>
              <w:pageBreakBefore w:val="0"/>
              <w:widowControl/>
              <w:kinsoku/>
              <w:wordWrap/>
              <w:overflowPunct/>
              <w:topLinePunct w:val="0"/>
              <w:autoSpaceDE/>
              <w:autoSpaceDN/>
              <w:bidi w:val="0"/>
              <w:adjustRightInd/>
              <w:snapToGrid/>
              <w:spacing w:before="0" w:beforeAutospacing="0" w:after="0" w:afterAutospacing="0"/>
              <w:ind w:firstLine="0" w:firstLineChars="0"/>
              <w:jc w:val="center"/>
              <w:textAlignment w:val="auto"/>
              <w:rPr>
                <w:rFonts w:hint="default" w:ascii="Times New Roman" w:hAnsi="Times New Roman" w:eastAsia="黑体" w:cs="Times New Roman"/>
                <w:snapToGrid w:val="0"/>
                <w:color w:val="000000" w:themeColor="text1"/>
                <w:sz w:val="36"/>
                <w:szCs w:val="36"/>
                <w:highlight w:val="cyan"/>
                <w:vertAlign w:val="baseline"/>
                <w14:textFill>
                  <w14:solidFill>
                    <w14:schemeClr w14:val="tx1"/>
                  </w14:solidFill>
                </w14:textFill>
              </w:rPr>
            </w:pPr>
            <w:r>
              <w:rPr>
                <w:rFonts w:hint="default" w:ascii="Times New Roman" w:hAnsi="Times New Roman" w:cs="Times New Roman"/>
                <w:bCs/>
                <w:color w:val="000000" w:themeColor="text1"/>
                <w:kern w:val="2"/>
                <w:sz w:val="21"/>
                <w:szCs w:val="21"/>
                <w:highlight w:val="none"/>
                <w14:textFill>
                  <w14:solidFill>
                    <w14:schemeClr w14:val="tx1"/>
                  </w14:solidFill>
                </w14:textFill>
              </w:rPr>
              <w:t>与项目有关的原有环境污染问题</w:t>
            </w:r>
          </w:p>
        </w:tc>
        <w:tc>
          <w:tcPr>
            <w:tcW w:w="8398" w:type="dxa"/>
          </w:tcPr>
          <w:p>
            <w:pPr>
              <w:pStyle w:val="31"/>
              <w:keepNext w:val="0"/>
              <w:keepLines w:val="0"/>
              <w:pageBreakBefore w:val="0"/>
              <w:widowControl w:val="0"/>
              <w:kinsoku/>
              <w:wordWrap/>
              <w:overflowPunct/>
              <w:topLinePunct w:val="0"/>
              <w:bidi w:val="0"/>
              <w:adjustRightInd/>
              <w:snapToGrid/>
              <w:ind w:firstLine="420" w:firstLineChars="200"/>
              <w:rPr>
                <w:rFonts w:hint="default" w:ascii="Times New Roman" w:hAnsi="Times New Roman" w:cs="Times New Roman"/>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t>现有工程天然气加热炉年工作时间按照2400h计算（年工作300天，每天工作8h），本次评价取监测结果</w:t>
            </w:r>
            <w:r>
              <w:rPr>
                <w:rFonts w:hint="default" w:ascii="Times New Roman" w:hAnsi="Times New Roman" w:cs="Times New Roman"/>
                <w:bCs/>
                <w:color w:val="000000" w:themeColor="text1"/>
                <w:kern w:val="0"/>
                <w:sz w:val="21"/>
                <w:szCs w:val="21"/>
                <w:highlight w:val="none"/>
                <w:lang w:val="en-US" w:eastAsia="zh-CN" w:bidi="ar-SA"/>
                <w14:textFill>
                  <w14:solidFill>
                    <w14:schemeClr w14:val="tx1"/>
                  </w14:solidFill>
                </w14:textFill>
              </w:rPr>
              <w:t>最大</w:t>
            </w:r>
            <w:r>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t>值计算，经计算废气各污染物</w:t>
            </w:r>
            <w:r>
              <w:rPr>
                <w:rFonts w:hint="default" w:ascii="Times New Roman" w:hAnsi="Times New Roman" w:cs="Times New Roman"/>
                <w:bCs/>
                <w:color w:val="000000" w:themeColor="text1"/>
                <w:kern w:val="0"/>
                <w:sz w:val="21"/>
                <w:szCs w:val="21"/>
                <w:highlight w:val="none"/>
                <w:lang w:val="en-US" w:eastAsia="zh-CN" w:bidi="ar-SA"/>
                <w14:textFill>
                  <w14:solidFill>
                    <w14:schemeClr w14:val="tx1"/>
                  </w14:solidFill>
                </w14:textFill>
              </w:rPr>
              <w:t>产排情况如下：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eastAsia" w:eastAsia="黑体" w:cs="Times New Roman"/>
                <w:color w:val="000000" w:themeColor="text1"/>
                <w:sz w:val="21"/>
                <w:szCs w:val="21"/>
                <w:highlight w:val="none"/>
                <w:lang w:val="en-US" w:eastAsia="zh-CN"/>
                <w14:textFill>
                  <w14:solidFill>
                    <w14:schemeClr w14:val="tx1"/>
                  </w14:solidFill>
                </w14:textFill>
              </w:rPr>
              <w:t>现有</w:t>
            </w: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工程加热炉废气产生及排放情况表</w:t>
            </w:r>
          </w:p>
          <w:tbl>
            <w:tblPr>
              <w:tblStyle w:val="21"/>
              <w:tblW w:w="4993"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818"/>
              <w:gridCol w:w="710"/>
              <w:gridCol w:w="858"/>
              <w:gridCol w:w="858"/>
              <w:gridCol w:w="1310"/>
              <w:gridCol w:w="618"/>
              <w:gridCol w:w="865"/>
              <w:gridCol w:w="865"/>
              <w:gridCol w:w="63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7"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cs="Times New Roman"/>
                      <w:color w:val="000000" w:themeColor="text1"/>
                      <w:sz w:val="18"/>
                      <w:szCs w:val="18"/>
                      <w:lang w:eastAsia="zh-CN"/>
                      <w14:textFill>
                        <w14:solidFill>
                          <w14:schemeClr w14:val="tx1"/>
                        </w14:solidFill>
                      </w14:textFill>
                    </w:rPr>
                    <w:t>污染源</w:t>
                  </w:r>
                </w:p>
              </w:tc>
              <w:tc>
                <w:tcPr>
                  <w:tcW w:w="500"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cs="Times New Roman"/>
                      <w:color w:val="000000" w:themeColor="text1"/>
                      <w:sz w:val="18"/>
                      <w:szCs w:val="18"/>
                      <w:lang w:eastAsia="zh-CN"/>
                      <w14:textFill>
                        <w14:solidFill>
                          <w14:schemeClr w14:val="tx1"/>
                        </w14:solidFill>
                      </w14:textFill>
                    </w:rPr>
                    <w:t>污染物</w:t>
                  </w:r>
                </w:p>
              </w:tc>
              <w:tc>
                <w:tcPr>
                  <w:tcW w:w="434" w:type="pct"/>
                  <w:vMerge w:val="restart"/>
                  <w:tcBorders>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cs="Times New Roman"/>
                      <w:color w:val="000000" w:themeColor="text1"/>
                      <w:sz w:val="18"/>
                      <w:szCs w:val="18"/>
                      <w:lang w:eastAsia="zh-CN"/>
                      <w14:textFill>
                        <w14:solidFill>
                          <w14:schemeClr w14:val="tx1"/>
                        </w14:solidFill>
                      </w14:textFill>
                    </w:rPr>
                    <w:t>废气量</w:t>
                  </w:r>
                  <w:r>
                    <w:rPr>
                      <w:rFonts w:hint="default" w:ascii="Times New Roman" w:hAnsi="Times New Roman" w:cs="Times New Roman"/>
                      <w:b w:val="0"/>
                      <w:bCs/>
                      <w:color w:val="000000" w:themeColor="text1"/>
                      <w:kern w:val="0"/>
                      <w:sz w:val="21"/>
                      <w:szCs w:val="21"/>
                      <w:highlight w:val="none"/>
                      <w:lang w:val="en-US" w:eastAsia="zh-CN" w:bidi="ar-SA"/>
                      <w14:textFill>
                        <w14:solidFill>
                          <w14:schemeClr w14:val="tx1"/>
                        </w14:solidFill>
                      </w14:textFill>
                    </w:rPr>
                    <w:t>m</w:t>
                  </w:r>
                  <w:r>
                    <w:rPr>
                      <w:rFonts w:hint="default" w:ascii="Times New Roman" w:hAnsi="Times New Roman" w:cs="Times New Roman"/>
                      <w:b w:val="0"/>
                      <w:bCs/>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cs="Times New Roman"/>
                      <w:b w:val="0"/>
                      <w:bCs/>
                      <w:color w:val="000000" w:themeColor="text1"/>
                      <w:kern w:val="0"/>
                      <w:sz w:val="21"/>
                      <w:szCs w:val="21"/>
                      <w:highlight w:val="none"/>
                      <w:lang w:val="en-US" w:eastAsia="zh-CN" w:bidi="ar-SA"/>
                      <w14:textFill>
                        <w14:solidFill>
                          <w14:schemeClr w14:val="tx1"/>
                        </w14:solidFill>
                      </w14:textFill>
                    </w:rPr>
                    <w:t>/h</w:t>
                  </w:r>
                </w:p>
              </w:tc>
              <w:tc>
                <w:tcPr>
                  <w:tcW w:w="1050" w:type="pct"/>
                  <w:gridSpan w:val="2"/>
                  <w:tcBorders>
                    <w:left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eastAsia="zh-CN"/>
                      <w14:textFill>
                        <w14:solidFill>
                          <w14:schemeClr w14:val="tx1"/>
                        </w14:solidFill>
                      </w14:textFill>
                    </w:rPr>
                    <w:t>污染物产生</w:t>
                  </w:r>
                </w:p>
              </w:tc>
              <w:tc>
                <w:tcPr>
                  <w:tcW w:w="1179" w:type="pct"/>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cs="Times New Roman"/>
                      <w:color w:val="000000" w:themeColor="text1"/>
                      <w:sz w:val="18"/>
                      <w:szCs w:val="18"/>
                      <w:lang w:eastAsia="zh-CN"/>
                      <w14:textFill>
                        <w14:solidFill>
                          <w14:schemeClr w14:val="tx1"/>
                        </w14:solidFill>
                      </w14:textFill>
                    </w:rPr>
                    <w:t>治理设施</w:t>
                  </w:r>
                </w:p>
              </w:tc>
              <w:tc>
                <w:tcPr>
                  <w:tcW w:w="1058" w:type="pct"/>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cs="Times New Roman"/>
                      <w:color w:val="000000" w:themeColor="text1"/>
                      <w:sz w:val="18"/>
                      <w:szCs w:val="18"/>
                      <w:lang w:eastAsia="zh-CN"/>
                      <w14:textFill>
                        <w14:solidFill>
                          <w14:schemeClr w14:val="tx1"/>
                        </w14:solidFill>
                      </w14:textFill>
                    </w:rPr>
                    <w:t>污染物排放</w:t>
                  </w:r>
                </w:p>
              </w:tc>
              <w:tc>
                <w:tcPr>
                  <w:tcW w:w="389"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eastAsia="zh-CN"/>
                      <w14:textFill>
                        <w14:solidFill>
                          <w14:schemeClr w14:val="tx1"/>
                        </w14:solidFill>
                      </w14:textFill>
                    </w:rPr>
                    <w:t>排放时间</w:t>
                  </w:r>
                  <w:r>
                    <w:rPr>
                      <w:rFonts w:hint="default" w:ascii="Times New Roman" w:hAnsi="Times New Roman" w:cs="Times New Roman"/>
                      <w:color w:val="000000" w:themeColor="text1"/>
                      <w:sz w:val="18"/>
                      <w:szCs w:val="18"/>
                      <w:lang w:val="en-US" w:eastAsia="zh-CN"/>
                      <w14:textFill>
                        <w14:solidFill>
                          <w14:schemeClr w14:val="tx1"/>
                        </w14:solidFill>
                      </w14:textFill>
                    </w:rPr>
                    <w:t>h</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7"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500"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434" w:type="pct"/>
                  <w:vMerge w:val="continue"/>
                  <w:tcBorders>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p>
              </w:tc>
              <w:tc>
                <w:tcPr>
                  <w:tcW w:w="525" w:type="pct"/>
                  <w:tcBorders>
                    <w:top w:val="single" w:color="000000" w:sz="4" w:space="0"/>
                  </w:tcBorders>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产生浓度mg/m</w:t>
                  </w:r>
                  <w:r>
                    <w:rPr>
                      <w:rFonts w:hint="default" w:ascii="Times New Roman" w:hAnsi="Times New Roman" w:cs="Times New Roman"/>
                      <w:color w:val="000000" w:themeColor="text1"/>
                      <w:kern w:val="0"/>
                      <w:sz w:val="18"/>
                      <w:szCs w:val="18"/>
                      <w:vertAlign w:val="superscript"/>
                      <w14:textFill>
                        <w14:solidFill>
                          <w14:schemeClr w14:val="tx1"/>
                        </w14:solidFill>
                      </w14:textFill>
                    </w:rPr>
                    <w:t>3</w:t>
                  </w:r>
                </w:p>
              </w:tc>
              <w:tc>
                <w:tcPr>
                  <w:tcW w:w="525" w:type="pct"/>
                  <w:tcBorders>
                    <w:top w:val="single" w:color="000000" w:sz="4" w:space="0"/>
                  </w:tcBorders>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产生量</w:t>
                  </w:r>
                </w:p>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kern w:val="0"/>
                      <w:sz w:val="18"/>
                      <w:szCs w:val="18"/>
                      <w:lang w:val="en-US" w:eastAsia="zh-CN"/>
                      <w14:textFill>
                        <w14:solidFill>
                          <w14:schemeClr w14:val="tx1"/>
                        </w14:solidFill>
                      </w14:textFill>
                    </w:rPr>
                    <w:t>t/a</w:t>
                  </w:r>
                </w:p>
              </w:tc>
              <w:tc>
                <w:tcPr>
                  <w:tcW w:w="801"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cs="Times New Roman"/>
                      <w:color w:val="000000" w:themeColor="text1"/>
                      <w:sz w:val="18"/>
                      <w:szCs w:val="18"/>
                      <w:lang w:eastAsia="zh-CN"/>
                      <w14:textFill>
                        <w14:solidFill>
                          <w14:schemeClr w14:val="tx1"/>
                        </w14:solidFill>
                      </w14:textFill>
                    </w:rPr>
                    <w:t>工艺</w:t>
                  </w:r>
                </w:p>
              </w:tc>
              <w:tc>
                <w:tcPr>
                  <w:tcW w:w="378"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效率</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529" w:type="pct"/>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排放浓度mg/m</w:t>
                  </w:r>
                  <w:r>
                    <w:rPr>
                      <w:rFonts w:hint="default" w:ascii="Times New Roman" w:hAnsi="Times New Roman" w:cs="Times New Roman"/>
                      <w:color w:val="000000" w:themeColor="text1"/>
                      <w:kern w:val="0"/>
                      <w:sz w:val="18"/>
                      <w:szCs w:val="18"/>
                      <w:vertAlign w:val="superscript"/>
                      <w14:textFill>
                        <w14:solidFill>
                          <w14:schemeClr w14:val="tx1"/>
                        </w14:solidFill>
                      </w14:textFill>
                    </w:rPr>
                    <w:t>3</w:t>
                  </w:r>
                </w:p>
              </w:tc>
              <w:tc>
                <w:tcPr>
                  <w:tcW w:w="529" w:type="pct"/>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排放量</w:t>
                  </w:r>
                </w:p>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kern w:val="0"/>
                      <w:sz w:val="18"/>
                      <w:szCs w:val="18"/>
                      <w:lang w:val="en-US" w:eastAsia="zh-CN"/>
                      <w14:textFill>
                        <w14:solidFill>
                          <w14:schemeClr w14:val="tx1"/>
                        </w14:solidFill>
                      </w14:textFill>
                    </w:rPr>
                    <w:t>t/a</w:t>
                  </w:r>
                </w:p>
              </w:tc>
              <w:tc>
                <w:tcPr>
                  <w:tcW w:w="389"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7"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天然气加热炉</w:t>
                  </w:r>
                </w:p>
              </w:tc>
              <w:tc>
                <w:tcPr>
                  <w:tcW w:w="500" w:type="pct"/>
                  <w:vAlign w:val="center"/>
                </w:tcPr>
                <w:p>
                  <w:pPr>
                    <w:pStyle w:val="4"/>
                    <w:keepNext w:val="0"/>
                    <w:keepLines w:val="0"/>
                    <w:pageBreakBefore w:val="0"/>
                    <w:widowControl w:val="0"/>
                    <w:numPr>
                      <w:ilvl w:val="3"/>
                      <w:numId w:val="0"/>
                    </w:numPr>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t>颗粒物</w:t>
                  </w:r>
                </w:p>
              </w:tc>
              <w:tc>
                <w:tcPr>
                  <w:tcW w:w="434"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14500</w:t>
                  </w:r>
                </w:p>
              </w:tc>
              <w:tc>
                <w:tcPr>
                  <w:tcW w:w="525" w:type="pct"/>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4.5</w:t>
                  </w:r>
                </w:p>
              </w:tc>
              <w:tc>
                <w:tcPr>
                  <w:tcW w:w="858" w:type="dxa"/>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0.1566</w:t>
                  </w:r>
                </w:p>
              </w:tc>
              <w:tc>
                <w:tcPr>
                  <w:tcW w:w="801"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outlineLvl w:val="9"/>
                    <w:rPr>
                      <w:rFonts w:hint="default" w:ascii="Times New Roman" w:hAnsi="Times New Roman" w:cs="Times New Roman" w:eastAsiaTheme="minorEastAsia"/>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eastAsiaTheme="minorEastAsia"/>
                      <w:snapToGrid w:val="0"/>
                      <w:color w:val="000000" w:themeColor="text1"/>
                      <w:kern w:val="0"/>
                      <w:sz w:val="18"/>
                      <w:szCs w:val="18"/>
                      <w:highlight w:val="none"/>
                      <w:lang w:val="en-US" w:eastAsia="zh-CN"/>
                      <w14:textFill>
                        <w14:solidFill>
                          <w14:schemeClr w14:val="tx1"/>
                        </w14:solidFill>
                      </w14:textFill>
                    </w:rPr>
                    <w:t>/</w:t>
                  </w:r>
                </w:p>
              </w:tc>
              <w:tc>
                <w:tcPr>
                  <w:tcW w:w="378"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w:t>
                  </w:r>
                </w:p>
              </w:tc>
              <w:tc>
                <w:tcPr>
                  <w:tcW w:w="840" w:type="dxa"/>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4.5</w:t>
                  </w:r>
                </w:p>
              </w:tc>
              <w:tc>
                <w:tcPr>
                  <w:tcW w:w="840" w:type="dxa"/>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0.1566</w:t>
                  </w:r>
                </w:p>
              </w:tc>
              <w:tc>
                <w:tcPr>
                  <w:tcW w:w="389"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2400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7"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p>
              </w:tc>
              <w:tc>
                <w:tcPr>
                  <w:tcW w:w="500" w:type="pct"/>
                  <w:vAlign w:val="center"/>
                </w:tcPr>
                <w:p>
                  <w:pPr>
                    <w:pStyle w:val="4"/>
                    <w:keepNext w:val="0"/>
                    <w:keepLines w:val="0"/>
                    <w:pageBreakBefore w:val="0"/>
                    <w:widowControl w:val="0"/>
                    <w:numPr>
                      <w:ilvl w:val="3"/>
                      <w:numId w:val="0"/>
                    </w:numPr>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t>SO</w:t>
                  </w:r>
                  <w:r>
                    <w:rPr>
                      <w:rFonts w:hint="default" w:ascii="Times New Roman" w:hAnsi="Times New Roman" w:cs="Times New Roman"/>
                      <w:b w:val="0"/>
                      <w:bCs w:val="0"/>
                      <w:color w:val="000000" w:themeColor="text1"/>
                      <w:sz w:val="18"/>
                      <w:szCs w:val="18"/>
                      <w:highlight w:val="none"/>
                      <w:vertAlign w:val="subscript"/>
                      <w:lang w:val="en-US" w:eastAsia="zh-CN"/>
                      <w14:textFill>
                        <w14:solidFill>
                          <w14:schemeClr w14:val="tx1"/>
                        </w14:solidFill>
                      </w14:textFill>
                    </w:rPr>
                    <w:t>2</w:t>
                  </w:r>
                </w:p>
              </w:tc>
              <w:tc>
                <w:tcPr>
                  <w:tcW w:w="434"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p>
              </w:tc>
              <w:tc>
                <w:tcPr>
                  <w:tcW w:w="858" w:type="dxa"/>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4</w:t>
                  </w:r>
                </w:p>
              </w:tc>
              <w:tc>
                <w:tcPr>
                  <w:tcW w:w="858" w:type="dxa"/>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kern w:val="2"/>
                      <w:sz w:val="18"/>
                      <w:szCs w:val="18"/>
                      <w:highlight w:val="none"/>
                      <w:u w:val="none"/>
                      <w:lang w:val="en-US" w:eastAsia="zh-CN" w:bidi="ar-SA"/>
                      <w14:textFill>
                        <w14:solidFill>
                          <w14:schemeClr w14:val="tx1"/>
                        </w14:solidFill>
                      </w14:textFill>
                    </w:rPr>
                    <w:t>0.1392</w:t>
                  </w:r>
                </w:p>
              </w:tc>
              <w:tc>
                <w:tcPr>
                  <w:tcW w:w="801"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outlineLvl w:val="9"/>
                    <w:rPr>
                      <w:rFonts w:hint="default" w:ascii="Times New Roman" w:hAnsi="Times New Roman" w:cs="Times New Roman" w:eastAsiaTheme="minorEastAsia"/>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eastAsiaTheme="minorEastAsia"/>
                      <w:snapToGrid w:val="0"/>
                      <w:color w:val="000000" w:themeColor="text1"/>
                      <w:kern w:val="0"/>
                      <w:sz w:val="18"/>
                      <w:szCs w:val="18"/>
                      <w:highlight w:val="none"/>
                      <w:lang w:val="en-US" w:eastAsia="zh-CN"/>
                      <w14:textFill>
                        <w14:solidFill>
                          <w14:schemeClr w14:val="tx1"/>
                        </w14:solidFill>
                      </w14:textFill>
                    </w:rPr>
                    <w:t>/</w:t>
                  </w:r>
                </w:p>
              </w:tc>
              <w:tc>
                <w:tcPr>
                  <w:tcW w:w="378"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c>
                <w:tcPr>
                  <w:tcW w:w="529" w:type="pct"/>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4</w:t>
                  </w:r>
                </w:p>
              </w:tc>
              <w:tc>
                <w:tcPr>
                  <w:tcW w:w="865" w:type="dxa"/>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kern w:val="2"/>
                      <w:sz w:val="18"/>
                      <w:szCs w:val="18"/>
                      <w:highlight w:val="none"/>
                      <w:u w:val="none"/>
                      <w:lang w:val="en-US" w:eastAsia="zh-CN" w:bidi="ar-SA"/>
                      <w14:textFill>
                        <w14:solidFill>
                          <w14:schemeClr w14:val="tx1"/>
                        </w14:solidFill>
                      </w14:textFill>
                    </w:rPr>
                    <w:t>0.1392</w:t>
                  </w:r>
                </w:p>
              </w:tc>
              <w:tc>
                <w:tcPr>
                  <w:tcW w:w="389"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387"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p>
              </w:tc>
              <w:tc>
                <w:tcPr>
                  <w:tcW w:w="500" w:type="pct"/>
                  <w:vAlign w:val="center"/>
                </w:tcPr>
                <w:p>
                  <w:pPr>
                    <w:pStyle w:val="4"/>
                    <w:keepNext w:val="0"/>
                    <w:keepLines w:val="0"/>
                    <w:pageBreakBefore w:val="0"/>
                    <w:widowControl w:val="0"/>
                    <w:numPr>
                      <w:ilvl w:val="3"/>
                      <w:numId w:val="0"/>
                    </w:numPr>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t>NO</w:t>
                  </w:r>
                  <w:r>
                    <w:rPr>
                      <w:rFonts w:hint="default" w:ascii="Times New Roman" w:hAnsi="Times New Roman" w:cs="Times New Roman"/>
                      <w:b w:val="0"/>
                      <w:bCs w:val="0"/>
                      <w:color w:val="000000" w:themeColor="text1"/>
                      <w:sz w:val="18"/>
                      <w:szCs w:val="18"/>
                      <w:highlight w:val="none"/>
                      <w:vertAlign w:val="subscript"/>
                      <w:lang w:val="en-US" w:eastAsia="zh-CN"/>
                      <w14:textFill>
                        <w14:solidFill>
                          <w14:schemeClr w14:val="tx1"/>
                        </w14:solidFill>
                      </w14:textFill>
                    </w:rPr>
                    <w:t>x</w:t>
                  </w:r>
                </w:p>
              </w:tc>
              <w:tc>
                <w:tcPr>
                  <w:tcW w:w="434"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p>
              </w:tc>
              <w:tc>
                <w:tcPr>
                  <w:tcW w:w="525" w:type="pct"/>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60</w:t>
                  </w:r>
                </w:p>
              </w:tc>
              <w:tc>
                <w:tcPr>
                  <w:tcW w:w="858" w:type="dxa"/>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2.088</w:t>
                  </w:r>
                </w:p>
              </w:tc>
              <w:tc>
                <w:tcPr>
                  <w:tcW w:w="801"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outlineLvl w:val="9"/>
                    <w:rPr>
                      <w:rFonts w:hint="default" w:ascii="Times New Roman" w:hAnsi="Times New Roman" w:cs="Times New Roman" w:eastAsiaTheme="minorEastAsia"/>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eastAsiaTheme="minorEastAsia"/>
                      <w:snapToGrid w:val="0"/>
                      <w:color w:val="000000" w:themeColor="text1"/>
                      <w:kern w:val="0"/>
                      <w:sz w:val="18"/>
                      <w:szCs w:val="18"/>
                      <w:highlight w:val="none"/>
                      <w:lang w:val="en-US" w:eastAsia="zh-CN"/>
                      <w14:textFill>
                        <w14:solidFill>
                          <w14:schemeClr w14:val="tx1"/>
                        </w14:solidFill>
                      </w14:textFill>
                    </w:rPr>
                    <w:t>选择性催化还原（SCR）脱硝装置</w:t>
                  </w:r>
                </w:p>
              </w:tc>
              <w:tc>
                <w:tcPr>
                  <w:tcW w:w="378"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85</w:t>
                  </w:r>
                </w:p>
              </w:tc>
              <w:tc>
                <w:tcPr>
                  <w:tcW w:w="529" w:type="pct"/>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9</w:t>
                  </w:r>
                </w:p>
              </w:tc>
              <w:tc>
                <w:tcPr>
                  <w:tcW w:w="529"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0.3132</w:t>
                  </w:r>
                </w:p>
              </w:tc>
              <w:tc>
                <w:tcPr>
                  <w:tcW w:w="389"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lang w:val="en-US" w:eastAsia="zh-CN"/>
                      <w14:textFill>
                        <w14:solidFill>
                          <w14:schemeClr w14:val="tx1"/>
                        </w14:solidFill>
                      </w14:textFill>
                    </w:rPr>
                  </w:pPr>
                </w:p>
              </w:tc>
            </w:tr>
          </w:tbl>
          <w:p>
            <w:pPr>
              <w:pStyle w:val="30"/>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项目SCR脱硝装置采用氨水作为还原剂，在脱硝系统运行过程中脱硝系统被喷入的氨一般均高于理论值</w:t>
            </w:r>
            <w:r>
              <w:rPr>
                <w:rFonts w:hint="default" w:ascii="Times New Roman" w:hAnsi="Times New Roman" w:cs="Times New Roman"/>
                <w:bCs/>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t>氨逃逸量</w:t>
            </w:r>
            <w:r>
              <w:rPr>
                <w:rFonts w:hint="default" w:ascii="Times New Roman" w:hAnsi="Times New Roman" w:cs="Times New Roman"/>
                <w:bCs/>
                <w:color w:val="000000" w:themeColor="text1"/>
                <w:kern w:val="0"/>
                <w:sz w:val="21"/>
                <w:szCs w:val="21"/>
                <w:highlight w:val="none"/>
                <w:lang w:val="en-US" w:eastAsia="zh-CN" w:bidi="ar-SA"/>
                <w14:textFill>
                  <w14:solidFill>
                    <w14:schemeClr w14:val="tx1"/>
                  </w14:solidFill>
                </w14:textFill>
              </w:rPr>
              <w:t>监测结果如下：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现有</w:t>
            </w:r>
            <w:r>
              <w:rPr>
                <w:rFonts w:hint="eastAsia" w:eastAsia="黑体" w:cs="Times New Roman"/>
                <w:color w:val="000000" w:themeColor="text1"/>
                <w:sz w:val="21"/>
                <w:szCs w:val="21"/>
                <w:highlight w:val="none"/>
                <w:lang w:val="en-US" w:eastAsia="zh-CN"/>
                <w14:textFill>
                  <w14:solidFill>
                    <w14:schemeClr w14:val="tx1"/>
                  </w14:solidFill>
                </w14:textFill>
              </w:rPr>
              <w:t>工程</w:t>
            </w: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SCR脱销装置出口氨监测结果</w:t>
            </w:r>
          </w:p>
          <w:tbl>
            <w:tblPr>
              <w:tblStyle w:val="22"/>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26"/>
              <w:gridCol w:w="859"/>
              <w:gridCol w:w="1399"/>
              <w:gridCol w:w="1059"/>
              <w:gridCol w:w="1062"/>
              <w:gridCol w:w="1522"/>
              <w:gridCol w:w="125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52" w:type="pct"/>
                  <w:gridSpan w:val="2"/>
                  <w:vMerge w:val="restart"/>
                  <w:tcBorders>
                    <w:tl2br w:val="nil"/>
                    <w:tr2bl w:val="nil"/>
                  </w:tcBorders>
                  <w:vAlign w:val="center"/>
                  <mc:AlternateContent>
                    <mc:Choice Requires="wpsCustomData">
                      <wpsCustomData:diagonals>
                        <wpsCustomData:diagonal from="10000" to="30000">
                          <wpsCustomData:border w:val="single" w:color="auto" w:sz="4" w:space="0"/>
                        </wpsCustomData:diagonal>
                      </wpsCustomData:diagonals>
                    </mc:Choice>
                  </mc:AlternateContent>
                </w:tcPr>
                <w:p>
                  <w:pPr>
                    <w:pStyle w:val="30"/>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p>
                  <w:pPr>
                    <w:pStyle w:val="31"/>
                    <w:keepNext w:val="0"/>
                    <w:keepLines w:val="0"/>
                    <w:pageBreakBefore w:val="0"/>
                    <w:kinsoku/>
                    <w:wordWrap/>
                    <w:overflowPunct/>
                    <w:topLinePunct w:val="0"/>
                    <w:bidi w:val="0"/>
                    <w:adjustRightInd/>
                    <w:snapToGrid/>
                    <w:spacing w:line="320" w:lineRule="exact"/>
                    <w:ind w:firstLine="0" w:firstLineChars="0"/>
                    <w:jc w:val="left"/>
                    <w:rPr>
                      <w:rFonts w:hint="default" w:ascii="Times New Roman" w:hAnsi="Times New Roman" w:cs="Times New Roman"/>
                      <w:bCs/>
                      <w:color w:val="000000" w:themeColor="text1"/>
                      <w:kern w:val="0"/>
                      <w:sz w:val="18"/>
                      <w:szCs w:val="18"/>
                      <w:highlight w:val="none"/>
                      <w:vertAlign w:val="baseline"/>
                      <w:lang w:eastAsia="zh-CN"/>
                      <w14:textFill>
                        <w14:solidFill>
                          <w14:schemeClr w14:val="tx1"/>
                        </w14:solidFill>
                      </w14:textFill>
                    </w:rPr>
                  </w:pPr>
                  <w:r>
                    <w:rPr>
                      <w:rFonts w:hint="default" w:ascii="Times New Roman" w:hAnsi="Times New Roman" w:cs="Times New Roman"/>
                      <w:bCs/>
                      <w:color w:val="000000" w:themeColor="text1"/>
                      <w:kern w:val="0"/>
                      <w:sz w:val="18"/>
                      <w:szCs w:val="18"/>
                      <w:highlight w:val="none"/>
                      <w:vertAlign w:val="baseline"/>
                      <w:lang w:eastAsia="zh-CN"/>
                      <w14:textFill>
                        <w14:solidFill>
                          <w14:schemeClr w14:val="tx1"/>
                        </w14:solidFill>
                      </w14:textFill>
                    </w:rPr>
                    <w:t>时间</w:t>
                  </w:r>
                </w:p>
                <w:p>
                  <w:pPr>
                    <w:pStyle w:val="31"/>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baseline"/>
                    <mc:AlternateContent>
                      <mc:Choice Requires="wpsCustomData">
                        <wpsCustomData:diagonalParaType/>
                      </mc:Choice>
                    </mc:AlternateContent>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bCs/>
                      <w:color w:val="000000" w:themeColor="text1"/>
                      <w:kern w:val="0"/>
                      <w:sz w:val="18"/>
                      <w:szCs w:val="18"/>
                      <w:highlight w:val="none"/>
                      <w:vertAlign w:val="baseline"/>
                      <w:lang w:eastAsia="zh-CN"/>
                      <w14:textFill>
                        <w14:solidFill>
                          <w14:schemeClr w14:val="tx1"/>
                        </w14:solidFill>
                      </w14:textFill>
                    </w:rPr>
                    <w:t>时间</w:t>
                  </w:r>
                </w:p>
                <w:p>
                  <w:pPr>
                    <w:pStyle w:val="30"/>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right"/>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项目</w:t>
                  </w:r>
                </w:p>
              </w:tc>
              <w:tc>
                <w:tcPr>
                  <w:tcW w:w="855" w:type="pct"/>
                  <w:vMerge w:val="restart"/>
                  <w:tcBorders>
                    <w:tl2br w:val="nil"/>
                    <w:tr2bl w:val="nil"/>
                  </w:tcBorders>
                  <w:vAlign w:val="center"/>
                </w:tcPr>
                <w:p>
                  <w:pPr>
                    <w:pStyle w:val="30"/>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highlight w:val="none"/>
                      <w:vertAlign w:val="baseline"/>
                      <w:lang w:eastAsia="zh-CN"/>
                      <w14:textFill>
                        <w14:solidFill>
                          <w14:schemeClr w14:val="tx1"/>
                        </w14:solidFill>
                      </w14:textFill>
                    </w:rPr>
                  </w:pPr>
                  <w:r>
                    <w:rPr>
                      <w:rFonts w:hint="default" w:ascii="Times New Roman" w:hAnsi="Times New Roman" w:cs="Times New Roman"/>
                      <w:bCs/>
                      <w:color w:val="000000" w:themeColor="text1"/>
                      <w:kern w:val="0"/>
                      <w:sz w:val="18"/>
                      <w:szCs w:val="18"/>
                      <w:highlight w:val="none"/>
                      <w:vertAlign w:val="baseline"/>
                      <w:lang w:eastAsia="zh-CN"/>
                      <w14:textFill>
                        <w14:solidFill>
                          <w14:schemeClr w14:val="tx1"/>
                        </w14:solidFill>
                      </w14:textFill>
                    </w:rPr>
                    <w:t>标干流量（</w:t>
                  </w:r>
                  <w: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t>m</w:t>
                  </w:r>
                  <w:r>
                    <w:rPr>
                      <w:rFonts w:hint="default" w:ascii="Times New Roman" w:hAnsi="Times New Roman" w:cs="Times New Roman"/>
                      <w:bCs/>
                      <w:color w:val="000000" w:themeColor="text1"/>
                      <w:kern w:val="0"/>
                      <w:sz w:val="18"/>
                      <w:szCs w:val="18"/>
                      <w:highlight w:val="none"/>
                      <w:vertAlign w:val="superscript"/>
                      <w:lang w:val="en-US" w:eastAsia="zh-CN"/>
                      <w14:textFill>
                        <w14:solidFill>
                          <w14:schemeClr w14:val="tx1"/>
                        </w14:solidFill>
                      </w14:textFill>
                    </w:rPr>
                    <w:t>3</w:t>
                  </w:r>
                  <w: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t>/h</w:t>
                  </w:r>
                  <w:r>
                    <w:rPr>
                      <w:rFonts w:hint="default" w:ascii="Times New Roman" w:hAnsi="Times New Roman" w:cs="Times New Roman"/>
                      <w:bCs/>
                      <w:color w:val="000000" w:themeColor="text1"/>
                      <w:kern w:val="0"/>
                      <w:sz w:val="18"/>
                      <w:szCs w:val="18"/>
                      <w:highlight w:val="none"/>
                      <w:vertAlign w:val="baseline"/>
                      <w:lang w:eastAsia="zh-CN"/>
                      <w14:textFill>
                        <w14:solidFill>
                          <w14:schemeClr w14:val="tx1"/>
                        </w14:solidFill>
                      </w14:textFill>
                    </w:rPr>
                    <w:t>）</w:t>
                  </w:r>
                </w:p>
              </w:tc>
              <w:tc>
                <w:tcPr>
                  <w:tcW w:w="1296" w:type="pct"/>
                  <w:gridSpan w:val="2"/>
                  <w:tcBorders>
                    <w:tl2br w:val="nil"/>
                    <w:tr2bl w:val="nil"/>
                  </w:tcBorders>
                  <w:vAlign w:val="center"/>
                </w:tcPr>
                <w:p>
                  <w:pPr>
                    <w:pStyle w:val="30"/>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t>氨排放浓度</w:t>
                  </w:r>
                  <w:r>
                    <w:rPr>
                      <w:rFonts w:hint="eastAsia" w:ascii="Times New Roman" w:cs="Times New Roman"/>
                      <w:bCs/>
                      <w:color w:val="000000" w:themeColor="text1"/>
                      <w:kern w:val="0"/>
                      <w:sz w:val="18"/>
                      <w:szCs w:val="18"/>
                      <w:highlight w:val="none"/>
                      <w:vertAlign w:val="baseline"/>
                      <w:lang w:eastAsia="zh-CN"/>
                      <w14:textFill>
                        <w14:solidFill>
                          <w14:schemeClr w14:val="tx1"/>
                        </w14:solidFill>
                      </w14:textFill>
                    </w:rPr>
                    <w:t>（</w:t>
                  </w:r>
                  <w:r>
                    <w:rPr>
                      <w:rFonts w:hint="eastAsia" w:ascii="Times New Roman" w:cs="Times New Roman"/>
                      <w:bCs/>
                      <w:color w:val="000000" w:themeColor="text1"/>
                      <w:kern w:val="0"/>
                      <w:sz w:val="18"/>
                      <w:szCs w:val="18"/>
                      <w:highlight w:val="none"/>
                      <w:vertAlign w:val="baseline"/>
                      <w:lang w:val="en-US" w:eastAsia="zh-CN"/>
                      <w14:textFill>
                        <w14:solidFill>
                          <w14:schemeClr w14:val="tx1"/>
                        </w14:solidFill>
                      </w14:textFill>
                    </w:rPr>
                    <w:t>mg/m</w:t>
                  </w:r>
                  <w:r>
                    <w:rPr>
                      <w:rFonts w:hint="eastAsia" w:ascii="Times New Roman" w:cs="Times New Roman"/>
                      <w:bCs/>
                      <w:color w:val="000000" w:themeColor="text1"/>
                      <w:kern w:val="0"/>
                      <w:sz w:val="18"/>
                      <w:szCs w:val="18"/>
                      <w:highlight w:val="none"/>
                      <w:vertAlign w:val="superscript"/>
                      <w:lang w:val="en-US" w:eastAsia="zh-CN"/>
                      <w14:textFill>
                        <w14:solidFill>
                          <w14:schemeClr w14:val="tx1"/>
                        </w14:solidFill>
                      </w14:textFill>
                    </w:rPr>
                    <w:t>3</w:t>
                  </w:r>
                  <w:r>
                    <w:rPr>
                      <w:rFonts w:hint="eastAsia" w:ascii="Times New Roman" w:cs="Times New Roman"/>
                      <w:bCs/>
                      <w:color w:val="000000" w:themeColor="text1"/>
                      <w:kern w:val="0"/>
                      <w:sz w:val="18"/>
                      <w:szCs w:val="18"/>
                      <w:highlight w:val="none"/>
                      <w:vertAlign w:val="baseline"/>
                      <w:lang w:eastAsia="zh-CN"/>
                      <w14:textFill>
                        <w14:solidFill>
                          <w14:schemeClr w14:val="tx1"/>
                        </w14:solidFill>
                      </w14:textFill>
                    </w:rPr>
                    <w:t>）</w:t>
                  </w:r>
                </w:p>
              </w:tc>
              <w:tc>
                <w:tcPr>
                  <w:tcW w:w="930" w:type="pct"/>
                  <w:vMerge w:val="restart"/>
                  <w:tcBorders>
                    <w:tl2br w:val="nil"/>
                    <w:tr2bl w:val="nil"/>
                  </w:tcBorders>
                  <w:vAlign w:val="center"/>
                </w:tcPr>
                <w:p>
                  <w:pPr>
                    <w:pStyle w:val="30"/>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t>氨排放速率</w:t>
                  </w:r>
                  <w:r>
                    <w:rPr>
                      <w:rFonts w:hint="eastAsia" w:ascii="Times New Roman" w:cs="Times New Roman"/>
                      <w:bCs/>
                      <w:color w:val="000000" w:themeColor="text1"/>
                      <w:kern w:val="0"/>
                      <w:sz w:val="18"/>
                      <w:szCs w:val="18"/>
                      <w:highlight w:val="none"/>
                      <w:vertAlign w:val="baseline"/>
                      <w:lang w:val="en-US" w:eastAsia="zh-CN"/>
                      <w14:textFill>
                        <w14:solidFill>
                          <w14:schemeClr w14:val="tx1"/>
                        </w14:solidFill>
                      </w14:textFill>
                    </w:rPr>
                    <w:t>（kg/h）</w:t>
                  </w:r>
                </w:p>
              </w:tc>
              <w:tc>
                <w:tcPr>
                  <w:tcW w:w="764" w:type="pct"/>
                  <w:vMerge w:val="restart"/>
                  <w:tcBorders>
                    <w:tl2br w:val="nil"/>
                    <w:tr2bl w:val="nil"/>
                  </w:tcBorders>
                  <w:vAlign w:val="center"/>
                </w:tcPr>
                <w:p>
                  <w:pPr>
                    <w:pStyle w:val="30"/>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t>含氧量</w:t>
                  </w:r>
                  <w:r>
                    <w:rPr>
                      <w:rFonts w:hint="eastAsia" w:ascii="Times New Roman" w:cs="Times New Roman"/>
                      <w:bCs/>
                      <w:color w:val="000000" w:themeColor="text1"/>
                      <w:kern w:val="0"/>
                      <w:sz w:val="18"/>
                      <w:szCs w:val="18"/>
                      <w:highlight w:val="none"/>
                      <w:vertAlign w:val="baseline"/>
                      <w:lang w:val="en-US" w:eastAsia="zh-CN"/>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52" w:type="pct"/>
                  <w:gridSpan w:val="2"/>
                  <w:vMerge w:val="continue"/>
                  <w:tcBorders>
                    <w:tl2br w:val="nil"/>
                    <w:tr2bl w:val="nil"/>
                  </w:tcBorders>
                  <w:vAlign w:val="center"/>
                </w:tcPr>
                <w:p>
                  <w:pPr>
                    <w:pStyle w:val="30"/>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highlight w:val="none"/>
                      <w:vertAlign w:val="baseline"/>
                      <w:lang w:eastAsia="zh-CN"/>
                      <w14:textFill>
                        <w14:solidFill>
                          <w14:schemeClr w14:val="tx1"/>
                        </w14:solidFill>
                      </w14:textFill>
                    </w:rPr>
                  </w:pPr>
                </w:p>
              </w:tc>
              <w:tc>
                <w:tcPr>
                  <w:tcW w:w="855" w:type="pct"/>
                  <w:vMerge w:val="continue"/>
                  <w:tcBorders>
                    <w:tl2br w:val="nil"/>
                    <w:tr2bl w:val="nil"/>
                  </w:tcBorders>
                  <w:vAlign w:val="center"/>
                </w:tcPr>
                <w:p>
                  <w:pPr>
                    <w:pStyle w:val="30"/>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highlight w:val="none"/>
                      <w:vertAlign w:val="baseline"/>
                      <w:lang w:eastAsia="zh-CN"/>
                      <w14:textFill>
                        <w14:solidFill>
                          <w14:schemeClr w14:val="tx1"/>
                        </w14:solidFill>
                      </w14:textFill>
                    </w:rPr>
                  </w:pPr>
                </w:p>
              </w:tc>
              <w:tc>
                <w:tcPr>
                  <w:tcW w:w="647" w:type="pct"/>
                  <w:tcBorders>
                    <w:tl2br w:val="nil"/>
                    <w:tr2bl w:val="nil"/>
                  </w:tcBorders>
                  <w:vAlign w:val="center"/>
                </w:tcPr>
                <w:p>
                  <w:pPr>
                    <w:pStyle w:val="30"/>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highlight w:val="none"/>
                      <w:vertAlign w:val="baseline"/>
                      <w:lang w:eastAsia="zh-CN"/>
                      <w14:textFill>
                        <w14:solidFill>
                          <w14:schemeClr w14:val="tx1"/>
                        </w14:solidFill>
                      </w14:textFill>
                    </w:rPr>
                  </w:pPr>
                  <w:r>
                    <w:rPr>
                      <w:rFonts w:hint="default" w:ascii="Times New Roman" w:hAnsi="Times New Roman" w:cs="Times New Roman"/>
                      <w:bCs/>
                      <w:color w:val="000000" w:themeColor="text1"/>
                      <w:kern w:val="0"/>
                      <w:sz w:val="18"/>
                      <w:szCs w:val="18"/>
                      <w:highlight w:val="none"/>
                      <w:vertAlign w:val="baseline"/>
                      <w:lang w:eastAsia="zh-CN"/>
                      <w14:textFill>
                        <w14:solidFill>
                          <w14:schemeClr w14:val="tx1"/>
                        </w14:solidFill>
                      </w14:textFill>
                    </w:rPr>
                    <w:t>实测值</w:t>
                  </w:r>
                </w:p>
              </w:tc>
              <w:tc>
                <w:tcPr>
                  <w:tcW w:w="649" w:type="pct"/>
                  <w:tcBorders>
                    <w:tl2br w:val="nil"/>
                    <w:tr2bl w:val="nil"/>
                  </w:tcBorders>
                  <w:vAlign w:val="center"/>
                </w:tcPr>
                <w:p>
                  <w:pPr>
                    <w:pStyle w:val="30"/>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highlight w:val="none"/>
                      <w:vertAlign w:val="baseline"/>
                      <w:lang w:eastAsia="zh-CN"/>
                      <w14:textFill>
                        <w14:solidFill>
                          <w14:schemeClr w14:val="tx1"/>
                        </w14:solidFill>
                      </w14:textFill>
                    </w:rPr>
                  </w:pPr>
                  <w:r>
                    <w:rPr>
                      <w:rFonts w:hint="default" w:ascii="Times New Roman" w:hAnsi="Times New Roman" w:cs="Times New Roman"/>
                      <w:bCs/>
                      <w:color w:val="000000" w:themeColor="text1"/>
                      <w:kern w:val="0"/>
                      <w:sz w:val="18"/>
                      <w:szCs w:val="18"/>
                      <w:highlight w:val="none"/>
                      <w:vertAlign w:val="baseline"/>
                      <w:lang w:eastAsia="zh-CN"/>
                      <w14:textFill>
                        <w14:solidFill>
                          <w14:schemeClr w14:val="tx1"/>
                        </w14:solidFill>
                      </w14:textFill>
                    </w:rPr>
                    <w:t>折算值</w:t>
                  </w:r>
                </w:p>
              </w:tc>
              <w:tc>
                <w:tcPr>
                  <w:tcW w:w="930" w:type="pct"/>
                  <w:vMerge w:val="continue"/>
                  <w:tcBorders>
                    <w:tl2br w:val="nil"/>
                    <w:tr2bl w:val="nil"/>
                  </w:tcBorders>
                  <w:vAlign w:val="center"/>
                </w:tcPr>
                <w:p>
                  <w:pPr>
                    <w:pStyle w:val="30"/>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highlight w:val="none"/>
                      <w:vertAlign w:val="baseline"/>
                      <w:lang w:eastAsia="zh-CN"/>
                      <w14:textFill>
                        <w14:solidFill>
                          <w14:schemeClr w14:val="tx1"/>
                        </w14:solidFill>
                      </w14:textFill>
                    </w:rPr>
                  </w:pPr>
                </w:p>
              </w:tc>
              <w:tc>
                <w:tcPr>
                  <w:tcW w:w="764" w:type="pct"/>
                  <w:vMerge w:val="continue"/>
                  <w:tcBorders>
                    <w:tl2br w:val="nil"/>
                    <w:tr2bl w:val="nil"/>
                  </w:tcBorders>
                  <w:vAlign w:val="center"/>
                </w:tcPr>
                <w:p>
                  <w:pPr>
                    <w:pStyle w:val="30"/>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highlight w:val="none"/>
                      <w:vertAlign w:val="baseline"/>
                      <w:lang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27" w:type="pct"/>
                  <w:vMerge w:val="restart"/>
                  <w:tcBorders>
                    <w:tl2br w:val="nil"/>
                    <w:tr2bl w:val="nil"/>
                  </w:tcBorders>
                  <w:vAlign w:val="center"/>
                </w:tcPr>
                <w:p>
                  <w:pPr>
                    <w:pStyle w:val="30"/>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t>2022.09.21</w:t>
                  </w:r>
                </w:p>
              </w:tc>
              <w:tc>
                <w:tcPr>
                  <w:tcW w:w="525" w:type="pct"/>
                  <w:tcBorders>
                    <w:tl2br w:val="nil"/>
                    <w:tr2bl w:val="nil"/>
                  </w:tcBorders>
                  <w:vAlign w:val="center"/>
                </w:tcPr>
                <w:p>
                  <w:pPr>
                    <w:pStyle w:val="30"/>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t>15:30</w:t>
                  </w:r>
                </w:p>
              </w:tc>
              <w:tc>
                <w:tcPr>
                  <w:tcW w:w="1400" w:type="dxa"/>
                  <w:tcBorders>
                    <w:tl2br w:val="nil"/>
                    <w:tr2bl w:val="nil"/>
                  </w:tcBorders>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1.45</w:t>
                  </w:r>
                  <w:r>
                    <w:rPr>
                      <w:rFonts w:hint="default" w:ascii="Times New Roman" w:hAnsi="Times New Roman" w:eastAsia="宋体" w:cs="Times New Roman"/>
                      <w:b w:val="0"/>
                      <w:bCs w:val="0"/>
                      <w:i w:val="0"/>
                      <w:iCs w:val="0"/>
                      <w:color w:val="000000" w:themeColor="text1"/>
                      <w:kern w:val="0"/>
                      <w:sz w:val="18"/>
                      <w:szCs w:val="18"/>
                      <w:highlight w:val="none"/>
                      <w:u w:val="none"/>
                      <w:lang w:val="en-US" w:eastAsia="zh-CN" w:bidi="ar"/>
                      <w14:textFill>
                        <w14:solidFill>
                          <w14:schemeClr w14:val="tx1"/>
                        </w14:solidFill>
                      </w14:textFill>
                    </w:rPr>
                    <w:t>×10</w:t>
                  </w:r>
                  <w:r>
                    <w:rPr>
                      <w:rFonts w:hint="default" w:ascii="Times New Roman" w:hAnsi="Times New Roman" w:eastAsia="宋体" w:cs="Times New Roman"/>
                      <w:b w:val="0"/>
                      <w:bCs w:val="0"/>
                      <w:i w:val="0"/>
                      <w:iCs w:val="0"/>
                      <w:color w:val="000000" w:themeColor="text1"/>
                      <w:kern w:val="0"/>
                      <w:sz w:val="18"/>
                      <w:szCs w:val="18"/>
                      <w:highlight w:val="none"/>
                      <w:u w:val="none"/>
                      <w:vertAlign w:val="superscript"/>
                      <w:lang w:val="en-US" w:eastAsia="zh-CN" w:bidi="ar"/>
                      <w14:textFill>
                        <w14:solidFill>
                          <w14:schemeClr w14:val="tx1"/>
                        </w14:solidFill>
                      </w14:textFill>
                    </w:rPr>
                    <w:t>4</w:t>
                  </w:r>
                </w:p>
              </w:tc>
              <w:tc>
                <w:tcPr>
                  <w:tcW w:w="1059" w:type="dxa"/>
                  <w:tcBorders>
                    <w:tl2br w:val="nil"/>
                    <w:tr2bl w:val="nil"/>
                  </w:tcBorders>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1.85</w:t>
                  </w:r>
                </w:p>
              </w:tc>
              <w:tc>
                <w:tcPr>
                  <w:tcW w:w="1062" w:type="dxa"/>
                  <w:tcBorders>
                    <w:tl2br w:val="nil"/>
                    <w:tr2bl w:val="nil"/>
                  </w:tcBorders>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4.63</w:t>
                  </w:r>
                </w:p>
              </w:tc>
              <w:tc>
                <w:tcPr>
                  <w:tcW w:w="1522" w:type="dxa"/>
                  <w:tcBorders>
                    <w:tl2br w:val="nil"/>
                    <w:tr2bl w:val="nil"/>
                  </w:tcBorders>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0.0269</w:t>
                  </w:r>
                </w:p>
              </w:tc>
              <w:tc>
                <w:tcPr>
                  <w:tcW w:w="1251" w:type="dxa"/>
                  <w:tcBorders>
                    <w:tl2br w:val="nil"/>
                    <w:tr2bl w:val="nil"/>
                  </w:tcBorders>
                  <w:vAlign w:val="center"/>
                </w:tcPr>
                <w:p>
                  <w:pPr>
                    <w:keepNext w:val="0"/>
                    <w:keepLines w:val="0"/>
                    <w:pageBreakBefore w:val="0"/>
                    <w:widowControl/>
                    <w:suppressLineNumbers w:val="0"/>
                    <w:kinsoku/>
                    <w:wordWrap/>
                    <w:overflowPunct/>
                    <w:topLinePunct w:val="0"/>
                    <w:bidi w:val="0"/>
                    <w:adjustRightInd/>
                    <w:snapToGrid/>
                    <w:spacing w:line="320" w:lineRule="exact"/>
                    <w:ind w:firstLine="0" w:firstLineChars="0"/>
                    <w:jc w:val="center"/>
                    <w:textAlignment w:val="cente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 xml:space="preserve">16.2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27" w:type="pct"/>
                  <w:vMerge w:val="continue"/>
                  <w:tcBorders>
                    <w:tl2br w:val="nil"/>
                    <w:tr2bl w:val="nil"/>
                  </w:tcBorders>
                  <w:vAlign w:val="center"/>
                </w:tcPr>
                <w:p>
                  <w:pPr>
                    <w:pStyle w:val="30"/>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highlight w:val="none"/>
                      <w:vertAlign w:val="baseline"/>
                      <w:lang w:eastAsia="zh-CN"/>
                      <w14:textFill>
                        <w14:solidFill>
                          <w14:schemeClr w14:val="tx1"/>
                        </w14:solidFill>
                      </w14:textFill>
                    </w:rPr>
                  </w:pPr>
                </w:p>
              </w:tc>
              <w:tc>
                <w:tcPr>
                  <w:tcW w:w="525" w:type="pct"/>
                  <w:tcBorders>
                    <w:tl2br w:val="nil"/>
                    <w:tr2bl w:val="nil"/>
                  </w:tcBorders>
                  <w:vAlign w:val="center"/>
                </w:tcPr>
                <w:p>
                  <w:pPr>
                    <w:pStyle w:val="30"/>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t>16:30</w:t>
                  </w:r>
                </w:p>
              </w:tc>
              <w:tc>
                <w:tcPr>
                  <w:tcW w:w="1400" w:type="dxa"/>
                  <w:tcBorders>
                    <w:tl2br w:val="nil"/>
                    <w:tr2bl w:val="nil"/>
                  </w:tcBorders>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1.39</w:t>
                  </w:r>
                  <w:r>
                    <w:rPr>
                      <w:rFonts w:hint="default" w:ascii="Times New Roman" w:hAnsi="Times New Roman" w:eastAsia="宋体" w:cs="Times New Roman"/>
                      <w:b w:val="0"/>
                      <w:bCs w:val="0"/>
                      <w:i w:val="0"/>
                      <w:iCs w:val="0"/>
                      <w:color w:val="000000" w:themeColor="text1"/>
                      <w:kern w:val="0"/>
                      <w:sz w:val="18"/>
                      <w:szCs w:val="18"/>
                      <w:highlight w:val="none"/>
                      <w:u w:val="none"/>
                      <w:lang w:val="en-US" w:eastAsia="zh-CN" w:bidi="ar"/>
                      <w14:textFill>
                        <w14:solidFill>
                          <w14:schemeClr w14:val="tx1"/>
                        </w14:solidFill>
                      </w14:textFill>
                    </w:rPr>
                    <w:t>×10</w:t>
                  </w:r>
                  <w:r>
                    <w:rPr>
                      <w:rFonts w:hint="default" w:ascii="Times New Roman" w:hAnsi="Times New Roman" w:eastAsia="宋体" w:cs="Times New Roman"/>
                      <w:b w:val="0"/>
                      <w:bCs w:val="0"/>
                      <w:i w:val="0"/>
                      <w:iCs w:val="0"/>
                      <w:color w:val="000000" w:themeColor="text1"/>
                      <w:kern w:val="0"/>
                      <w:sz w:val="18"/>
                      <w:szCs w:val="18"/>
                      <w:highlight w:val="none"/>
                      <w:u w:val="none"/>
                      <w:vertAlign w:val="superscript"/>
                      <w:lang w:val="en-US" w:eastAsia="zh-CN" w:bidi="ar"/>
                      <w14:textFill>
                        <w14:solidFill>
                          <w14:schemeClr w14:val="tx1"/>
                        </w14:solidFill>
                      </w14:textFill>
                    </w:rPr>
                    <w:t>4</w:t>
                  </w:r>
                </w:p>
              </w:tc>
              <w:tc>
                <w:tcPr>
                  <w:tcW w:w="1059" w:type="dxa"/>
                  <w:tcBorders>
                    <w:tl2br w:val="nil"/>
                    <w:tr2bl w:val="nil"/>
                  </w:tcBorders>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1.91</w:t>
                  </w:r>
                </w:p>
              </w:tc>
              <w:tc>
                <w:tcPr>
                  <w:tcW w:w="1062" w:type="dxa"/>
                  <w:tcBorders>
                    <w:tl2br w:val="nil"/>
                    <w:tr2bl w:val="nil"/>
                  </w:tcBorders>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4.88</w:t>
                  </w:r>
                </w:p>
              </w:tc>
              <w:tc>
                <w:tcPr>
                  <w:tcW w:w="1522" w:type="dxa"/>
                  <w:tcBorders>
                    <w:tl2br w:val="nil"/>
                    <w:tr2bl w:val="nil"/>
                  </w:tcBorders>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0.0266</w:t>
                  </w:r>
                </w:p>
              </w:tc>
              <w:tc>
                <w:tcPr>
                  <w:tcW w:w="1251" w:type="dxa"/>
                  <w:tcBorders>
                    <w:tl2br w:val="nil"/>
                    <w:tr2bl w:val="nil"/>
                  </w:tcBorders>
                  <w:vAlign w:val="center"/>
                </w:tcPr>
                <w:p>
                  <w:pPr>
                    <w:keepNext w:val="0"/>
                    <w:keepLines w:val="0"/>
                    <w:pageBreakBefore w:val="0"/>
                    <w:widowControl/>
                    <w:suppressLineNumbers w:val="0"/>
                    <w:kinsoku/>
                    <w:wordWrap/>
                    <w:overflowPunct/>
                    <w:topLinePunct w:val="0"/>
                    <w:bidi w:val="0"/>
                    <w:adjustRightInd/>
                    <w:snapToGrid/>
                    <w:spacing w:line="320" w:lineRule="exact"/>
                    <w:ind w:firstLine="0" w:firstLineChars="0"/>
                    <w:jc w:val="center"/>
                    <w:textAlignment w:val="cente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 xml:space="preserve">16.3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27" w:type="pct"/>
                  <w:vMerge w:val="continue"/>
                  <w:tcBorders>
                    <w:tl2br w:val="nil"/>
                    <w:tr2bl w:val="nil"/>
                  </w:tcBorders>
                  <w:vAlign w:val="center"/>
                </w:tcPr>
                <w:p>
                  <w:pPr>
                    <w:pStyle w:val="30"/>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highlight w:val="none"/>
                      <w:vertAlign w:val="baseline"/>
                      <w:lang w:eastAsia="zh-CN"/>
                      <w14:textFill>
                        <w14:solidFill>
                          <w14:schemeClr w14:val="tx1"/>
                        </w14:solidFill>
                      </w14:textFill>
                    </w:rPr>
                  </w:pPr>
                </w:p>
              </w:tc>
              <w:tc>
                <w:tcPr>
                  <w:tcW w:w="525" w:type="pct"/>
                  <w:tcBorders>
                    <w:tl2br w:val="nil"/>
                    <w:tr2bl w:val="nil"/>
                  </w:tcBorders>
                  <w:vAlign w:val="center"/>
                </w:tcPr>
                <w:p>
                  <w:pPr>
                    <w:pStyle w:val="30"/>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highlight w:val="none"/>
                      <w:vertAlign w:val="baseline"/>
                      <w:lang w:eastAsia="zh-CN"/>
                      <w14:textFill>
                        <w14:solidFill>
                          <w14:schemeClr w14:val="tx1"/>
                        </w14:solidFill>
                      </w14:textFill>
                    </w:rPr>
                  </w:pPr>
                  <w: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t>17:30</w:t>
                  </w:r>
                </w:p>
              </w:tc>
              <w:tc>
                <w:tcPr>
                  <w:tcW w:w="1400" w:type="dxa"/>
                  <w:tcBorders>
                    <w:tl2br w:val="nil"/>
                    <w:tr2bl w:val="nil"/>
                  </w:tcBorders>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1.41</w:t>
                  </w:r>
                  <w:r>
                    <w:rPr>
                      <w:rFonts w:hint="default" w:ascii="Times New Roman" w:hAnsi="Times New Roman" w:eastAsia="宋体" w:cs="Times New Roman"/>
                      <w:b w:val="0"/>
                      <w:bCs w:val="0"/>
                      <w:i w:val="0"/>
                      <w:iCs w:val="0"/>
                      <w:color w:val="000000" w:themeColor="text1"/>
                      <w:kern w:val="0"/>
                      <w:sz w:val="18"/>
                      <w:szCs w:val="18"/>
                      <w:highlight w:val="none"/>
                      <w:u w:val="none"/>
                      <w:lang w:val="en-US" w:eastAsia="zh-CN" w:bidi="ar"/>
                      <w14:textFill>
                        <w14:solidFill>
                          <w14:schemeClr w14:val="tx1"/>
                        </w14:solidFill>
                      </w14:textFill>
                    </w:rPr>
                    <w:t>×10</w:t>
                  </w:r>
                  <w:r>
                    <w:rPr>
                      <w:rFonts w:hint="default" w:ascii="Times New Roman" w:hAnsi="Times New Roman" w:eastAsia="宋体" w:cs="Times New Roman"/>
                      <w:b w:val="0"/>
                      <w:bCs w:val="0"/>
                      <w:i w:val="0"/>
                      <w:iCs w:val="0"/>
                      <w:color w:val="000000" w:themeColor="text1"/>
                      <w:kern w:val="0"/>
                      <w:sz w:val="18"/>
                      <w:szCs w:val="18"/>
                      <w:highlight w:val="none"/>
                      <w:u w:val="none"/>
                      <w:vertAlign w:val="superscript"/>
                      <w:lang w:val="en-US" w:eastAsia="zh-CN" w:bidi="ar"/>
                      <w14:textFill>
                        <w14:solidFill>
                          <w14:schemeClr w14:val="tx1"/>
                        </w14:solidFill>
                      </w14:textFill>
                    </w:rPr>
                    <w:t>4</w:t>
                  </w:r>
                </w:p>
              </w:tc>
              <w:tc>
                <w:tcPr>
                  <w:tcW w:w="1059" w:type="dxa"/>
                  <w:tcBorders>
                    <w:tl2br w:val="nil"/>
                    <w:tr2bl w:val="nil"/>
                  </w:tcBorders>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1.72</w:t>
                  </w:r>
                </w:p>
              </w:tc>
              <w:tc>
                <w:tcPr>
                  <w:tcW w:w="1062" w:type="dxa"/>
                  <w:tcBorders>
                    <w:tl2br w:val="nil"/>
                    <w:tr2bl w:val="nil"/>
                  </w:tcBorders>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4.21</w:t>
                  </w:r>
                </w:p>
              </w:tc>
              <w:tc>
                <w:tcPr>
                  <w:tcW w:w="1522" w:type="dxa"/>
                  <w:tcBorders>
                    <w:tl2br w:val="nil"/>
                    <w:tr2bl w:val="nil"/>
                  </w:tcBorders>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0.0243</w:t>
                  </w:r>
                </w:p>
              </w:tc>
              <w:tc>
                <w:tcPr>
                  <w:tcW w:w="1251" w:type="dxa"/>
                  <w:tcBorders>
                    <w:tl2br w:val="nil"/>
                    <w:tr2bl w:val="nil"/>
                  </w:tcBorders>
                  <w:vAlign w:val="center"/>
                </w:tcPr>
                <w:p>
                  <w:pPr>
                    <w:keepNext w:val="0"/>
                    <w:keepLines w:val="0"/>
                    <w:pageBreakBefore w:val="0"/>
                    <w:widowControl/>
                    <w:suppressLineNumbers w:val="0"/>
                    <w:kinsoku/>
                    <w:wordWrap/>
                    <w:overflowPunct/>
                    <w:topLinePunct w:val="0"/>
                    <w:bidi w:val="0"/>
                    <w:adjustRightInd/>
                    <w:snapToGrid/>
                    <w:spacing w:line="320" w:lineRule="exact"/>
                    <w:ind w:firstLine="0" w:firstLineChars="0"/>
                    <w:jc w:val="center"/>
                    <w:textAlignment w:val="cente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 xml:space="preserve">16.1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27" w:type="pct"/>
                  <w:vMerge w:val="continue"/>
                  <w:tcBorders>
                    <w:tl2br w:val="nil"/>
                    <w:tr2bl w:val="nil"/>
                  </w:tcBorders>
                  <w:vAlign w:val="center"/>
                </w:tcPr>
                <w:p>
                  <w:pPr>
                    <w:pStyle w:val="30"/>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highlight w:val="none"/>
                      <w:vertAlign w:val="baseline"/>
                      <w:lang w:eastAsia="zh-CN"/>
                      <w14:textFill>
                        <w14:solidFill>
                          <w14:schemeClr w14:val="tx1"/>
                        </w14:solidFill>
                      </w14:textFill>
                    </w:rPr>
                  </w:pPr>
                </w:p>
              </w:tc>
              <w:tc>
                <w:tcPr>
                  <w:tcW w:w="525" w:type="pct"/>
                  <w:tcBorders>
                    <w:tl2br w:val="nil"/>
                    <w:tr2bl w:val="nil"/>
                  </w:tcBorders>
                  <w:vAlign w:val="center"/>
                </w:tcPr>
                <w:p>
                  <w:pPr>
                    <w:pStyle w:val="30"/>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t>均值</w:t>
                  </w:r>
                </w:p>
              </w:tc>
              <w:tc>
                <w:tcPr>
                  <w:tcW w:w="1400" w:type="dxa"/>
                  <w:tcBorders>
                    <w:tl2br w:val="nil"/>
                    <w:tr2bl w:val="nil"/>
                  </w:tcBorders>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1.42</w:t>
                  </w:r>
                  <w:r>
                    <w:rPr>
                      <w:rFonts w:hint="default" w:ascii="Times New Roman" w:hAnsi="Times New Roman" w:eastAsia="宋体" w:cs="Times New Roman"/>
                      <w:b w:val="0"/>
                      <w:bCs w:val="0"/>
                      <w:i w:val="0"/>
                      <w:iCs w:val="0"/>
                      <w:color w:val="000000" w:themeColor="text1"/>
                      <w:kern w:val="0"/>
                      <w:sz w:val="18"/>
                      <w:szCs w:val="18"/>
                      <w:highlight w:val="none"/>
                      <w:u w:val="none"/>
                      <w:lang w:val="en-US" w:eastAsia="zh-CN" w:bidi="ar"/>
                      <w14:textFill>
                        <w14:solidFill>
                          <w14:schemeClr w14:val="tx1"/>
                        </w14:solidFill>
                      </w14:textFill>
                    </w:rPr>
                    <w:t>×10</w:t>
                  </w:r>
                  <w:r>
                    <w:rPr>
                      <w:rFonts w:hint="default" w:ascii="Times New Roman" w:hAnsi="Times New Roman" w:eastAsia="宋体" w:cs="Times New Roman"/>
                      <w:b w:val="0"/>
                      <w:bCs w:val="0"/>
                      <w:i w:val="0"/>
                      <w:iCs w:val="0"/>
                      <w:color w:val="000000" w:themeColor="text1"/>
                      <w:kern w:val="0"/>
                      <w:sz w:val="18"/>
                      <w:szCs w:val="18"/>
                      <w:highlight w:val="none"/>
                      <w:u w:val="none"/>
                      <w:vertAlign w:val="superscript"/>
                      <w:lang w:val="en-US" w:eastAsia="zh-CN" w:bidi="ar"/>
                      <w14:textFill>
                        <w14:solidFill>
                          <w14:schemeClr w14:val="tx1"/>
                        </w14:solidFill>
                      </w14:textFill>
                    </w:rPr>
                    <w:t>4</w:t>
                  </w:r>
                </w:p>
              </w:tc>
              <w:tc>
                <w:tcPr>
                  <w:tcW w:w="1059" w:type="dxa"/>
                  <w:tcBorders>
                    <w:tl2br w:val="nil"/>
                    <w:tr2bl w:val="nil"/>
                  </w:tcBorders>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1.83</w:t>
                  </w:r>
                </w:p>
              </w:tc>
              <w:tc>
                <w:tcPr>
                  <w:tcW w:w="1062" w:type="dxa"/>
                  <w:tcBorders>
                    <w:tl2br w:val="nil"/>
                    <w:tr2bl w:val="nil"/>
                  </w:tcBorders>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4.57</w:t>
                  </w:r>
                </w:p>
              </w:tc>
              <w:tc>
                <w:tcPr>
                  <w:tcW w:w="1522" w:type="dxa"/>
                  <w:tcBorders>
                    <w:tl2br w:val="nil"/>
                    <w:tr2bl w:val="nil"/>
                  </w:tcBorders>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0.0259</w:t>
                  </w:r>
                </w:p>
              </w:tc>
              <w:tc>
                <w:tcPr>
                  <w:tcW w:w="1251" w:type="dxa"/>
                  <w:tcBorders>
                    <w:tl2br w:val="nil"/>
                    <w:tr2bl w:val="nil"/>
                  </w:tcBorders>
                  <w:vAlign w:val="center"/>
                </w:tcPr>
                <w:p>
                  <w:pPr>
                    <w:keepNext w:val="0"/>
                    <w:keepLines w:val="0"/>
                    <w:pageBreakBefore w:val="0"/>
                    <w:widowControl/>
                    <w:suppressLineNumbers w:val="0"/>
                    <w:kinsoku/>
                    <w:wordWrap/>
                    <w:overflowPunct/>
                    <w:topLinePunct w:val="0"/>
                    <w:bidi w:val="0"/>
                    <w:adjustRightInd/>
                    <w:snapToGrid/>
                    <w:spacing w:line="320" w:lineRule="exact"/>
                    <w:ind w:firstLine="0" w:firstLineChars="0"/>
                    <w:jc w:val="center"/>
                    <w:textAlignment w:val="center"/>
                    <w:rPr>
                      <w:rFonts w:hint="default" w:ascii="Times New Roman" w:hAnsi="Times New Roman" w:cs="Times New Roman"/>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 xml:space="preserve">16.2 </w:t>
                  </w:r>
                </w:p>
              </w:tc>
            </w:tr>
          </w:tbl>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b/>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t>现有工程天然气加热炉年工作时间按照2400h计算（年工作300天，每天工作8h），本次评价取监测结果</w:t>
            </w:r>
            <w:r>
              <w:rPr>
                <w:rFonts w:hint="default" w:ascii="Times New Roman" w:hAnsi="Times New Roman" w:cs="Times New Roman"/>
                <w:bCs/>
                <w:color w:val="000000" w:themeColor="text1"/>
                <w:kern w:val="0"/>
                <w:sz w:val="21"/>
                <w:szCs w:val="21"/>
                <w:highlight w:val="none"/>
                <w:lang w:val="en-US" w:eastAsia="zh-CN" w:bidi="ar-SA"/>
                <w14:textFill>
                  <w14:solidFill>
                    <w14:schemeClr w14:val="tx1"/>
                  </w14:solidFill>
                </w14:textFill>
              </w:rPr>
              <w:t>最大</w:t>
            </w:r>
            <w:r>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t>值计算，经计算氨逃逸量为0.0646t/a。</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
                <w:bCs w:val="0"/>
                <w:color w:val="000000" w:themeColor="text1"/>
                <w:kern w:val="0"/>
                <w:sz w:val="21"/>
                <w:szCs w:val="21"/>
                <w:highlight w:val="none"/>
                <w14:textFill>
                  <w14:solidFill>
                    <w14:schemeClr w14:val="tx1"/>
                  </w14:solidFill>
                </w14:textFill>
              </w:rPr>
            </w:pPr>
            <w:r>
              <w:rPr>
                <w:rFonts w:hint="default" w:ascii="Times New Roman" w:hAnsi="Times New Roman" w:cs="Times New Roman"/>
                <w:b/>
                <w:bCs w:val="0"/>
                <w:color w:val="000000" w:themeColor="text1"/>
                <w:kern w:val="0"/>
                <w:sz w:val="21"/>
                <w:szCs w:val="21"/>
                <w:highlight w:val="none"/>
                <w:lang w:eastAsia="zh-CN"/>
                <w14:textFill>
                  <w14:solidFill>
                    <w14:schemeClr w14:val="tx1"/>
                  </w14:solidFill>
                </w14:textFill>
              </w:rPr>
              <w:t>（</w:t>
            </w:r>
            <w:r>
              <w:rPr>
                <w:rFonts w:hint="default" w:ascii="Times New Roman" w:hAnsi="Times New Roman" w:cs="Times New Roman"/>
                <w:b/>
                <w:bCs w:val="0"/>
                <w:color w:val="000000" w:themeColor="text1"/>
                <w:kern w:val="0"/>
                <w:sz w:val="21"/>
                <w:szCs w:val="21"/>
                <w:highlight w:val="none"/>
                <w:lang w:val="en-US" w:eastAsia="zh-CN"/>
                <w14:textFill>
                  <w14:solidFill>
                    <w14:schemeClr w14:val="tx1"/>
                  </w14:solidFill>
                </w14:textFill>
              </w:rPr>
              <w:t>2</w:t>
            </w:r>
            <w:r>
              <w:rPr>
                <w:rFonts w:hint="default" w:ascii="Times New Roman" w:hAnsi="Times New Roman" w:cs="Times New Roman"/>
                <w:b/>
                <w:bCs w:val="0"/>
                <w:color w:val="000000" w:themeColor="text1"/>
                <w:kern w:val="0"/>
                <w:sz w:val="21"/>
                <w:szCs w:val="21"/>
                <w:highlight w:val="none"/>
                <w:lang w:eastAsia="zh-CN"/>
                <w14:textFill>
                  <w14:solidFill>
                    <w14:schemeClr w14:val="tx1"/>
                  </w14:solidFill>
                </w14:textFill>
              </w:rPr>
              <w:t>）</w:t>
            </w:r>
            <w:r>
              <w:rPr>
                <w:rFonts w:hint="default" w:ascii="Times New Roman" w:hAnsi="Times New Roman" w:cs="Times New Roman"/>
                <w:b/>
                <w:bCs w:val="0"/>
                <w:color w:val="000000" w:themeColor="text1"/>
                <w:kern w:val="0"/>
                <w:sz w:val="21"/>
                <w:szCs w:val="21"/>
                <w:highlight w:val="none"/>
                <w14:textFill>
                  <w14:solidFill>
                    <w14:schemeClr w14:val="tx1"/>
                  </w14:solidFill>
                </w14:textFill>
              </w:rPr>
              <w:t>废水</w:t>
            </w:r>
          </w:p>
          <w:p>
            <w:pPr>
              <w:pStyle w:val="20"/>
              <w:keepNext w:val="0"/>
              <w:keepLines w:val="0"/>
              <w:pageBreakBefore w:val="0"/>
              <w:widowControl w:val="0"/>
              <w:kinsoku/>
              <w:wordWrap/>
              <w:overflowPunct/>
              <w:topLinePunct w:val="0"/>
              <w:bidi w:val="0"/>
              <w:adjustRightInd/>
              <w:snapToGrid/>
              <w:spacing w:after="0" w:line="360" w:lineRule="auto"/>
              <w:ind w:left="0" w:leftChars="0" w:firstLine="420" w:firstLineChars="20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eastAsia="zh-CN"/>
                <w14:textFill>
                  <w14:solidFill>
                    <w14:schemeClr w14:val="tx1"/>
                  </w14:solidFill>
                </w14:textFill>
              </w:rPr>
              <w:t>现有工程外排废水主要</w:t>
            </w:r>
            <w:r>
              <w:rPr>
                <w:rFonts w:hint="eastAsia" w:cs="Times New Roman"/>
                <w:bCs/>
                <w:color w:val="000000" w:themeColor="text1"/>
                <w:kern w:val="0"/>
                <w:sz w:val="21"/>
                <w:szCs w:val="21"/>
                <w:highlight w:val="none"/>
                <w:lang w:val="en-US" w:eastAsia="zh-CN"/>
                <w14:textFill>
                  <w14:solidFill>
                    <w14:schemeClr w14:val="tx1"/>
                  </w14:solidFill>
                </w14:textFill>
              </w:rPr>
              <w:t>为生活污水，企业委托河南昶宜监测技术研究院有限公司于2022年3月30日对项目厂区生活污水总排口废水水质进行了实测，由于</w:t>
            </w:r>
            <w:r>
              <w:rPr>
                <w:rFonts w:hint="default" w:ascii="Times New Roman" w:hAnsi="Times New Roman" w:eastAsia="宋体" w:cs="Times New Roman"/>
                <w:bCs/>
                <w:color w:val="000000" w:themeColor="text1"/>
                <w:kern w:val="0"/>
                <w:sz w:val="21"/>
                <w:szCs w:val="21"/>
                <w:highlight w:val="none"/>
                <w:lang w:eastAsia="zh-CN"/>
                <w14:textFill>
                  <w14:solidFill>
                    <w14:schemeClr w14:val="tx1"/>
                  </w14:solidFill>
                </w14:textFill>
              </w:rPr>
              <w:t>监测期间无法形成稳定流量</w:t>
            </w:r>
            <w:r>
              <w:rPr>
                <w:rFonts w:hint="eastAsia" w:cs="Times New Roman"/>
                <w:bCs/>
                <w:color w:val="000000" w:themeColor="text1"/>
                <w:kern w:val="0"/>
                <w:sz w:val="21"/>
                <w:szCs w:val="21"/>
                <w:highlight w:val="none"/>
                <w:lang w:eastAsia="zh-CN"/>
                <w14:textFill>
                  <w14:solidFill>
                    <w14:schemeClr w14:val="tx1"/>
                  </w14:solidFill>
                </w14:textFill>
              </w:rPr>
              <w:t>，因此仅对水质情况进行监测，废水量则</w:t>
            </w:r>
            <w:r>
              <w:rPr>
                <w:rFonts w:hint="eastAsia" w:cs="Times New Roman"/>
                <w:b w:val="0"/>
                <w:bCs w:val="0"/>
                <w:color w:val="000000" w:themeColor="text1"/>
                <w:sz w:val="21"/>
                <w:szCs w:val="21"/>
                <w:highlight w:val="none"/>
                <w:vertAlign w:val="baseline"/>
                <w:lang w:eastAsia="zh-CN"/>
                <w14:textFill>
                  <w14:solidFill>
                    <w14:schemeClr w14:val="tx1"/>
                  </w14:solidFill>
                </w14:textFill>
              </w:rPr>
              <w:t>根据相关标准进行核算。根据调查，目前</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现有工程劳动定员40人，</w:t>
            </w:r>
            <w:r>
              <w:rPr>
                <w:rFonts w:hint="eastAsia" w:cs="Times New Roman"/>
                <w:bCs/>
                <w:color w:val="000000" w:themeColor="text1"/>
                <w:kern w:val="0"/>
                <w:sz w:val="21"/>
                <w:szCs w:val="21"/>
                <w:highlight w:val="none"/>
                <w:lang w:eastAsia="zh-CN"/>
                <w14:textFill>
                  <w14:solidFill>
                    <w14:schemeClr w14:val="tx1"/>
                  </w14:solidFill>
                </w14:textFill>
              </w:rPr>
              <w:t>依据</w:t>
            </w:r>
            <w:r>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t>《</w:t>
            </w:r>
            <w:r>
              <w:rPr>
                <w:rFonts w:hint="default" w:ascii="Times New Roman" w:hAnsi="Times New Roman" w:cs="Times New Roman"/>
                <w:b w:val="0"/>
                <w:bCs w:val="0"/>
                <w:color w:val="000000" w:themeColor="text1"/>
                <w:sz w:val="21"/>
                <w:szCs w:val="21"/>
                <w:highlight w:val="none"/>
                <w:vertAlign w:val="baseline"/>
                <w:lang w:eastAsia="zh-CN"/>
                <w14:textFill>
                  <w14:solidFill>
                    <w14:schemeClr w14:val="tx1"/>
                  </w14:solidFill>
                </w14:textFill>
              </w:rPr>
              <w:t>建筑给水排水标准</w:t>
            </w:r>
            <w:r>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t>》（GB50015-2019）</w:t>
            </w:r>
            <w:r>
              <w:rPr>
                <w:rFonts w:hint="eastAsia" w:cs="Times New Roman"/>
                <w:b w:val="0"/>
                <w:bCs w:val="0"/>
                <w:color w:val="000000" w:themeColor="text1"/>
                <w:sz w:val="21"/>
                <w:szCs w:val="21"/>
                <w:highlight w:val="none"/>
                <w:vertAlign w:val="baseli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t>职工生活用水量按</w:t>
            </w: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40</w:t>
            </w:r>
            <w:r>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t>L/（</w:t>
            </w: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p</w:t>
            </w:r>
            <w:r>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t>·d）计</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，则生活污水量为1.6</w:t>
            </w:r>
            <w:r>
              <w:rPr>
                <w:rFonts w:hint="default" w:ascii="Times New Roman" w:hAnsi="Times New Roman" w:cs="Times New Roman"/>
                <w:bCs/>
                <w:color w:val="000000" w:themeColor="text1"/>
                <w:kern w:val="0"/>
                <w:sz w:val="21"/>
                <w:szCs w:val="21"/>
                <w:highlight w:val="none"/>
                <w14:textFill>
                  <w14:solidFill>
                    <w14:schemeClr w14:val="tx1"/>
                  </w14:solidFill>
                </w14:textFill>
              </w:rPr>
              <w:t>m</w:t>
            </w:r>
            <w:r>
              <w:rPr>
                <w:rFonts w:hint="default" w:ascii="Times New Roman" w:hAnsi="Times New Roman" w:cs="Times New Roman"/>
                <w:bCs/>
                <w:color w:val="000000" w:themeColor="text1"/>
                <w:kern w:val="0"/>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kern w:val="0"/>
                <w:sz w:val="21"/>
                <w:szCs w:val="21"/>
                <w:highlight w:val="none"/>
                <w14:textFill>
                  <w14:solidFill>
                    <w14:schemeClr w14:val="tx1"/>
                  </w14:solidFill>
                </w14:textFill>
              </w:rPr>
              <w:t>/</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d（480</w:t>
            </w:r>
            <w:r>
              <w:rPr>
                <w:rFonts w:hint="default" w:ascii="Times New Roman" w:hAnsi="Times New Roman" w:cs="Times New Roman"/>
                <w:bCs/>
                <w:color w:val="000000" w:themeColor="text1"/>
                <w:kern w:val="0"/>
                <w:sz w:val="21"/>
                <w:szCs w:val="21"/>
                <w:highlight w:val="none"/>
                <w14:textFill>
                  <w14:solidFill>
                    <w14:schemeClr w14:val="tx1"/>
                  </w14:solidFill>
                </w14:textFill>
              </w:rPr>
              <w:t>m</w:t>
            </w:r>
            <w:r>
              <w:rPr>
                <w:rFonts w:hint="default" w:ascii="Times New Roman" w:hAnsi="Times New Roman" w:cs="Times New Roman"/>
                <w:bCs/>
                <w:color w:val="000000" w:themeColor="text1"/>
                <w:kern w:val="0"/>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kern w:val="0"/>
                <w:sz w:val="21"/>
                <w:szCs w:val="21"/>
                <w:highlight w:val="none"/>
                <w14:textFill>
                  <w14:solidFill>
                    <w14:schemeClr w14:val="tx1"/>
                  </w14:solidFill>
                </w14:textFill>
              </w:rPr>
              <w:t>/</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a），排污系数取0.8，则生活污水产生量为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1.28</w:t>
            </w:r>
            <w:r>
              <w:rPr>
                <w:rFonts w:hint="default" w:ascii="Times New Roman" w:hAnsi="Times New Roman" w:cs="Times New Roman"/>
                <w:bCs/>
                <w:color w:val="000000" w:themeColor="text1"/>
                <w:kern w:val="0"/>
                <w:sz w:val="21"/>
                <w:szCs w:val="21"/>
                <w:highlight w:val="none"/>
                <w14:textFill>
                  <w14:solidFill>
                    <w14:schemeClr w14:val="tx1"/>
                  </w14:solidFill>
                </w14:textFill>
              </w:rPr>
              <w:t>m</w:t>
            </w:r>
            <w:r>
              <w:rPr>
                <w:rFonts w:hint="default" w:ascii="Times New Roman" w:hAnsi="Times New Roman" w:cs="Times New Roman"/>
                <w:bCs/>
                <w:color w:val="000000" w:themeColor="text1"/>
                <w:kern w:val="0"/>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kern w:val="0"/>
                <w:sz w:val="21"/>
                <w:szCs w:val="21"/>
                <w:highlight w:val="none"/>
                <w14:textFill>
                  <w14:solidFill>
                    <w14:schemeClr w14:val="tx1"/>
                  </w14:solidFill>
                </w14:textFill>
              </w:rPr>
              <w:t>/</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d（384</w:t>
            </w:r>
            <w:r>
              <w:rPr>
                <w:rFonts w:hint="default" w:ascii="Times New Roman" w:hAnsi="Times New Roman" w:cs="Times New Roman"/>
                <w:bCs/>
                <w:color w:val="000000" w:themeColor="text1"/>
                <w:kern w:val="0"/>
                <w:sz w:val="21"/>
                <w:szCs w:val="21"/>
                <w:highlight w:val="none"/>
                <w14:textFill>
                  <w14:solidFill>
                    <w14:schemeClr w14:val="tx1"/>
                  </w14:solidFill>
                </w14:textFill>
              </w:rPr>
              <w:t>m</w:t>
            </w:r>
            <w:r>
              <w:rPr>
                <w:rFonts w:hint="default" w:ascii="Times New Roman" w:hAnsi="Times New Roman" w:cs="Times New Roman"/>
                <w:bCs/>
                <w:color w:val="000000" w:themeColor="text1"/>
                <w:kern w:val="0"/>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kern w:val="0"/>
                <w:sz w:val="21"/>
                <w:szCs w:val="21"/>
                <w:highlight w:val="none"/>
                <w14:textFill>
                  <w14:solidFill>
                    <w14:schemeClr w14:val="tx1"/>
                  </w14:solidFill>
                </w14:textFill>
              </w:rPr>
              <w:t>/</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a），目前生活污水均通过厂区内设置化粪池进行处理后，通过区域污水管网排入新乡县综合污水处理厂进一步处理。</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具体监测结果统计如下：</w:t>
            </w:r>
          </w:p>
          <w:p>
            <w:pPr>
              <w:rPr>
                <w:rFonts w:hint="default"/>
                <w:color w:val="000000" w:themeColor="text1"/>
                <w:lang w:val="en-US" w:eastAsia="zh-CN"/>
                <w14:textFill>
                  <w14:solidFill>
                    <w14:schemeClr w14:val="tx1"/>
                  </w14:solidFill>
                </w14:textFill>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项目污水产排情况一览表</w:t>
            </w:r>
          </w:p>
          <w:tbl>
            <w:tblPr>
              <w:tblStyle w:val="22"/>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1093"/>
              <w:gridCol w:w="1771"/>
              <w:gridCol w:w="1501"/>
              <w:gridCol w:w="265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采样点位</w:t>
                  </w:r>
                </w:p>
              </w:tc>
              <w:tc>
                <w:tcPr>
                  <w:tcW w:w="66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采样时间</w:t>
                  </w:r>
                </w:p>
              </w:tc>
              <w:tc>
                <w:tcPr>
                  <w:tcW w:w="108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污染因子</w:t>
                  </w:r>
                </w:p>
              </w:tc>
              <w:tc>
                <w:tcPr>
                  <w:tcW w:w="2538" w:type="pct"/>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排放浓度（mg/L）</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0"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厂区生活污水总排口</w:t>
                  </w:r>
                </w:p>
              </w:tc>
              <w:tc>
                <w:tcPr>
                  <w:tcW w:w="668"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2022.03.30</w:t>
                  </w:r>
                </w:p>
              </w:tc>
              <w:tc>
                <w:tcPr>
                  <w:tcW w:w="108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pH</w:t>
                  </w:r>
                </w:p>
              </w:tc>
              <w:tc>
                <w:tcPr>
                  <w:tcW w:w="9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监测结果</w:t>
                  </w:r>
                </w:p>
              </w:tc>
              <w:tc>
                <w:tcPr>
                  <w:tcW w:w="162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7.1（20.3</w:t>
                  </w: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w:t>
                  </w: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0"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p>
              </w:tc>
              <w:tc>
                <w:tcPr>
                  <w:tcW w:w="668"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p>
              </w:tc>
              <w:tc>
                <w:tcPr>
                  <w:tcW w:w="108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COD</w:t>
                  </w:r>
                </w:p>
              </w:tc>
              <w:tc>
                <w:tcPr>
                  <w:tcW w:w="9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监测结果</w:t>
                  </w:r>
                </w:p>
              </w:tc>
              <w:tc>
                <w:tcPr>
                  <w:tcW w:w="162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40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0"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p>
              </w:tc>
              <w:tc>
                <w:tcPr>
                  <w:tcW w:w="668"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p>
              </w:tc>
              <w:tc>
                <w:tcPr>
                  <w:tcW w:w="108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SS</w:t>
                  </w:r>
                </w:p>
              </w:tc>
              <w:tc>
                <w:tcPr>
                  <w:tcW w:w="9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监测结果</w:t>
                  </w:r>
                </w:p>
              </w:tc>
              <w:tc>
                <w:tcPr>
                  <w:tcW w:w="162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0"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p>
              </w:tc>
              <w:tc>
                <w:tcPr>
                  <w:tcW w:w="668"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p>
              </w:tc>
              <w:tc>
                <w:tcPr>
                  <w:tcW w:w="108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NH</w:t>
                  </w:r>
                  <w:r>
                    <w:rPr>
                      <w:rFonts w:hint="default" w:ascii="Times New Roman" w:hAnsi="Times New Roman" w:cs="Times New Roman"/>
                      <w:color w:val="000000" w:themeColor="text1"/>
                      <w:sz w:val="18"/>
                      <w:szCs w:val="18"/>
                      <w:vertAlign w:val="subscript"/>
                      <w:lang w:val="en-US" w:eastAsia="zh-CN"/>
                      <w14:textFill>
                        <w14:solidFill>
                          <w14:schemeClr w14:val="tx1"/>
                        </w14:solidFill>
                      </w14:textFill>
                    </w:rPr>
                    <w:t>3</w:t>
                  </w: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-N</w:t>
                  </w:r>
                </w:p>
              </w:tc>
              <w:tc>
                <w:tcPr>
                  <w:tcW w:w="9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监测结果</w:t>
                  </w:r>
                </w:p>
              </w:tc>
              <w:tc>
                <w:tcPr>
                  <w:tcW w:w="162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1.69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0"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p>
              </w:tc>
              <w:tc>
                <w:tcPr>
                  <w:tcW w:w="668"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p>
              </w:tc>
              <w:tc>
                <w:tcPr>
                  <w:tcW w:w="108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TP</w:t>
                  </w:r>
                </w:p>
              </w:tc>
              <w:tc>
                <w:tcPr>
                  <w:tcW w:w="91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监测结果</w:t>
                  </w:r>
                </w:p>
              </w:tc>
              <w:tc>
                <w:tcPr>
                  <w:tcW w:w="1620"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0.26</w:t>
                  </w:r>
                </w:p>
              </w:tc>
            </w:tr>
          </w:tbl>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由上表可知，现有工程总排口废水能够满足新乡县综合污水处理厂收水标准（COD400mg/L、SS180mg/L、NH</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-N59mg/L、TP4mg/L）以及《污水综合排放标准》（GB8978-1996）表4三级标准要求（COD500mg/L、SS200mg/L）。</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新乡县综合污水处理厂处理后出水</w:t>
            </w:r>
            <w:r>
              <w:rPr>
                <w:rFonts w:hint="default" w:ascii="Times New Roman" w:hAnsi="Times New Roman" w:cs="Times New Roman"/>
                <w:color w:val="000000" w:themeColor="text1"/>
                <w:highlight w:val="none"/>
                <w14:textFill>
                  <w14:solidFill>
                    <w14:schemeClr w14:val="tx1"/>
                  </w14:solidFill>
                </w14:textFill>
              </w:rPr>
              <w:t>排入东孟姜女河，最终汇入卫河</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出水水质达到</w:t>
            </w:r>
            <w:r>
              <w:rPr>
                <w:rFonts w:hint="default" w:ascii="Times New Roman" w:hAnsi="Times New Roman" w:cs="Times New Roman"/>
                <w:color w:val="000000" w:themeColor="text1"/>
                <w:szCs w:val="21"/>
                <w:highlight w:val="none"/>
                <w14:textFill>
                  <w14:solidFill>
                    <w14:schemeClr w14:val="tx1"/>
                  </w14:solidFill>
                </w14:textFill>
              </w:rPr>
              <w:t>《地表水环境质量标准》（GB3838-2002）</w:t>
            </w:r>
            <w:r>
              <w:rPr>
                <w:rFonts w:hint="default" w:ascii="Times New Roman" w:hAnsi="Times New Roman" w:cs="Times New Roman"/>
                <w:color w:val="000000" w:themeColor="text1"/>
                <w:szCs w:val="21"/>
                <w:highlight w:val="none"/>
                <w14:textFill>
                  <w14:solidFill>
                    <w14:schemeClr w14:val="tx1"/>
                  </w14:solidFill>
                </w14:textFill>
              </w:rPr>
              <w:fldChar w:fldCharType="begin"/>
            </w:r>
            <w:r>
              <w:rPr>
                <w:rFonts w:hint="default" w:ascii="Times New Roman" w:hAnsi="Times New Roman" w:cs="Times New Roman"/>
                <w:color w:val="000000" w:themeColor="text1"/>
                <w:szCs w:val="21"/>
                <w:highlight w:val="none"/>
                <w14:textFill>
                  <w14:solidFill>
                    <w14:schemeClr w14:val="tx1"/>
                  </w14:solidFill>
                </w14:textFill>
              </w:rPr>
              <w:instrText xml:space="preserve"> = 4 \* ROMAN </w:instrText>
            </w:r>
            <w:r>
              <w:rPr>
                <w:rFonts w:hint="default" w:ascii="Times New Roman" w:hAnsi="Times New Roman" w:cs="Times New Roman"/>
                <w:color w:val="000000" w:themeColor="text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V</w:t>
            </w:r>
            <w:r>
              <w:rPr>
                <w:rFonts w:hint="default" w:ascii="Times New Roman" w:hAnsi="Times New Roman" w:cs="Times New Roman"/>
                <w:color w:val="000000" w:themeColor="text1"/>
                <w:szCs w:val="21"/>
                <w:highlight w:val="none"/>
                <w14:textFill>
                  <w14:solidFill>
                    <w14:schemeClr w14:val="tx1"/>
                  </w14:solidFill>
                </w14:textFill>
              </w:rPr>
              <w:fldChar w:fldCharType="end"/>
            </w:r>
            <w:r>
              <w:rPr>
                <w:rFonts w:hint="default" w:ascii="Times New Roman" w:hAnsi="Times New Roman" w:cs="Times New Roman"/>
                <w:color w:val="000000" w:themeColor="text1"/>
                <w:szCs w:val="21"/>
                <w:highlight w:val="none"/>
                <w14:textFill>
                  <w14:solidFill>
                    <w14:schemeClr w14:val="tx1"/>
                  </w14:solidFill>
                </w14:textFill>
              </w:rPr>
              <w:t>类标准，即</w:t>
            </w:r>
            <w:r>
              <w:rPr>
                <w:rFonts w:hint="default" w:ascii="Times New Roman" w:hAnsi="Times New Roman" w:cs="Times New Roman"/>
                <w:color w:val="000000" w:themeColor="text1"/>
                <w:highlight w:val="none"/>
                <w14:textFill>
                  <w14:solidFill>
                    <w14:schemeClr w14:val="tx1"/>
                  </w14:solidFill>
                </w14:textFill>
              </w:rPr>
              <w:t>COD 40mg/L、SS 10mg/L、NH</w:t>
            </w:r>
            <w:r>
              <w:rPr>
                <w:rFonts w:hint="default" w:ascii="Times New Roman" w:hAnsi="Times New Roman" w:cs="Times New Roman"/>
                <w:color w:val="000000" w:themeColor="text1"/>
                <w:highlight w:val="none"/>
                <w:vertAlign w:val="sub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-N 2mg/L、TP 0.4mg/L。</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经计算现有工程废水排放情况汇总如下：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废水排放量汇总表</w:t>
            </w:r>
          </w:p>
          <w:tbl>
            <w:tblPr>
              <w:tblStyle w:val="21"/>
              <w:tblW w:w="4998" w:type="pct"/>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858"/>
              <w:gridCol w:w="452"/>
              <w:gridCol w:w="1386"/>
              <w:gridCol w:w="1138"/>
              <w:gridCol w:w="1034"/>
              <w:gridCol w:w="1103"/>
              <w:gridCol w:w="1103"/>
              <w:gridCol w:w="1105"/>
            </w:tblGrid>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647" w:type="pct"/>
                  <w:gridSpan w:val="3"/>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项目</w:t>
                  </w:r>
                </w:p>
              </w:tc>
              <w:tc>
                <w:tcPr>
                  <w:tcW w:w="695" w:type="pct"/>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水量</w:t>
                  </w:r>
                  <w:r>
                    <w:rPr>
                      <w:rFonts w:hint="default" w:ascii="Times New Roman" w:hAnsi="Times New Roman" w:eastAsia="宋体" w:cs="Times New Roman"/>
                      <w:color w:val="000000" w:themeColor="text1"/>
                      <w:sz w:val="18"/>
                      <w:szCs w:val="18"/>
                      <w:lang w:eastAsia="zh-CN"/>
                      <w14:textFill>
                        <w14:solidFill>
                          <w14:schemeClr w14:val="tx1"/>
                        </w14:solidFill>
                      </w14:textFill>
                    </w:rPr>
                    <w:t>（</w:t>
                  </w:r>
                  <w:r>
                    <w:rPr>
                      <w:rFonts w:hint="default" w:ascii="Times New Roman" w:hAnsi="Times New Roman" w:eastAsia="宋体" w:cs="Times New Roman"/>
                      <w:color w:val="000000" w:themeColor="text1"/>
                      <w:sz w:val="18"/>
                      <w:szCs w:val="18"/>
                      <w14:textFill>
                        <w14:solidFill>
                          <w14:schemeClr w14:val="tx1"/>
                        </w14:solidFill>
                      </w14:textFill>
                    </w:rPr>
                    <w:t>m</w:t>
                  </w:r>
                  <w:r>
                    <w:rPr>
                      <w:rFonts w:hint="default" w:ascii="Times New Roman" w:hAnsi="Times New Roman" w:eastAsia="宋体" w:cs="Times New Roman"/>
                      <w:color w:val="000000" w:themeColor="text1"/>
                      <w:sz w:val="18"/>
                      <w:szCs w:val="18"/>
                      <w:vertAlign w:val="superscript"/>
                      <w14:textFill>
                        <w14:solidFill>
                          <w14:schemeClr w14:val="tx1"/>
                        </w14:solidFill>
                      </w14:textFill>
                    </w:rPr>
                    <w:t>3</w:t>
                  </w:r>
                  <w:r>
                    <w:rPr>
                      <w:rFonts w:hint="default" w:ascii="Times New Roman" w:hAnsi="Times New Roman" w:eastAsia="宋体" w:cs="Times New Roman"/>
                      <w:color w:val="000000" w:themeColor="text1"/>
                      <w:sz w:val="18"/>
                      <w:szCs w:val="18"/>
                      <w14:textFill>
                        <w14:solidFill>
                          <w14:schemeClr w14:val="tx1"/>
                        </w14:solidFill>
                      </w14:textFill>
                    </w:rPr>
                    <w:t>/a</w:t>
                  </w:r>
                  <w:r>
                    <w:rPr>
                      <w:rFonts w:hint="default" w:ascii="Times New Roman" w:hAnsi="Times New Roman" w:eastAsia="宋体" w:cs="Times New Roman"/>
                      <w:color w:val="000000" w:themeColor="text1"/>
                      <w:sz w:val="18"/>
                      <w:szCs w:val="18"/>
                      <w:lang w:eastAsia="zh-CN"/>
                      <w14:textFill>
                        <w14:solidFill>
                          <w14:schemeClr w14:val="tx1"/>
                        </w14:solidFill>
                      </w14:textFill>
                    </w:rPr>
                    <w:t>）</w:t>
                  </w:r>
                </w:p>
              </w:tc>
              <w:tc>
                <w:tcPr>
                  <w:tcW w:w="632" w:type="pct"/>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COD</w:t>
                  </w:r>
                </w:p>
              </w:tc>
              <w:tc>
                <w:tcPr>
                  <w:tcW w:w="674" w:type="pct"/>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SS</w:t>
                  </w:r>
                </w:p>
              </w:tc>
              <w:tc>
                <w:tcPr>
                  <w:tcW w:w="674" w:type="pct"/>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NH</w:t>
                  </w:r>
                  <w:r>
                    <w:rPr>
                      <w:rFonts w:hint="default" w:ascii="Times New Roman" w:hAnsi="Times New Roman" w:eastAsia="宋体" w:cs="Times New Roman"/>
                      <w:color w:val="000000" w:themeColor="text1"/>
                      <w:sz w:val="18"/>
                      <w:szCs w:val="18"/>
                      <w:vertAlign w:val="subscript"/>
                      <w14:textFill>
                        <w14:solidFill>
                          <w14:schemeClr w14:val="tx1"/>
                        </w14:solidFill>
                      </w14:textFill>
                    </w:rPr>
                    <w:t>3</w:t>
                  </w:r>
                  <w:r>
                    <w:rPr>
                      <w:rFonts w:hint="default" w:ascii="Times New Roman" w:hAnsi="Times New Roman" w:eastAsia="宋体" w:cs="Times New Roman"/>
                      <w:color w:val="000000" w:themeColor="text1"/>
                      <w:sz w:val="18"/>
                      <w:szCs w:val="18"/>
                      <w14:textFill>
                        <w14:solidFill>
                          <w14:schemeClr w14:val="tx1"/>
                        </w14:solidFill>
                      </w14:textFill>
                    </w:rPr>
                    <w:t>-N</w:t>
                  </w:r>
                </w:p>
              </w:tc>
              <w:tc>
                <w:tcPr>
                  <w:tcW w:w="675" w:type="pct"/>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TP</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24" w:type="pct"/>
                  <w:vMerge w:val="restart"/>
                  <w:tcBorders>
                    <w:right w:val="single" w:color="auto" w:sz="4" w:space="0"/>
                  </w:tcBorders>
                  <w:noWrap w:val="0"/>
                  <w:tcMar>
                    <w:top w:w="0" w:type="dxa"/>
                    <w:left w:w="51" w:type="dxa"/>
                    <w:bottom w:w="0" w:type="dxa"/>
                    <w:right w:w="51" w:type="dxa"/>
                  </w:tcMar>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生活</w:t>
                  </w:r>
                </w:p>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污水</w:t>
                  </w:r>
                </w:p>
              </w:tc>
              <w:tc>
                <w:tcPr>
                  <w:tcW w:w="1122" w:type="pct"/>
                  <w:gridSpan w:val="2"/>
                  <w:tcBorders>
                    <w:left w:val="single" w:color="auto" w:sz="4" w:space="0"/>
                  </w:tcBorders>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产生浓度（mg/L）</w:t>
                  </w:r>
                </w:p>
              </w:tc>
              <w:tc>
                <w:tcPr>
                  <w:tcW w:w="695" w:type="pct"/>
                  <w:vMerge w:val="restart"/>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384</w:t>
                  </w:r>
                  <w:r>
                    <w:rPr>
                      <w:rFonts w:hint="default" w:ascii="Times New Roman" w:hAnsi="Times New Roman" w:eastAsia="宋体" w:cs="Times New Roman"/>
                      <w:color w:val="000000" w:themeColor="text1"/>
                      <w:sz w:val="18"/>
                      <w:szCs w:val="18"/>
                      <w14:textFill>
                        <w14:solidFill>
                          <w14:schemeClr w14:val="tx1"/>
                        </w14:solidFill>
                      </w14:textFill>
                    </w:rPr>
                    <w:t>m</w:t>
                  </w:r>
                  <w:r>
                    <w:rPr>
                      <w:rFonts w:hint="default" w:ascii="Times New Roman" w:hAnsi="Times New Roman" w:eastAsia="宋体" w:cs="Times New Roman"/>
                      <w:color w:val="000000" w:themeColor="text1"/>
                      <w:sz w:val="18"/>
                      <w:szCs w:val="18"/>
                      <w:vertAlign w:val="superscript"/>
                      <w14:textFill>
                        <w14:solidFill>
                          <w14:schemeClr w14:val="tx1"/>
                        </w14:solidFill>
                      </w14:textFill>
                    </w:rPr>
                    <w:t>3</w:t>
                  </w:r>
                  <w:r>
                    <w:rPr>
                      <w:rFonts w:hint="default" w:ascii="Times New Roman" w:hAnsi="Times New Roman" w:eastAsia="宋体" w:cs="Times New Roman"/>
                      <w:color w:val="000000" w:themeColor="text1"/>
                      <w:sz w:val="18"/>
                      <w:szCs w:val="18"/>
                      <w14:textFill>
                        <w14:solidFill>
                          <w14:schemeClr w14:val="tx1"/>
                        </w14:solidFill>
                      </w14:textFill>
                    </w:rPr>
                    <w:t>/a</w:t>
                  </w:r>
                </w:p>
              </w:tc>
              <w:tc>
                <w:tcPr>
                  <w:tcW w:w="632" w:type="pct"/>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300</w:t>
                  </w:r>
                </w:p>
              </w:tc>
              <w:tc>
                <w:tcPr>
                  <w:tcW w:w="674" w:type="pct"/>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150</w:t>
                  </w:r>
                </w:p>
              </w:tc>
              <w:tc>
                <w:tcPr>
                  <w:tcW w:w="674" w:type="pct"/>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27</w:t>
                  </w:r>
                </w:p>
              </w:tc>
              <w:tc>
                <w:tcPr>
                  <w:tcW w:w="675" w:type="pct"/>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0.26</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24" w:type="pct"/>
                  <w:vMerge w:val="continue"/>
                  <w:tcBorders>
                    <w:right w:val="single" w:color="auto" w:sz="4" w:space="0"/>
                  </w:tcBorders>
                  <w:noWrap w:val="0"/>
                  <w:tcMar>
                    <w:top w:w="0" w:type="dxa"/>
                    <w:left w:w="51" w:type="dxa"/>
                    <w:bottom w:w="0" w:type="dxa"/>
                    <w:right w:w="51" w:type="dxa"/>
                  </w:tcMar>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p>
              </w:tc>
              <w:tc>
                <w:tcPr>
                  <w:tcW w:w="1122" w:type="pct"/>
                  <w:gridSpan w:val="2"/>
                  <w:tcBorders>
                    <w:left w:val="single" w:color="auto" w:sz="4" w:space="0"/>
                  </w:tcBorders>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产生量（t/a）</w:t>
                  </w:r>
                </w:p>
              </w:tc>
              <w:tc>
                <w:tcPr>
                  <w:tcW w:w="695" w:type="pct"/>
                  <w:vMerge w:val="continue"/>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p>
              </w:tc>
              <w:tc>
                <w:tcPr>
                  <w:tcW w:w="63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firstLine="0" w:firstLineChars="0"/>
                    <w:jc w:val="center"/>
                    <w:textAlignment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0.1152</w:t>
                  </w:r>
                </w:p>
              </w:tc>
              <w:tc>
                <w:tcPr>
                  <w:tcW w:w="67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firstLine="0" w:firstLineChars="0"/>
                    <w:jc w:val="center"/>
                    <w:textAlignment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0.0576</w:t>
                  </w:r>
                </w:p>
              </w:tc>
              <w:tc>
                <w:tcPr>
                  <w:tcW w:w="67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firstLine="0" w:firstLineChars="0"/>
                    <w:jc w:val="center"/>
                    <w:textAlignment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0.0104</w:t>
                  </w:r>
                </w:p>
              </w:tc>
              <w:tc>
                <w:tcPr>
                  <w:tcW w:w="675"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firstLine="0" w:firstLineChars="0"/>
                    <w:jc w:val="center"/>
                    <w:textAlignment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0.0001</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24" w:type="pct"/>
                  <w:vMerge w:val="continue"/>
                  <w:tcBorders>
                    <w:right w:val="single" w:color="auto" w:sz="4" w:space="0"/>
                  </w:tcBorders>
                  <w:noWrap w:val="0"/>
                  <w:tcMar>
                    <w:top w:w="0" w:type="dxa"/>
                    <w:left w:w="51" w:type="dxa"/>
                    <w:bottom w:w="0" w:type="dxa"/>
                    <w:right w:w="51" w:type="dxa"/>
                  </w:tcMar>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p>
              </w:tc>
              <w:tc>
                <w:tcPr>
                  <w:tcW w:w="1122" w:type="pct"/>
                  <w:gridSpan w:val="2"/>
                  <w:tcBorders>
                    <w:left w:val="single" w:color="auto" w:sz="4" w:space="0"/>
                  </w:tcBorders>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处理效率%</w:t>
                  </w:r>
                </w:p>
              </w:tc>
              <w:tc>
                <w:tcPr>
                  <w:tcW w:w="695" w:type="pct"/>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w:t>
                  </w:r>
                </w:p>
              </w:tc>
              <w:tc>
                <w:tcPr>
                  <w:tcW w:w="632" w:type="pct"/>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87</w:t>
                  </w:r>
                </w:p>
              </w:tc>
              <w:tc>
                <w:tcPr>
                  <w:tcW w:w="674" w:type="pct"/>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96</w:t>
                  </w:r>
                </w:p>
              </w:tc>
              <w:tc>
                <w:tcPr>
                  <w:tcW w:w="674" w:type="pct"/>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94</w:t>
                  </w:r>
                </w:p>
              </w:tc>
              <w:tc>
                <w:tcPr>
                  <w:tcW w:w="675" w:type="pct"/>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24" w:type="pct"/>
                  <w:vMerge w:val="continue"/>
                  <w:tcBorders>
                    <w:right w:val="single" w:color="auto" w:sz="4" w:space="0"/>
                  </w:tcBorders>
                  <w:noWrap w:val="0"/>
                  <w:tcMar>
                    <w:top w:w="0" w:type="dxa"/>
                    <w:left w:w="51" w:type="dxa"/>
                    <w:bottom w:w="0" w:type="dxa"/>
                    <w:right w:w="51" w:type="dxa"/>
                  </w:tcMar>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p>
              </w:tc>
              <w:tc>
                <w:tcPr>
                  <w:tcW w:w="1122" w:type="pct"/>
                  <w:gridSpan w:val="2"/>
                  <w:tcBorders>
                    <w:left w:val="single" w:color="auto" w:sz="4" w:space="0"/>
                  </w:tcBorders>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排放浓度（mg/L）</w:t>
                  </w:r>
                </w:p>
              </w:tc>
              <w:tc>
                <w:tcPr>
                  <w:tcW w:w="695" w:type="pct"/>
                  <w:vMerge w:val="restart"/>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384</w:t>
                  </w:r>
                  <w:r>
                    <w:rPr>
                      <w:rFonts w:hint="default" w:ascii="Times New Roman" w:hAnsi="Times New Roman" w:eastAsia="宋体" w:cs="Times New Roman"/>
                      <w:color w:val="000000" w:themeColor="text1"/>
                      <w:sz w:val="18"/>
                      <w:szCs w:val="18"/>
                      <w14:textFill>
                        <w14:solidFill>
                          <w14:schemeClr w14:val="tx1"/>
                        </w14:solidFill>
                      </w14:textFill>
                    </w:rPr>
                    <w:t>m</w:t>
                  </w:r>
                  <w:r>
                    <w:rPr>
                      <w:rFonts w:hint="default" w:ascii="Times New Roman" w:hAnsi="Times New Roman" w:eastAsia="宋体" w:cs="Times New Roman"/>
                      <w:color w:val="000000" w:themeColor="text1"/>
                      <w:sz w:val="18"/>
                      <w:szCs w:val="18"/>
                      <w:vertAlign w:val="superscript"/>
                      <w14:textFill>
                        <w14:solidFill>
                          <w14:schemeClr w14:val="tx1"/>
                        </w14:solidFill>
                      </w14:textFill>
                    </w:rPr>
                    <w:t>3</w:t>
                  </w:r>
                  <w:r>
                    <w:rPr>
                      <w:rFonts w:hint="default" w:ascii="Times New Roman" w:hAnsi="Times New Roman" w:eastAsia="宋体" w:cs="Times New Roman"/>
                      <w:color w:val="000000" w:themeColor="text1"/>
                      <w:sz w:val="18"/>
                      <w:szCs w:val="18"/>
                      <w14:textFill>
                        <w14:solidFill>
                          <w14:schemeClr w14:val="tx1"/>
                        </w14:solidFill>
                      </w14:textFill>
                    </w:rPr>
                    <w:t>/a</w:t>
                  </w:r>
                </w:p>
              </w:tc>
              <w:tc>
                <w:tcPr>
                  <w:tcW w:w="632" w:type="pct"/>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40</w:t>
                  </w:r>
                </w:p>
              </w:tc>
              <w:tc>
                <w:tcPr>
                  <w:tcW w:w="674" w:type="pct"/>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6</w:t>
                  </w:r>
                </w:p>
              </w:tc>
              <w:tc>
                <w:tcPr>
                  <w:tcW w:w="674" w:type="pct"/>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1.69</w:t>
                  </w:r>
                </w:p>
              </w:tc>
              <w:tc>
                <w:tcPr>
                  <w:tcW w:w="675" w:type="pct"/>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0.26</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24" w:type="pct"/>
                  <w:vMerge w:val="continue"/>
                  <w:tcBorders>
                    <w:right w:val="single" w:color="auto" w:sz="4" w:space="0"/>
                  </w:tcBorders>
                  <w:noWrap w:val="0"/>
                  <w:tcMar>
                    <w:top w:w="0" w:type="dxa"/>
                    <w:left w:w="51" w:type="dxa"/>
                    <w:bottom w:w="0" w:type="dxa"/>
                    <w:right w:w="51" w:type="dxa"/>
                  </w:tcMar>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p>
              </w:tc>
              <w:tc>
                <w:tcPr>
                  <w:tcW w:w="1122" w:type="pct"/>
                  <w:gridSpan w:val="2"/>
                  <w:tcBorders>
                    <w:left w:val="single" w:color="auto" w:sz="4" w:space="0"/>
                  </w:tcBorders>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排放量（t/a）</w:t>
                  </w:r>
                </w:p>
              </w:tc>
              <w:tc>
                <w:tcPr>
                  <w:tcW w:w="695" w:type="pct"/>
                  <w:vMerge w:val="continue"/>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p>
              </w:tc>
              <w:tc>
                <w:tcPr>
                  <w:tcW w:w="63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firstLine="0" w:firstLineChars="0"/>
                    <w:jc w:val="center"/>
                    <w:textAlignment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0.0154</w:t>
                  </w:r>
                </w:p>
              </w:tc>
              <w:tc>
                <w:tcPr>
                  <w:tcW w:w="67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firstLine="0" w:firstLineChars="0"/>
                    <w:jc w:val="center"/>
                    <w:textAlignment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0.0023</w:t>
                  </w:r>
                </w:p>
              </w:tc>
              <w:tc>
                <w:tcPr>
                  <w:tcW w:w="67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firstLine="0" w:firstLineChars="0"/>
                    <w:jc w:val="center"/>
                    <w:textAlignment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0.0006</w:t>
                  </w:r>
                </w:p>
              </w:tc>
              <w:tc>
                <w:tcPr>
                  <w:tcW w:w="675"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firstLine="0" w:firstLineChars="0"/>
                    <w:jc w:val="center"/>
                    <w:textAlignment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0.0001</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24" w:type="pct"/>
                  <w:vMerge w:val="restart"/>
                  <w:tcBorders>
                    <w:right w:val="single" w:color="auto" w:sz="4" w:space="0"/>
                  </w:tcBorders>
                  <w:noWrap w:val="0"/>
                  <w:tcMar>
                    <w:top w:w="0" w:type="dxa"/>
                    <w:left w:w="51" w:type="dxa"/>
                    <w:bottom w:w="0" w:type="dxa"/>
                    <w:right w:w="51" w:type="dxa"/>
                  </w:tcMar>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eastAsia="zh-CN"/>
                      <w14:textFill>
                        <w14:solidFill>
                          <w14:schemeClr w14:val="tx1"/>
                        </w14:solidFill>
                      </w14:textFill>
                    </w:rPr>
                    <w:t>新乡县综合</w:t>
                  </w:r>
                  <w:r>
                    <w:rPr>
                      <w:rFonts w:hint="default" w:ascii="Times New Roman" w:hAnsi="Times New Roman" w:eastAsia="宋体" w:cs="Times New Roman"/>
                      <w:color w:val="000000" w:themeColor="text1"/>
                      <w:sz w:val="18"/>
                      <w:szCs w:val="18"/>
                      <w14:textFill>
                        <w14:solidFill>
                          <w14:schemeClr w14:val="tx1"/>
                        </w14:solidFill>
                      </w14:textFill>
                    </w:rPr>
                    <w:t>污水处理厂</w:t>
                  </w:r>
                </w:p>
              </w:tc>
              <w:tc>
                <w:tcPr>
                  <w:tcW w:w="1122" w:type="pct"/>
                  <w:gridSpan w:val="2"/>
                  <w:tcBorders>
                    <w:top w:val="single" w:color="auto" w:sz="4" w:space="0"/>
                    <w:left w:val="single" w:color="auto" w:sz="4" w:space="0"/>
                    <w:bottom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进口浓度（mg/L）</w:t>
                  </w:r>
                </w:p>
              </w:tc>
              <w:tc>
                <w:tcPr>
                  <w:tcW w:w="695" w:type="pct"/>
                  <w:tcBorders>
                    <w:top w:val="single" w:color="auto" w:sz="4" w:space="0"/>
                    <w:bottom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w:t>
                  </w:r>
                </w:p>
              </w:tc>
              <w:tc>
                <w:tcPr>
                  <w:tcW w:w="632" w:type="pct"/>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40</w:t>
                  </w:r>
                </w:p>
              </w:tc>
              <w:tc>
                <w:tcPr>
                  <w:tcW w:w="674" w:type="pct"/>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6</w:t>
                  </w:r>
                </w:p>
              </w:tc>
              <w:tc>
                <w:tcPr>
                  <w:tcW w:w="674" w:type="pct"/>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1.69</w:t>
                  </w:r>
                </w:p>
              </w:tc>
              <w:tc>
                <w:tcPr>
                  <w:tcW w:w="675" w:type="pct"/>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0.26</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24" w:type="pct"/>
                  <w:vMerge w:val="continue"/>
                  <w:tcBorders>
                    <w:right w:val="single" w:color="auto" w:sz="4" w:space="0"/>
                  </w:tcBorders>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p>
              </w:tc>
              <w:tc>
                <w:tcPr>
                  <w:tcW w:w="276" w:type="pct"/>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出口</w:t>
                  </w:r>
                </w:p>
              </w:tc>
              <w:tc>
                <w:tcPr>
                  <w:tcW w:w="846" w:type="pct"/>
                  <w:tcBorders>
                    <w:top w:val="single" w:color="auto" w:sz="4" w:space="0"/>
                    <w:left w:val="single" w:color="auto" w:sz="4" w:space="0"/>
                    <w:bottom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排放浓度（mg/L）</w:t>
                  </w:r>
                </w:p>
              </w:tc>
              <w:tc>
                <w:tcPr>
                  <w:tcW w:w="695"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384</w:t>
                  </w:r>
                  <w:r>
                    <w:rPr>
                      <w:rFonts w:hint="default" w:ascii="Times New Roman" w:hAnsi="Times New Roman" w:eastAsia="宋体" w:cs="Times New Roman"/>
                      <w:color w:val="000000" w:themeColor="text1"/>
                      <w:sz w:val="18"/>
                      <w:szCs w:val="18"/>
                      <w14:textFill>
                        <w14:solidFill>
                          <w14:schemeClr w14:val="tx1"/>
                        </w14:solidFill>
                      </w14:textFill>
                    </w:rPr>
                    <w:t>m</w:t>
                  </w:r>
                  <w:r>
                    <w:rPr>
                      <w:rFonts w:hint="default" w:ascii="Times New Roman" w:hAnsi="Times New Roman" w:eastAsia="宋体" w:cs="Times New Roman"/>
                      <w:color w:val="000000" w:themeColor="text1"/>
                      <w:sz w:val="18"/>
                      <w:szCs w:val="18"/>
                      <w:vertAlign w:val="superscript"/>
                      <w14:textFill>
                        <w14:solidFill>
                          <w14:schemeClr w14:val="tx1"/>
                        </w14:solidFill>
                      </w14:textFill>
                    </w:rPr>
                    <w:t>3</w:t>
                  </w:r>
                  <w:r>
                    <w:rPr>
                      <w:rFonts w:hint="default" w:ascii="Times New Roman" w:hAnsi="Times New Roman" w:eastAsia="宋体" w:cs="Times New Roman"/>
                      <w:color w:val="000000" w:themeColor="text1"/>
                      <w:sz w:val="18"/>
                      <w:szCs w:val="18"/>
                      <w14:textFill>
                        <w14:solidFill>
                          <w14:schemeClr w14:val="tx1"/>
                        </w14:solidFill>
                      </w14:textFill>
                    </w:rPr>
                    <w:t>/a</w:t>
                  </w:r>
                </w:p>
              </w:tc>
              <w:tc>
                <w:tcPr>
                  <w:tcW w:w="632" w:type="pct"/>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40</w:t>
                  </w:r>
                </w:p>
              </w:tc>
              <w:tc>
                <w:tcPr>
                  <w:tcW w:w="674" w:type="pct"/>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10</w:t>
                  </w:r>
                </w:p>
              </w:tc>
              <w:tc>
                <w:tcPr>
                  <w:tcW w:w="674" w:type="pct"/>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2</w:t>
                  </w:r>
                </w:p>
              </w:tc>
              <w:tc>
                <w:tcPr>
                  <w:tcW w:w="675" w:type="pct"/>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0.4</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PrEx>
              <w:trPr>
                <w:trHeight w:val="454" w:hRule="atLeast"/>
                <w:jc w:val="center"/>
              </w:trPr>
              <w:tc>
                <w:tcPr>
                  <w:tcW w:w="524" w:type="pct"/>
                  <w:vMerge w:val="continue"/>
                  <w:tcBorders>
                    <w:right w:val="single" w:color="auto" w:sz="4" w:space="0"/>
                  </w:tcBorders>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p>
              </w:tc>
              <w:tc>
                <w:tcPr>
                  <w:tcW w:w="276" w:type="pct"/>
                  <w:vMerge w:val="continue"/>
                  <w:tcBorders>
                    <w:left w:val="single" w:color="auto" w:sz="4" w:space="0"/>
                    <w:bottom w:val="single" w:color="auto" w:sz="4" w:space="0"/>
                    <w:right w:val="single" w:color="auto" w:sz="4" w:space="0"/>
                  </w:tcBorders>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p>
              </w:tc>
              <w:tc>
                <w:tcPr>
                  <w:tcW w:w="846" w:type="pct"/>
                  <w:tcBorders>
                    <w:top w:val="single" w:color="auto" w:sz="4" w:space="0"/>
                    <w:left w:val="single" w:color="auto" w:sz="4" w:space="0"/>
                    <w:bottom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排放量（t/a）</w:t>
                  </w:r>
                </w:p>
              </w:tc>
              <w:tc>
                <w:tcPr>
                  <w:tcW w:w="695"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p>
              </w:tc>
              <w:tc>
                <w:tcPr>
                  <w:tcW w:w="63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firstLine="0" w:firstLineChars="0"/>
                    <w:jc w:val="center"/>
                    <w:textAlignment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0.0154</w:t>
                  </w:r>
                </w:p>
              </w:tc>
              <w:tc>
                <w:tcPr>
                  <w:tcW w:w="67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firstLine="0" w:firstLineChars="0"/>
                    <w:jc w:val="center"/>
                    <w:textAlignment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0.0038</w:t>
                  </w:r>
                </w:p>
              </w:tc>
              <w:tc>
                <w:tcPr>
                  <w:tcW w:w="67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firstLine="0" w:firstLineChars="0"/>
                    <w:jc w:val="center"/>
                    <w:textAlignment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0.0008</w:t>
                  </w:r>
                </w:p>
              </w:tc>
              <w:tc>
                <w:tcPr>
                  <w:tcW w:w="675"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firstLine="0" w:firstLineChars="0"/>
                    <w:jc w:val="center"/>
                    <w:textAlignment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0.0002</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342" w:type="pct"/>
                  <w:gridSpan w:val="4"/>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eastAsia="zh-CN"/>
                      <w14:textFill>
                        <w14:solidFill>
                          <w14:schemeClr w14:val="tx1"/>
                        </w14:solidFill>
                      </w14:textFill>
                    </w:rPr>
                    <w:t>新乡县综合</w:t>
                  </w:r>
                  <w:r>
                    <w:rPr>
                      <w:rFonts w:hint="default" w:ascii="Times New Roman" w:hAnsi="Times New Roman" w:eastAsia="宋体" w:cs="Times New Roman"/>
                      <w:color w:val="000000" w:themeColor="text1"/>
                      <w:sz w:val="18"/>
                      <w:szCs w:val="18"/>
                      <w14:textFill>
                        <w14:solidFill>
                          <w14:schemeClr w14:val="tx1"/>
                        </w14:solidFill>
                      </w14:textFill>
                    </w:rPr>
                    <w:t>污水处理厂收水标准</w:t>
                  </w:r>
                </w:p>
              </w:tc>
              <w:tc>
                <w:tcPr>
                  <w:tcW w:w="632" w:type="pct"/>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400</w:t>
                  </w:r>
                </w:p>
              </w:tc>
              <w:tc>
                <w:tcPr>
                  <w:tcW w:w="674" w:type="pct"/>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180</w:t>
                  </w:r>
                </w:p>
              </w:tc>
              <w:tc>
                <w:tcPr>
                  <w:tcW w:w="674" w:type="pct"/>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59</w:t>
                  </w:r>
                </w:p>
              </w:tc>
              <w:tc>
                <w:tcPr>
                  <w:tcW w:w="675" w:type="pct"/>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4</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342" w:type="pct"/>
                  <w:gridSpan w:val="4"/>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《污水综合排放标准》</w:t>
                  </w:r>
                </w:p>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（GB8978-1996）表4</w:t>
                  </w:r>
                  <w:r>
                    <w:rPr>
                      <w:rFonts w:hint="default" w:ascii="Times New Roman" w:hAnsi="Times New Roman" w:eastAsia="宋体" w:cs="Times New Roman"/>
                      <w:color w:val="000000" w:themeColor="text1"/>
                      <w:sz w:val="18"/>
                      <w:szCs w:val="18"/>
                      <w:lang w:eastAsia="zh-CN"/>
                      <w14:textFill>
                        <w14:solidFill>
                          <w14:schemeClr w14:val="tx1"/>
                        </w14:solidFill>
                      </w14:textFill>
                    </w:rPr>
                    <w:t>三</w:t>
                  </w:r>
                  <w:r>
                    <w:rPr>
                      <w:rFonts w:hint="default" w:ascii="Times New Roman" w:hAnsi="Times New Roman" w:eastAsia="宋体" w:cs="Times New Roman"/>
                      <w:color w:val="000000" w:themeColor="text1"/>
                      <w:sz w:val="18"/>
                      <w:szCs w:val="18"/>
                      <w14:textFill>
                        <w14:solidFill>
                          <w14:schemeClr w14:val="tx1"/>
                        </w14:solidFill>
                      </w14:textFill>
                    </w:rPr>
                    <w:t>级标准</w:t>
                  </w:r>
                </w:p>
              </w:tc>
              <w:tc>
                <w:tcPr>
                  <w:tcW w:w="632" w:type="pct"/>
                  <w:noWrap w:val="0"/>
                  <w:vAlign w:val="center"/>
                </w:tcPr>
                <w:p>
                  <w:pPr>
                    <w:pStyle w:val="68"/>
                    <w:keepNext w:val="0"/>
                    <w:keepLines w:val="0"/>
                    <w:pageBreakBefore w:val="0"/>
                    <w:kinsoku/>
                    <w:wordWrap/>
                    <w:overflowPunct/>
                    <w:topLinePunct w:val="0"/>
                    <w:autoSpaceDE/>
                    <w:autoSpaceDN/>
                    <w:bidi w:val="0"/>
                    <w:adjustRightInd/>
                    <w:snapToGrid/>
                    <w:spacing w:line="320" w:lineRule="exact"/>
                    <w:ind w:left="0" w:firstLine="0" w:firstLineChars="0"/>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500</w:t>
                  </w:r>
                </w:p>
              </w:tc>
              <w:tc>
                <w:tcPr>
                  <w:tcW w:w="674" w:type="pct"/>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200</w:t>
                  </w:r>
                </w:p>
              </w:tc>
              <w:tc>
                <w:tcPr>
                  <w:tcW w:w="674" w:type="pct"/>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w:t>
                  </w:r>
                </w:p>
              </w:tc>
              <w:tc>
                <w:tcPr>
                  <w:tcW w:w="675" w:type="pct"/>
                  <w:noWrap w:val="0"/>
                  <w:vAlign w:val="center"/>
                </w:tcPr>
                <w:p>
                  <w:pPr>
                    <w:keepNext w:val="0"/>
                    <w:keepLines w:val="0"/>
                    <w:pageBreakBefore w:val="0"/>
                    <w:kinsoku/>
                    <w:wordWrap/>
                    <w:overflowPunct/>
                    <w:topLinePunct w:val="0"/>
                    <w:autoSpaceDE/>
                    <w:autoSpaceDN/>
                    <w:bidi w:val="0"/>
                    <w:adjustRightInd/>
                    <w:snapToGrid/>
                    <w:spacing w:line="320" w:lineRule="exact"/>
                    <w:ind w:left="0" w:firstLine="0" w:firstLineChars="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w:t>
                  </w:r>
                </w:p>
              </w:tc>
            </w:tr>
          </w:tbl>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
                <w:bCs w:val="0"/>
                <w:color w:val="000000" w:themeColor="text1"/>
                <w:szCs w:val="21"/>
                <w:highlight w:val="none"/>
                <w14:textFill>
                  <w14:solidFill>
                    <w14:schemeClr w14:val="tx1"/>
                  </w14:solidFill>
                </w14:textFill>
              </w:rPr>
            </w:pPr>
            <w:r>
              <w:rPr>
                <w:rFonts w:hint="default" w:ascii="Times New Roman" w:hAnsi="Times New Roman" w:cs="Times New Roman"/>
                <w:b/>
                <w:bCs w:val="0"/>
                <w:color w:val="000000" w:themeColor="text1"/>
                <w:szCs w:val="21"/>
                <w:highlight w:val="none"/>
                <w:lang w:eastAsia="zh-CN"/>
                <w14:textFill>
                  <w14:solidFill>
                    <w14:schemeClr w14:val="tx1"/>
                  </w14:solidFill>
                </w14:textFill>
              </w:rPr>
              <w:t>（</w:t>
            </w:r>
            <w:r>
              <w:rPr>
                <w:rFonts w:hint="default" w:ascii="Times New Roman" w:hAnsi="Times New Roman" w:cs="Times New Roman"/>
                <w:b/>
                <w:bCs w:val="0"/>
                <w:color w:val="000000" w:themeColor="text1"/>
                <w:szCs w:val="21"/>
                <w:highlight w:val="none"/>
                <w:lang w:val="en-US" w:eastAsia="zh-CN"/>
                <w14:textFill>
                  <w14:solidFill>
                    <w14:schemeClr w14:val="tx1"/>
                  </w14:solidFill>
                </w14:textFill>
              </w:rPr>
              <w:t>3</w:t>
            </w:r>
            <w:r>
              <w:rPr>
                <w:rFonts w:hint="default" w:ascii="Times New Roman" w:hAnsi="Times New Roman" w:cs="Times New Roman"/>
                <w:b/>
                <w:bCs w:val="0"/>
                <w:color w:val="000000" w:themeColor="text1"/>
                <w:szCs w:val="21"/>
                <w:highlight w:val="none"/>
                <w:lang w:eastAsia="zh-CN"/>
                <w14:textFill>
                  <w14:solidFill>
                    <w14:schemeClr w14:val="tx1"/>
                  </w14:solidFill>
                </w14:textFill>
              </w:rPr>
              <w:t>）</w:t>
            </w:r>
            <w:r>
              <w:rPr>
                <w:rFonts w:hint="default" w:ascii="Times New Roman" w:hAnsi="Times New Roman" w:cs="Times New Roman"/>
                <w:b/>
                <w:bCs w:val="0"/>
                <w:color w:val="000000" w:themeColor="text1"/>
                <w:szCs w:val="21"/>
                <w:highlight w:val="none"/>
                <w14:textFill>
                  <w14:solidFill>
                    <w14:schemeClr w14:val="tx1"/>
                  </w14:solidFill>
                </w14:textFill>
              </w:rPr>
              <w:t>噪声</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企业委托河南鼎晟监测技术有限公司于2022年09月20日~21日对现有工程厂界噪声进行了监测</w:t>
            </w:r>
            <w:r>
              <w:rPr>
                <w:rFonts w:hint="default" w:ascii="Times New Roman" w:hAnsi="Times New Roman" w:cs="Times New Roman"/>
                <w:bCs/>
                <w:color w:val="000000" w:themeColor="text1"/>
                <w:szCs w:val="21"/>
                <w:highlight w:val="none"/>
                <w14:textFill>
                  <w14:solidFill>
                    <w14:schemeClr w14:val="tx1"/>
                  </w14:solidFill>
                </w14:textFill>
              </w:rPr>
              <w:t>，</w:t>
            </w:r>
            <w:r>
              <w:rPr>
                <w:rFonts w:hint="default" w:ascii="Times New Roman" w:hAnsi="Times New Roman" w:cs="Times New Roman"/>
                <w:bCs/>
                <w:color w:val="000000" w:themeColor="text1"/>
                <w:szCs w:val="21"/>
                <w:highlight w:val="none"/>
                <w:lang w:eastAsia="zh-CN"/>
                <w14:textFill>
                  <w14:solidFill>
                    <w14:schemeClr w14:val="tx1"/>
                  </w14:solidFill>
                </w14:textFill>
              </w:rPr>
              <w:t>现有工程验期间</w:t>
            </w:r>
            <w:r>
              <w:rPr>
                <w:rFonts w:hint="default" w:ascii="Times New Roman" w:hAnsi="Times New Roman" w:cs="Times New Roman"/>
                <w:bCs/>
                <w:color w:val="000000" w:themeColor="text1"/>
                <w:szCs w:val="21"/>
                <w:highlight w:val="none"/>
                <w14:textFill>
                  <w14:solidFill>
                    <w14:schemeClr w14:val="tx1"/>
                  </w14:solidFill>
                </w14:textFill>
              </w:rPr>
              <w:t>厂界噪声监测结果见</w:t>
            </w:r>
            <w:r>
              <w:rPr>
                <w:rFonts w:hint="default" w:ascii="Times New Roman" w:hAnsi="Times New Roman" w:cs="Times New Roman"/>
                <w:bCs/>
                <w:color w:val="000000" w:themeColor="text1"/>
                <w:szCs w:val="21"/>
                <w:highlight w:val="none"/>
                <w:lang w:eastAsia="zh-CN"/>
                <w14:textFill>
                  <w14:solidFill>
                    <w14:schemeClr w14:val="tx1"/>
                  </w14:solidFill>
                </w14:textFill>
              </w:rPr>
              <w:t>下表</w:t>
            </w:r>
            <w:r>
              <w:rPr>
                <w:rFonts w:hint="default" w:ascii="Times New Roman" w:hAnsi="Times New Roman" w:cs="Times New Roman"/>
                <w:bCs/>
                <w:color w:val="000000" w:themeColor="text1"/>
                <w:szCs w:val="21"/>
                <w:highlight w:val="none"/>
                <w14:textFill>
                  <w14:solidFill>
                    <w14:schemeClr w14:val="tx1"/>
                  </w14:solidFill>
                </w14:textFill>
              </w:rPr>
              <w:t>。</w:t>
            </w:r>
          </w:p>
          <w:p>
            <w:pPr>
              <w:pStyle w:val="2"/>
              <w:rPr>
                <w:rFonts w:hint="default"/>
                <w:color w:val="000000" w:themeColor="text1"/>
                <w14:textFill>
                  <w14:solidFill>
                    <w14:schemeClr w14:val="tx1"/>
                  </w14:solidFill>
                </w14:textFill>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现有工程噪声</w:t>
            </w:r>
            <w:r>
              <w:rPr>
                <w:rFonts w:hint="eastAsia" w:eastAsia="黑体" w:cs="Times New Roman"/>
                <w:color w:val="000000" w:themeColor="text1"/>
                <w:sz w:val="21"/>
                <w:szCs w:val="21"/>
                <w:highlight w:val="none"/>
                <w:lang w:val="en-US" w:eastAsia="zh-CN"/>
                <w14:textFill>
                  <w14:solidFill>
                    <w14:schemeClr w14:val="tx1"/>
                  </w14:solidFill>
                </w14:textFill>
              </w:rPr>
              <w:t>监测</w:t>
            </w: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结果表</w:t>
            </w:r>
          </w:p>
          <w:tbl>
            <w:tblPr>
              <w:tblStyle w:val="21"/>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723"/>
              <w:gridCol w:w="2111"/>
              <w:gridCol w:w="2171"/>
              <w:gridCol w:w="217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970" w:type="pct"/>
                  <w:vMerge w:val="restart"/>
                  <w:noWrap w:val="0"/>
                  <w:tcMar>
                    <w:left w:w="0" w:type="dxa"/>
                    <w:right w:w="0" w:type="dxa"/>
                  </w:tcMar>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监测时间</w:t>
                  </w:r>
                </w:p>
              </w:tc>
              <w:tc>
                <w:tcPr>
                  <w:tcW w:w="1317" w:type="pct"/>
                  <w:vMerge w:val="restar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监测点位</w:t>
                  </w:r>
                </w:p>
              </w:tc>
              <w:tc>
                <w:tcPr>
                  <w:tcW w:w="2711" w:type="pct"/>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监测结果</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70" w:type="pct"/>
                  <w:vMerge w:val="continue"/>
                  <w:noWrap w:val="0"/>
                  <w:tcMar>
                    <w:left w:w="0" w:type="dxa"/>
                    <w:right w:w="0" w:type="dxa"/>
                  </w:tcMar>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1317"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1354"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昼间（dB（A））</w:t>
                  </w:r>
                </w:p>
              </w:tc>
              <w:tc>
                <w:tcPr>
                  <w:tcW w:w="135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夜间</w:t>
                  </w:r>
                  <w:r>
                    <w:rPr>
                      <w:rFonts w:hint="default" w:ascii="Times New Roman" w:hAnsi="Times New Roman" w:cs="Times New Roman"/>
                      <w:color w:val="000000" w:themeColor="text1"/>
                      <w:sz w:val="18"/>
                      <w:szCs w:val="18"/>
                      <w:highlight w:val="none"/>
                      <w14:textFill>
                        <w14:solidFill>
                          <w14:schemeClr w14:val="tx1"/>
                        </w14:solidFill>
                      </w14:textFill>
                    </w:rPr>
                    <w:t>（dB（A））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70" w:type="pct"/>
                  <w:vMerge w:val="restart"/>
                  <w:noWrap w:val="0"/>
                  <w:tcMar>
                    <w:left w:w="0" w:type="dxa"/>
                    <w:right w:w="0" w:type="dxa"/>
                  </w:tcMar>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lang w:val="en-US"/>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2022.09.20~2022.09.21</w:t>
                  </w:r>
                </w:p>
              </w:tc>
              <w:tc>
                <w:tcPr>
                  <w:tcW w:w="131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东厂界</w:t>
                  </w:r>
                </w:p>
              </w:tc>
              <w:tc>
                <w:tcPr>
                  <w:tcW w:w="1354"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53~54</w:t>
                  </w:r>
                </w:p>
              </w:tc>
              <w:tc>
                <w:tcPr>
                  <w:tcW w:w="135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41~42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970" w:type="pct"/>
                  <w:vMerge w:val="continue"/>
                  <w:shd w:val="clear" w:color="auto" w:fill="FFFF00"/>
                  <w:noWrap w:val="0"/>
                  <w:tcMar>
                    <w:left w:w="0" w:type="dxa"/>
                    <w:right w:w="0" w:type="dxa"/>
                  </w:tcMar>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p>
              </w:tc>
              <w:tc>
                <w:tcPr>
                  <w:tcW w:w="131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西厂界</w:t>
                  </w:r>
                </w:p>
              </w:tc>
              <w:tc>
                <w:tcPr>
                  <w:tcW w:w="1354"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52</w:t>
                  </w:r>
                </w:p>
              </w:tc>
              <w:tc>
                <w:tcPr>
                  <w:tcW w:w="135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40~41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970" w:type="pct"/>
                  <w:vMerge w:val="continue"/>
                  <w:shd w:val="clear" w:color="auto" w:fill="FFFF00"/>
                  <w:noWrap w:val="0"/>
                  <w:tcMar>
                    <w:left w:w="0" w:type="dxa"/>
                    <w:right w:w="0" w:type="dxa"/>
                  </w:tcMar>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p>
              </w:tc>
              <w:tc>
                <w:tcPr>
                  <w:tcW w:w="131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南厂界</w:t>
                  </w:r>
                </w:p>
              </w:tc>
              <w:tc>
                <w:tcPr>
                  <w:tcW w:w="1354"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51~53</w:t>
                  </w:r>
                </w:p>
              </w:tc>
              <w:tc>
                <w:tcPr>
                  <w:tcW w:w="135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41~42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970" w:type="pct"/>
                  <w:vMerge w:val="continue"/>
                  <w:shd w:val="clear" w:color="auto" w:fill="FFFF00"/>
                  <w:noWrap w:val="0"/>
                  <w:tcMar>
                    <w:left w:w="0" w:type="dxa"/>
                    <w:right w:w="0" w:type="dxa"/>
                  </w:tcMar>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p>
              </w:tc>
              <w:tc>
                <w:tcPr>
                  <w:tcW w:w="131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北厂界</w:t>
                  </w:r>
                </w:p>
              </w:tc>
              <w:tc>
                <w:tcPr>
                  <w:tcW w:w="1354"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51~52</w:t>
                  </w:r>
                </w:p>
              </w:tc>
              <w:tc>
                <w:tcPr>
                  <w:tcW w:w="1357"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41~42</w:t>
                  </w:r>
                </w:p>
              </w:tc>
            </w:tr>
          </w:tbl>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由上表可知，现有工程厂界噪声可以满足《工业企业厂界环境噪声排放标准》（GB12348-2008）2类区标准限值</w:t>
            </w:r>
            <w:r>
              <w:rPr>
                <w:rFonts w:hint="default" w:ascii="Times New Roman" w:hAnsi="Times New Roman" w:cs="Times New Roman"/>
                <w:bCs/>
                <w:color w:val="000000" w:themeColor="text1"/>
                <w:szCs w:val="21"/>
                <w:highlight w:val="none"/>
                <w:lang w:eastAsia="zh-CN"/>
                <w14:textFill>
                  <w14:solidFill>
                    <w14:schemeClr w14:val="tx1"/>
                  </w14:solidFill>
                </w14:textFill>
              </w:rPr>
              <w:t>（昼间≤</w:t>
            </w:r>
            <w:r>
              <w:rPr>
                <w:rFonts w:hint="default" w:ascii="Times New Roman" w:hAnsi="Times New Roman" w:cs="Times New Roman"/>
                <w:bCs/>
                <w:color w:val="000000" w:themeColor="text1"/>
                <w:szCs w:val="21"/>
                <w:highlight w:val="none"/>
                <w:lang w:val="en-US" w:eastAsia="zh-CN"/>
                <w14:textFill>
                  <w14:solidFill>
                    <w14:schemeClr w14:val="tx1"/>
                  </w14:solidFill>
                </w14:textFill>
              </w:rPr>
              <w:t>60dB（A）</w:t>
            </w:r>
            <w:r>
              <w:rPr>
                <w:rFonts w:hint="default" w:ascii="Times New Roman" w:hAnsi="Times New Roman" w:cs="Times New Roman"/>
                <w:bCs/>
                <w:color w:val="000000" w:themeColor="text1"/>
                <w:szCs w:val="21"/>
                <w:highlight w:val="none"/>
                <w:lang w:eastAsia="zh-CN"/>
                <w14:textFill>
                  <w14:solidFill>
                    <w14:schemeClr w14:val="tx1"/>
                  </w14:solidFill>
                </w14:textFill>
              </w:rPr>
              <w:t>）</w:t>
            </w:r>
            <w:r>
              <w:rPr>
                <w:rFonts w:hint="default" w:ascii="Times New Roman" w:hAnsi="Times New Roman" w:cs="Times New Roman"/>
                <w:bCs/>
                <w:color w:val="000000" w:themeColor="text1"/>
                <w:szCs w:val="21"/>
                <w:highlight w:val="none"/>
                <w14:textFill>
                  <w14:solidFill>
                    <w14:schemeClr w14:val="tx1"/>
                  </w14:solidFill>
                </w14:textFill>
              </w:rPr>
              <w:t>。</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
                <w:bCs w:val="0"/>
                <w:color w:val="000000" w:themeColor="text1"/>
                <w:szCs w:val="21"/>
                <w:highlight w:val="none"/>
                <w14:textFill>
                  <w14:solidFill>
                    <w14:schemeClr w14:val="tx1"/>
                  </w14:solidFill>
                </w14:textFill>
              </w:rPr>
            </w:pPr>
            <w:r>
              <w:rPr>
                <w:rFonts w:hint="default" w:ascii="Times New Roman" w:hAnsi="Times New Roman" w:cs="Times New Roman"/>
                <w:b/>
                <w:bCs w:val="0"/>
                <w:color w:val="000000" w:themeColor="text1"/>
                <w:szCs w:val="21"/>
                <w:highlight w:val="none"/>
                <w:lang w:eastAsia="zh-CN"/>
                <w14:textFill>
                  <w14:solidFill>
                    <w14:schemeClr w14:val="tx1"/>
                  </w14:solidFill>
                </w14:textFill>
              </w:rPr>
              <w:t>（</w:t>
            </w:r>
            <w:r>
              <w:rPr>
                <w:rFonts w:hint="default" w:ascii="Times New Roman" w:hAnsi="Times New Roman" w:cs="Times New Roman"/>
                <w:b/>
                <w:bCs w:val="0"/>
                <w:color w:val="000000" w:themeColor="text1"/>
                <w:szCs w:val="21"/>
                <w:highlight w:val="none"/>
                <w:lang w:val="en-US" w:eastAsia="zh-CN"/>
                <w14:textFill>
                  <w14:solidFill>
                    <w14:schemeClr w14:val="tx1"/>
                  </w14:solidFill>
                </w14:textFill>
              </w:rPr>
              <w:t>4</w:t>
            </w:r>
            <w:r>
              <w:rPr>
                <w:rFonts w:hint="default" w:ascii="Times New Roman" w:hAnsi="Times New Roman" w:cs="Times New Roman"/>
                <w:b/>
                <w:bCs w:val="0"/>
                <w:color w:val="000000" w:themeColor="text1"/>
                <w:szCs w:val="21"/>
                <w:highlight w:val="none"/>
                <w:lang w:eastAsia="zh-CN"/>
                <w14:textFill>
                  <w14:solidFill>
                    <w14:schemeClr w14:val="tx1"/>
                  </w14:solidFill>
                </w14:textFill>
              </w:rPr>
              <w:t>）</w:t>
            </w:r>
            <w:r>
              <w:rPr>
                <w:rFonts w:hint="default" w:ascii="Times New Roman" w:hAnsi="Times New Roman" w:cs="Times New Roman"/>
                <w:b/>
                <w:bCs w:val="0"/>
                <w:color w:val="000000" w:themeColor="text1"/>
                <w:szCs w:val="21"/>
                <w:highlight w:val="none"/>
                <w14:textFill>
                  <w14:solidFill>
                    <w14:schemeClr w14:val="tx1"/>
                  </w14:solidFill>
                </w14:textFill>
              </w:rPr>
              <w:t>固废</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bCs/>
                <w:color w:val="000000" w:themeColor="text1"/>
                <w:szCs w:val="21"/>
                <w:highlight w:val="none"/>
                <w:lang w:eastAsia="zh-CN"/>
                <w14:textFill>
                  <w14:solidFill>
                    <w14:schemeClr w14:val="tx1"/>
                  </w14:solidFill>
                </w14:textFill>
              </w:rPr>
              <w:t>工程一般固废主要为切割工序废边料、焊接工序废焊渣以及生活垃圾</w:t>
            </w:r>
            <w:r>
              <w:rPr>
                <w:rFonts w:hint="eastAsia" w:cs="Times New Roman"/>
                <w:bCs/>
                <w:color w:val="000000" w:themeColor="text1"/>
                <w:szCs w:val="21"/>
                <w:highlight w:val="none"/>
                <w:lang w:eastAsia="zh-CN"/>
                <w14:textFill>
                  <w14:solidFill>
                    <w14:schemeClr w14:val="tx1"/>
                  </w14:solidFill>
                </w14:textFill>
              </w:rPr>
              <w:t>，以及本次整改后切割、焊接工序配套脉冲除尘器定期清理的集尘</w:t>
            </w:r>
            <w:r>
              <w:rPr>
                <w:rFonts w:hint="default" w:ascii="Times New Roman" w:hAnsi="Times New Roman" w:cs="Times New Roman"/>
                <w:bCs/>
                <w:color w:val="000000" w:themeColor="text1"/>
                <w:szCs w:val="21"/>
                <w:highlight w:val="none"/>
                <w:lang w:eastAsia="zh-CN"/>
                <w14:textFill>
                  <w14:solidFill>
                    <w14:schemeClr w14:val="tx1"/>
                  </w14:solidFill>
                </w14:textFill>
              </w:rPr>
              <w:t>，经设置一般固废暂存间暂存后，定期外售综合利用或交由环卫部门处理；危险固废主要为各机械设备更换废液压油、废润滑油，经设置危险固废暂存间暂存后，定期委托有资质危废单位回收处理。具体产生及处置情况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现有工程固废产生及处置情况</w:t>
            </w:r>
          </w:p>
          <w:tbl>
            <w:tblPr>
              <w:tblStyle w:val="21"/>
              <w:tblW w:w="4998" w:type="pct"/>
              <w:jc w:val="center"/>
              <w:tblBorders>
                <w:top w:val="single" w:color="auto" w:sz="2" w:space="0"/>
                <w:left w:val="none" w:color="auto" w:sz="0" w:space="0"/>
                <w:bottom w:val="single" w:color="auto" w:sz="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825"/>
              <w:gridCol w:w="1564"/>
              <w:gridCol w:w="1312"/>
              <w:gridCol w:w="1257"/>
              <w:gridCol w:w="2324"/>
              <w:gridCol w:w="897"/>
            </w:tblGrid>
            <w:tr>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04"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序号</w:t>
                  </w:r>
                </w:p>
              </w:tc>
              <w:tc>
                <w:tcPr>
                  <w:tcW w:w="956"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名称</w:t>
                  </w:r>
                </w:p>
              </w:tc>
              <w:tc>
                <w:tcPr>
                  <w:tcW w:w="802" w:type="pct"/>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固废性质</w:t>
                  </w:r>
                </w:p>
              </w:tc>
              <w:tc>
                <w:tcPr>
                  <w:tcW w:w="768"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产生量（t/a）</w:t>
                  </w:r>
                </w:p>
              </w:tc>
              <w:tc>
                <w:tcPr>
                  <w:tcW w:w="1420" w:type="pct"/>
                  <w:tcBorders>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处置措施</w:t>
                  </w:r>
                </w:p>
              </w:tc>
              <w:tc>
                <w:tcPr>
                  <w:tcW w:w="548" w:type="pct"/>
                  <w:tcBorders>
                    <w:lef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排放量（</w:t>
                  </w: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t/a</w:t>
                  </w: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w:t>
                  </w:r>
                </w:p>
              </w:tc>
            </w:tr>
            <w:tr>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04"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1</w:t>
                  </w:r>
                </w:p>
              </w:tc>
              <w:tc>
                <w:tcPr>
                  <w:tcW w:w="956"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废液压油</w:t>
                  </w:r>
                </w:p>
              </w:tc>
              <w:tc>
                <w:tcPr>
                  <w:tcW w:w="802" w:type="pct"/>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危险固废</w:t>
                  </w:r>
                </w:p>
              </w:tc>
              <w:tc>
                <w:tcPr>
                  <w:tcW w:w="768"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1.5</w:t>
                  </w:r>
                </w:p>
              </w:tc>
              <w:tc>
                <w:tcPr>
                  <w:tcW w:w="1420" w:type="pct"/>
                  <w:vMerge w:val="restart"/>
                  <w:tcBorders>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危险固废暂存间暂存，定期委托有资质的危废处置单位</w:t>
                  </w: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回收处理</w:t>
                  </w:r>
                </w:p>
              </w:tc>
              <w:tc>
                <w:tcPr>
                  <w:tcW w:w="548" w:type="pct"/>
                  <w:tcBorders>
                    <w:left w:val="single" w:color="000000" w:sz="4" w:space="0"/>
                    <w:bottom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0</w:t>
                  </w:r>
                </w:p>
              </w:tc>
            </w:tr>
            <w:tr>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04"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2</w:t>
                  </w:r>
                </w:p>
              </w:tc>
              <w:tc>
                <w:tcPr>
                  <w:tcW w:w="956"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废润滑油</w:t>
                  </w:r>
                </w:p>
              </w:tc>
              <w:tc>
                <w:tcPr>
                  <w:tcW w:w="802" w:type="pct"/>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危险</w:t>
                  </w: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固废</w:t>
                  </w:r>
                </w:p>
              </w:tc>
              <w:tc>
                <w:tcPr>
                  <w:tcW w:w="768"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0.5</w:t>
                  </w:r>
                </w:p>
              </w:tc>
              <w:tc>
                <w:tcPr>
                  <w:tcW w:w="1420" w:type="pct"/>
                  <w:vMerge w:val="continue"/>
                  <w:tcBorders>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p>
              </w:tc>
              <w:tc>
                <w:tcPr>
                  <w:tcW w:w="548" w:type="pct"/>
                  <w:tcBorders>
                    <w:top w:val="single" w:color="000000" w:sz="4" w:space="0"/>
                    <w:left w:val="single" w:color="000000" w:sz="4" w:space="0"/>
                    <w:bottom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0</w:t>
                  </w:r>
                </w:p>
              </w:tc>
            </w:tr>
            <w:tr>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04"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4</w:t>
                  </w:r>
                </w:p>
              </w:tc>
              <w:tc>
                <w:tcPr>
                  <w:tcW w:w="956"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废边角料</w:t>
                  </w:r>
                </w:p>
              </w:tc>
              <w:tc>
                <w:tcPr>
                  <w:tcW w:w="802" w:type="pct"/>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一般固废</w:t>
                  </w:r>
                </w:p>
              </w:tc>
              <w:tc>
                <w:tcPr>
                  <w:tcW w:w="768"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790</w:t>
                  </w:r>
                </w:p>
              </w:tc>
              <w:tc>
                <w:tcPr>
                  <w:tcW w:w="1420" w:type="pct"/>
                  <w:tcBorders>
                    <w:top w:val="single" w:color="auto"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一般固废暂存</w:t>
                  </w: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间</w:t>
                  </w: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暂存后</w:t>
                  </w: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，定期外售机械加工厂</w:t>
                  </w:r>
                </w:p>
              </w:tc>
              <w:tc>
                <w:tcPr>
                  <w:tcW w:w="548" w:type="pct"/>
                  <w:tcBorders>
                    <w:top w:val="single" w:color="000000" w:sz="4" w:space="0"/>
                    <w:left w:val="single" w:color="000000" w:sz="4" w:space="0"/>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0</w:t>
                  </w:r>
                </w:p>
              </w:tc>
            </w:tr>
            <w:tr>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169" w:hRule="atLeast"/>
                <w:jc w:val="center"/>
              </w:trPr>
              <w:tc>
                <w:tcPr>
                  <w:tcW w:w="504"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5</w:t>
                  </w:r>
                </w:p>
              </w:tc>
              <w:tc>
                <w:tcPr>
                  <w:tcW w:w="956"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废焊渣</w:t>
                  </w:r>
                </w:p>
              </w:tc>
              <w:tc>
                <w:tcPr>
                  <w:tcW w:w="802" w:type="pct"/>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一般固废</w:t>
                  </w:r>
                </w:p>
              </w:tc>
              <w:tc>
                <w:tcPr>
                  <w:tcW w:w="768"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3.24</w:t>
                  </w:r>
                </w:p>
              </w:tc>
              <w:tc>
                <w:tcPr>
                  <w:tcW w:w="1420" w:type="pct"/>
                  <w:tcBorders>
                    <w:top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cyan"/>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一般固废暂存</w:t>
                  </w: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间</w:t>
                  </w: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暂存后</w:t>
                  </w: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，定期外售废品回收单位</w:t>
                  </w:r>
                </w:p>
              </w:tc>
              <w:tc>
                <w:tcPr>
                  <w:tcW w:w="548" w:type="pct"/>
                  <w:tcBorders>
                    <w:top w:val="single" w:color="auto" w:sz="4" w:space="0"/>
                    <w:lef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0</w:t>
                  </w:r>
                </w:p>
              </w:tc>
            </w:tr>
            <w:tr>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169" w:hRule="atLeast"/>
                <w:jc w:val="center"/>
              </w:trPr>
              <w:tc>
                <w:tcPr>
                  <w:tcW w:w="504"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6</w:t>
                  </w:r>
                </w:p>
              </w:tc>
              <w:tc>
                <w:tcPr>
                  <w:tcW w:w="956"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eastAsia" w:cs="Times New Roman" w:eastAsiaTheme="minorEastAsia"/>
                      <w:b w:val="0"/>
                      <w:bCs w:val="0"/>
                      <w:color w:val="000000" w:themeColor="text1"/>
                      <w:sz w:val="18"/>
                      <w:szCs w:val="18"/>
                      <w:highlight w:val="none"/>
                      <w:u w:val="none"/>
                      <w:lang w:val="en-US" w:eastAsia="zh-CN"/>
                      <w14:textFill>
                        <w14:solidFill>
                          <w14:schemeClr w14:val="tx1"/>
                        </w14:solidFill>
                      </w14:textFill>
                    </w:rPr>
                    <w:t>除尘器集尘</w:t>
                  </w:r>
                </w:p>
              </w:tc>
              <w:tc>
                <w:tcPr>
                  <w:tcW w:w="802" w:type="pct"/>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一般固废</w:t>
                  </w:r>
                </w:p>
              </w:tc>
              <w:tc>
                <w:tcPr>
                  <w:tcW w:w="768"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eastAsia"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24.1905</w:t>
                  </w:r>
                </w:p>
              </w:tc>
              <w:tc>
                <w:tcPr>
                  <w:tcW w:w="1420" w:type="pct"/>
                  <w:tcBorders>
                    <w:top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一般固废暂存</w:t>
                  </w: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间</w:t>
                  </w: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暂存后</w:t>
                  </w: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，定期外售废品回收单位</w:t>
                  </w:r>
                </w:p>
              </w:tc>
              <w:tc>
                <w:tcPr>
                  <w:tcW w:w="548" w:type="pct"/>
                  <w:tcBorders>
                    <w:top w:val="single" w:color="auto" w:sz="4" w:space="0"/>
                    <w:lef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eastAsia" w:cs="Times New Roman" w:eastAsiaTheme="minorEastAsia"/>
                      <w:b w:val="0"/>
                      <w:bCs w:val="0"/>
                      <w:color w:val="000000" w:themeColor="text1"/>
                      <w:sz w:val="18"/>
                      <w:szCs w:val="18"/>
                      <w:highlight w:val="none"/>
                      <w:u w:val="none"/>
                      <w:lang w:val="en-US" w:eastAsia="zh-CN"/>
                      <w14:textFill>
                        <w14:solidFill>
                          <w14:schemeClr w14:val="tx1"/>
                        </w14:solidFill>
                      </w14:textFill>
                    </w:rPr>
                    <w:t>0</w:t>
                  </w:r>
                </w:p>
              </w:tc>
            </w:tr>
            <w:tr>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04"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eastAsia"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7</w:t>
                  </w:r>
                </w:p>
              </w:tc>
              <w:tc>
                <w:tcPr>
                  <w:tcW w:w="956"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生活垃圾</w:t>
                  </w:r>
                </w:p>
              </w:tc>
              <w:tc>
                <w:tcPr>
                  <w:tcW w:w="802" w:type="pct"/>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一般固废</w:t>
                  </w:r>
                </w:p>
              </w:tc>
              <w:tc>
                <w:tcPr>
                  <w:tcW w:w="768"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6</w:t>
                  </w:r>
                </w:p>
              </w:tc>
              <w:tc>
                <w:tcPr>
                  <w:tcW w:w="1420" w:type="pct"/>
                  <w:tcBorders>
                    <w:top w:val="single" w:color="auto"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垃圾收集箱收集后，定期委托环卫部门清运处理</w:t>
                  </w:r>
                </w:p>
              </w:tc>
              <w:tc>
                <w:tcPr>
                  <w:tcW w:w="548" w:type="pct"/>
                  <w:tcBorders>
                    <w:top w:val="single" w:color="auto" w:sz="4" w:space="0"/>
                    <w:left w:val="single" w:color="000000" w:sz="4" w:space="0"/>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0</w:t>
                  </w:r>
                </w:p>
              </w:tc>
            </w:tr>
          </w:tbl>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eastAsia="宋体" w:cs="Times New Roman"/>
                <w:bCs/>
                <w:color w:val="000000" w:themeColor="text1"/>
                <w:szCs w:val="21"/>
                <w:highlight w:val="none"/>
                <w:lang w:eastAsia="zh-CN"/>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项目产生的各种固体废弃物均得到有效处理或处置，不会造成二次污染</w:t>
            </w:r>
            <w:r>
              <w:rPr>
                <w:rFonts w:hint="default" w:ascii="Times New Roman" w:hAnsi="Times New Roman" w:cs="Times New Roman"/>
                <w:bCs/>
                <w:color w:val="000000" w:themeColor="text1"/>
                <w:szCs w:val="21"/>
                <w:highlight w:val="none"/>
                <w:lang w:eastAsia="zh-CN"/>
                <w14:textFill>
                  <w14:solidFill>
                    <w14:schemeClr w14:val="tx1"/>
                  </w14:solidFill>
                </w14:textFill>
              </w:rPr>
              <w:t>。</w:t>
            </w:r>
          </w:p>
          <w:p>
            <w:pPr>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
                <w:color w:val="000000" w:themeColor="text1"/>
                <w:kern w:val="0"/>
                <w:szCs w:val="21"/>
                <w:highlight w:val="none"/>
                <w:lang w:eastAsia="zh-CN"/>
                <w14:textFill>
                  <w14:solidFill>
                    <w14:schemeClr w14:val="tx1"/>
                  </w14:solidFill>
                </w14:textFill>
              </w:rPr>
            </w:pPr>
            <w:r>
              <w:rPr>
                <w:rFonts w:hint="default" w:ascii="Times New Roman" w:hAnsi="Times New Roman" w:cs="Times New Roman"/>
                <w:b/>
                <w:bCs w:val="0"/>
                <w:color w:val="000000" w:themeColor="text1"/>
                <w:kern w:val="0"/>
                <w:szCs w:val="21"/>
                <w:highlight w:val="none"/>
                <w14:textFill>
                  <w14:solidFill>
                    <w14:schemeClr w14:val="tx1"/>
                  </w14:solidFill>
                </w14:textFill>
              </w:rPr>
              <w:t>现有</w:t>
            </w:r>
            <w:r>
              <w:rPr>
                <w:rFonts w:hint="default" w:ascii="Times New Roman" w:hAnsi="Times New Roman" w:cs="Times New Roman"/>
                <w:b/>
                <w:color w:val="000000" w:themeColor="text1"/>
                <w:kern w:val="0"/>
                <w:szCs w:val="21"/>
                <w:highlight w:val="none"/>
                <w:lang w:eastAsia="zh-CN"/>
                <w14:textFill>
                  <w14:solidFill>
                    <w14:schemeClr w14:val="tx1"/>
                  </w14:solidFill>
                </w14:textFill>
              </w:rPr>
              <w:t>“三废”污染物汇总情况</w:t>
            </w:r>
          </w:p>
          <w:p>
            <w:pPr>
              <w:pStyle w:val="20"/>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t>现有工程目前实际污染物产排</w:t>
            </w:r>
            <w:r>
              <w:rPr>
                <w:rFonts w:hint="eastAsia" w:cs="Times New Roman"/>
                <w:bCs/>
                <w:color w:val="000000" w:themeColor="text1"/>
                <w:kern w:val="2"/>
                <w:sz w:val="21"/>
                <w:szCs w:val="21"/>
                <w:highlight w:val="none"/>
                <w:lang w:val="en-US" w:eastAsia="zh-CN" w:bidi="ar-SA"/>
                <w14:textFill>
                  <w14:solidFill>
                    <w14:schemeClr w14:val="tx1"/>
                  </w14:solidFill>
                </w14:textFill>
              </w:rPr>
              <w:t>量情况详见表37，经整改后现有工程污染物产排情况详见表38。</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现有</w:t>
            </w:r>
            <w:r>
              <w:rPr>
                <w:rFonts w:hint="eastAsia" w:eastAsia="黑体" w:cs="Times New Roman"/>
                <w:color w:val="000000" w:themeColor="text1"/>
                <w:sz w:val="21"/>
                <w:szCs w:val="21"/>
                <w:highlight w:val="none"/>
                <w:lang w:val="en-US" w:eastAsia="zh-CN"/>
                <w14:textFill>
                  <w14:solidFill>
                    <w14:schemeClr w14:val="tx1"/>
                  </w14:solidFill>
                </w14:textFill>
              </w:rPr>
              <w:t>工程</w:t>
            </w: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污染物排放情况一览表</w:t>
            </w:r>
            <w:r>
              <w:rPr>
                <w:rFonts w:hint="eastAsia" w:eastAsia="黑体" w:cs="Times New Roman"/>
                <w:color w:val="000000" w:themeColor="text1"/>
                <w:sz w:val="21"/>
                <w:szCs w:val="21"/>
                <w:highlight w:val="none"/>
                <w:lang w:val="en-US" w:eastAsia="zh-CN"/>
                <w14:textFill>
                  <w14:solidFill>
                    <w14:schemeClr w14:val="tx1"/>
                  </w14:solidFill>
                </w14:textFill>
              </w:rPr>
              <w:t>（整改前）</w:t>
            </w:r>
          </w:p>
          <w:tbl>
            <w:tblPr>
              <w:tblStyle w:val="21"/>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75"/>
              <w:gridCol w:w="813"/>
              <w:gridCol w:w="897"/>
              <w:gridCol w:w="915"/>
              <w:gridCol w:w="1088"/>
              <w:gridCol w:w="1088"/>
              <w:gridCol w:w="1137"/>
              <w:gridCol w:w="116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项目</w:t>
                  </w:r>
                </w:p>
              </w:tc>
              <w:tc>
                <w:tcPr>
                  <w:tcW w:w="1045" w:type="pct"/>
                  <w:gridSpan w:val="2"/>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污染物</w:t>
                  </w:r>
                </w:p>
              </w:tc>
              <w:tc>
                <w:tcPr>
                  <w:tcW w:w="559"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单位</w:t>
                  </w:r>
                </w:p>
              </w:tc>
              <w:tc>
                <w:tcPr>
                  <w:tcW w:w="665" w:type="pct"/>
                  <w:vMerge w:val="restart"/>
                  <w:tcBorders>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eastAsia" w:ascii="Times New Roman" w:hAnsi="Times New Roman" w:cs="Times New Roman"/>
                      <w:color w:val="000000" w:themeColor="text1"/>
                      <w:sz w:val="18"/>
                      <w:szCs w:val="18"/>
                      <w:highlight w:val="none"/>
                      <w:lang w:eastAsia="zh-CN"/>
                      <w14:textFill>
                        <w14:solidFill>
                          <w14:schemeClr w14:val="tx1"/>
                        </w14:solidFill>
                      </w14:textFill>
                    </w:rPr>
                    <w:t>产生量</w:t>
                  </w:r>
                </w:p>
              </w:tc>
              <w:tc>
                <w:tcPr>
                  <w:tcW w:w="665" w:type="pct"/>
                  <w:vMerge w:val="restart"/>
                  <w:tcBorders>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eastAsia" w:ascii="Times New Roman" w:hAnsi="Times New Roman" w:cs="Times New Roman"/>
                      <w:color w:val="000000" w:themeColor="text1"/>
                      <w:sz w:val="18"/>
                      <w:szCs w:val="18"/>
                      <w:highlight w:val="none"/>
                      <w:lang w:eastAsia="zh-CN"/>
                      <w14:textFill>
                        <w14:solidFill>
                          <w14:schemeClr w14:val="tx1"/>
                        </w14:solidFill>
                      </w14:textFill>
                    </w:rPr>
                    <w:t>消减量</w:t>
                  </w:r>
                </w:p>
              </w:tc>
              <w:tc>
                <w:tcPr>
                  <w:tcW w:w="1407" w:type="pct"/>
                  <w:gridSpan w:val="2"/>
                  <w:tcBorders>
                    <w:lef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排放量</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045" w:type="pct"/>
                  <w:gridSpan w:val="2"/>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559"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p>
              </w:tc>
              <w:tc>
                <w:tcPr>
                  <w:tcW w:w="665" w:type="pct"/>
                  <w:vMerge w:val="continue"/>
                  <w:tcBorders>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665" w:type="pct"/>
                  <w:vMerge w:val="continue"/>
                  <w:tcBorders>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695" w:type="pct"/>
                  <w:tcBorders>
                    <w:lef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实际排放量</w:t>
                  </w:r>
                </w:p>
              </w:tc>
              <w:tc>
                <w:tcPr>
                  <w:tcW w:w="71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环评批复量</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657"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废水</w:t>
                  </w:r>
                </w:p>
              </w:tc>
              <w:tc>
                <w:tcPr>
                  <w:tcW w:w="1045" w:type="pct"/>
                  <w:gridSpan w:val="2"/>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废水量</w:t>
                  </w:r>
                </w:p>
              </w:tc>
              <w:tc>
                <w:tcPr>
                  <w:tcW w:w="559"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m</w:t>
                  </w:r>
                  <w:r>
                    <w:rPr>
                      <w:rFonts w:hint="default" w:ascii="Times New Roman" w:hAnsi="Times New Roman" w:cs="Times New Roman"/>
                      <w:color w:val="000000" w:themeColor="text1"/>
                      <w:sz w:val="18"/>
                      <w:szCs w:val="18"/>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/a</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p>
              </w:tc>
              <w:tc>
                <w:tcPr>
                  <w:tcW w:w="665" w:type="pct"/>
                  <w:tcBorders>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384</w:t>
                  </w:r>
                </w:p>
              </w:tc>
              <w:tc>
                <w:tcPr>
                  <w:tcW w:w="665" w:type="pct"/>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w:t>
                  </w:r>
                </w:p>
              </w:tc>
              <w:tc>
                <w:tcPr>
                  <w:tcW w:w="695" w:type="pct"/>
                  <w:tcBorders>
                    <w:lef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384</w:t>
                  </w:r>
                </w:p>
              </w:tc>
              <w:tc>
                <w:tcPr>
                  <w:tcW w:w="71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p>
              </w:tc>
              <w:tc>
                <w:tcPr>
                  <w:tcW w:w="1045" w:type="pct"/>
                  <w:gridSpan w:val="2"/>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COD</w:t>
                  </w:r>
                </w:p>
              </w:tc>
              <w:tc>
                <w:tcPr>
                  <w:tcW w:w="559"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0.1152</w:t>
                  </w:r>
                </w:p>
              </w:tc>
              <w:tc>
                <w:tcPr>
                  <w:tcW w:w="665" w:type="pct"/>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0.0998</w:t>
                  </w:r>
                </w:p>
              </w:tc>
              <w:tc>
                <w:tcPr>
                  <w:tcW w:w="695" w:type="pct"/>
                  <w:tcBorders>
                    <w:lef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0.0154</w:t>
                  </w:r>
                </w:p>
              </w:tc>
              <w:tc>
                <w:tcPr>
                  <w:tcW w:w="71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045" w:type="pct"/>
                  <w:gridSpan w:val="2"/>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SS</w:t>
                  </w:r>
                </w:p>
              </w:tc>
              <w:tc>
                <w:tcPr>
                  <w:tcW w:w="559"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0.0576</w:t>
                  </w:r>
                </w:p>
              </w:tc>
              <w:tc>
                <w:tcPr>
                  <w:tcW w:w="665" w:type="pct"/>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0.0553</w:t>
                  </w:r>
                </w:p>
              </w:tc>
              <w:tc>
                <w:tcPr>
                  <w:tcW w:w="695" w:type="pct"/>
                  <w:tcBorders>
                    <w:lef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0.0023</w:t>
                  </w:r>
                </w:p>
              </w:tc>
              <w:tc>
                <w:tcPr>
                  <w:tcW w:w="71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65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045" w:type="pct"/>
                  <w:gridSpan w:val="2"/>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NH</w:t>
                  </w:r>
                  <w:r>
                    <w:rPr>
                      <w:rFonts w:hint="default" w:ascii="Times New Roman" w:hAnsi="Times New Roman" w:cs="Times New Roman"/>
                      <w:color w:val="000000" w:themeColor="text1"/>
                      <w:sz w:val="18"/>
                      <w:szCs w:val="18"/>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-N</w:t>
                  </w:r>
                </w:p>
              </w:tc>
              <w:tc>
                <w:tcPr>
                  <w:tcW w:w="559"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0.0104</w:t>
                  </w:r>
                </w:p>
              </w:tc>
              <w:tc>
                <w:tcPr>
                  <w:tcW w:w="665" w:type="pct"/>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0.0098</w:t>
                  </w:r>
                </w:p>
              </w:tc>
              <w:tc>
                <w:tcPr>
                  <w:tcW w:w="695" w:type="pct"/>
                  <w:tcBorders>
                    <w:lef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0.0006</w:t>
                  </w:r>
                </w:p>
              </w:tc>
              <w:tc>
                <w:tcPr>
                  <w:tcW w:w="71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045" w:type="pct"/>
                  <w:gridSpan w:val="2"/>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TP</w:t>
                  </w:r>
                </w:p>
              </w:tc>
              <w:tc>
                <w:tcPr>
                  <w:tcW w:w="559"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0.0001</w:t>
                  </w:r>
                </w:p>
              </w:tc>
              <w:tc>
                <w:tcPr>
                  <w:tcW w:w="665" w:type="pct"/>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w:t>
                  </w:r>
                </w:p>
              </w:tc>
              <w:tc>
                <w:tcPr>
                  <w:tcW w:w="695" w:type="pct"/>
                  <w:tcBorders>
                    <w:lef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0.0001</w:t>
                  </w:r>
                </w:p>
              </w:tc>
              <w:tc>
                <w:tcPr>
                  <w:tcW w:w="71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657"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废气</w:t>
                  </w:r>
                </w:p>
              </w:tc>
              <w:tc>
                <w:tcPr>
                  <w:tcW w:w="497"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颗粒物</w:t>
                  </w:r>
                </w:p>
              </w:tc>
              <w:tc>
                <w:tcPr>
                  <w:tcW w:w="897" w:type="dxa"/>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eastAsia"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有组织</w:t>
                  </w:r>
                </w:p>
              </w:tc>
              <w:tc>
                <w:tcPr>
                  <w:tcW w:w="55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r>
                    <w:rPr>
                      <w:rFonts w:hint="eastAsia" w:cs="Times New Roman"/>
                      <w:b/>
                      <w:bCs/>
                      <w:color w:val="000000" w:themeColor="text1"/>
                      <w:kern w:val="2"/>
                      <w:sz w:val="18"/>
                      <w:szCs w:val="18"/>
                      <w:highlight w:val="none"/>
                      <w:u w:val="single"/>
                      <w:lang w:val="en-US" w:eastAsia="zh-CN" w:bidi="ar-SA"/>
                      <w14:textFill>
                        <w14:solidFill>
                          <w14:schemeClr w14:val="tx1"/>
                        </w14:solidFill>
                      </w14:textFill>
                    </w:rPr>
                    <w:t>0.1566</w:t>
                  </w:r>
                </w:p>
              </w:tc>
              <w:tc>
                <w:tcPr>
                  <w:tcW w:w="665" w:type="pct"/>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r>
                    <w:rPr>
                      <w:rFonts w:hint="eastAsia" w:cs="Times New Roman"/>
                      <w:b/>
                      <w:bCs/>
                      <w:color w:val="000000" w:themeColor="text1"/>
                      <w:kern w:val="2"/>
                      <w:sz w:val="18"/>
                      <w:szCs w:val="18"/>
                      <w:highlight w:val="none"/>
                      <w:u w:val="single"/>
                      <w:lang w:val="en-US" w:eastAsia="zh-CN" w:bidi="ar-SA"/>
                      <w14:textFill>
                        <w14:solidFill>
                          <w14:schemeClr w14:val="tx1"/>
                        </w14:solidFill>
                      </w14:textFill>
                    </w:rPr>
                    <w:t>0</w:t>
                  </w:r>
                </w:p>
              </w:tc>
              <w:tc>
                <w:tcPr>
                  <w:tcW w:w="695" w:type="pct"/>
                  <w:tcBorders>
                    <w:lef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r>
                    <w:rPr>
                      <w:rFonts w:hint="eastAsia" w:cs="Times New Roman"/>
                      <w:b/>
                      <w:bCs/>
                      <w:color w:val="000000" w:themeColor="text1"/>
                      <w:kern w:val="2"/>
                      <w:sz w:val="18"/>
                      <w:szCs w:val="18"/>
                      <w:highlight w:val="none"/>
                      <w:u w:val="single"/>
                      <w:lang w:val="en-US" w:eastAsia="zh-CN" w:bidi="ar-SA"/>
                      <w14:textFill>
                        <w14:solidFill>
                          <w14:schemeClr w14:val="tx1"/>
                        </w14:solidFill>
                      </w14:textFill>
                    </w:rPr>
                    <w:t>0.1566</w:t>
                  </w:r>
                </w:p>
              </w:tc>
              <w:tc>
                <w:tcPr>
                  <w:tcW w:w="71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eastAsia" w:cs="Times New Roman"/>
                      <w:b/>
                      <w:bCs/>
                      <w:color w:val="000000" w:themeColor="text1"/>
                      <w:sz w:val="18"/>
                      <w:szCs w:val="18"/>
                      <w:highlight w:val="none"/>
                      <w:u w:val="single"/>
                      <w:lang w:val="en-US" w:eastAsia="zh-CN"/>
                      <w14:textFill>
                        <w14:solidFill>
                          <w14:schemeClr w14:val="tx1"/>
                        </w14:solidFill>
                      </w14:textFill>
                    </w:rPr>
                    <w:t>3.3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65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49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eastAsia" w:cs="Times New Roman"/>
                      <w:color w:val="000000" w:themeColor="text1"/>
                      <w:sz w:val="18"/>
                      <w:szCs w:val="18"/>
                      <w:highlight w:val="none"/>
                      <w:lang w:eastAsia="zh-CN"/>
                      <w14:textFill>
                        <w14:solidFill>
                          <w14:schemeClr w14:val="tx1"/>
                        </w14:solidFill>
                      </w14:textFill>
                    </w:rPr>
                  </w:pPr>
                </w:p>
              </w:tc>
              <w:tc>
                <w:tcPr>
                  <w:tcW w:w="897" w:type="dxa"/>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eastAsia"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无组织</w:t>
                  </w:r>
                </w:p>
              </w:tc>
              <w:tc>
                <w:tcPr>
                  <w:tcW w:w="55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cs="Times New Roman"/>
                      <w:b/>
                      <w:bCs/>
                      <w:color w:val="000000" w:themeColor="text1"/>
                      <w:kern w:val="2"/>
                      <w:sz w:val="18"/>
                      <w:szCs w:val="18"/>
                      <w:highlight w:val="none"/>
                      <w:u w:val="single"/>
                      <w:lang w:val="en-US" w:eastAsia="zh-CN" w:bidi="ar-SA"/>
                      <w14:textFill>
                        <w14:solidFill>
                          <w14:schemeClr w14:val="tx1"/>
                        </w14:solidFill>
                      </w14:textFill>
                    </w:rPr>
                  </w:pPr>
                  <w:r>
                    <w:rPr>
                      <w:rFonts w:hint="eastAsia" w:cs="Times New Roman"/>
                      <w:b/>
                      <w:bCs/>
                      <w:color w:val="000000" w:themeColor="text1"/>
                      <w:kern w:val="2"/>
                      <w:sz w:val="18"/>
                      <w:szCs w:val="18"/>
                      <w:highlight w:val="none"/>
                      <w:u w:val="single"/>
                      <w:lang w:val="en-US" w:eastAsia="zh-CN" w:bidi="ar-SA"/>
                      <w14:textFill>
                        <w14:solidFill>
                          <w14:schemeClr w14:val="tx1"/>
                        </w14:solidFill>
                      </w14:textFill>
                    </w:rPr>
                    <w:t>24.2385</w:t>
                  </w:r>
                </w:p>
              </w:tc>
              <w:tc>
                <w:tcPr>
                  <w:tcW w:w="665" w:type="pct"/>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cs="Times New Roman"/>
                      <w:b/>
                      <w:bCs/>
                      <w:color w:val="000000" w:themeColor="text1"/>
                      <w:kern w:val="2"/>
                      <w:sz w:val="18"/>
                      <w:szCs w:val="18"/>
                      <w:highlight w:val="none"/>
                      <w:u w:val="single"/>
                      <w:lang w:val="en-US" w:eastAsia="zh-CN" w:bidi="ar-SA"/>
                      <w14:textFill>
                        <w14:solidFill>
                          <w14:schemeClr w14:val="tx1"/>
                        </w14:solidFill>
                      </w14:textFill>
                    </w:rPr>
                  </w:pPr>
                  <w:r>
                    <w:rPr>
                      <w:rFonts w:hint="eastAsia" w:cs="Times New Roman"/>
                      <w:b/>
                      <w:bCs/>
                      <w:color w:val="000000" w:themeColor="text1"/>
                      <w:kern w:val="2"/>
                      <w:sz w:val="18"/>
                      <w:szCs w:val="18"/>
                      <w:highlight w:val="none"/>
                      <w:u w:val="single"/>
                      <w:lang w:val="en-US" w:eastAsia="zh-CN" w:bidi="ar-SA"/>
                      <w14:textFill>
                        <w14:solidFill>
                          <w14:schemeClr w14:val="tx1"/>
                        </w14:solidFill>
                      </w14:textFill>
                    </w:rPr>
                    <w:t>0</w:t>
                  </w:r>
                </w:p>
              </w:tc>
              <w:tc>
                <w:tcPr>
                  <w:tcW w:w="695" w:type="pct"/>
                  <w:tcBorders>
                    <w:lef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cs="Times New Roman"/>
                      <w:b/>
                      <w:bCs/>
                      <w:color w:val="000000" w:themeColor="text1"/>
                      <w:kern w:val="2"/>
                      <w:sz w:val="18"/>
                      <w:szCs w:val="18"/>
                      <w:highlight w:val="none"/>
                      <w:u w:val="single"/>
                      <w:lang w:val="en-US" w:eastAsia="zh-CN" w:bidi="ar-SA"/>
                      <w14:textFill>
                        <w14:solidFill>
                          <w14:schemeClr w14:val="tx1"/>
                        </w14:solidFill>
                      </w14:textFill>
                    </w:rPr>
                  </w:pPr>
                  <w:r>
                    <w:rPr>
                      <w:rFonts w:hint="eastAsia" w:cs="Times New Roman"/>
                      <w:b/>
                      <w:bCs/>
                      <w:color w:val="000000" w:themeColor="text1"/>
                      <w:kern w:val="2"/>
                      <w:sz w:val="18"/>
                      <w:szCs w:val="18"/>
                      <w:highlight w:val="none"/>
                      <w:u w:val="single"/>
                      <w:lang w:val="en-US" w:eastAsia="zh-CN" w:bidi="ar-SA"/>
                      <w14:textFill>
                        <w14:solidFill>
                          <w14:schemeClr w14:val="tx1"/>
                        </w14:solidFill>
                      </w14:textFill>
                    </w:rPr>
                    <w:t>24.2385</w:t>
                  </w:r>
                </w:p>
              </w:tc>
              <w:tc>
                <w:tcPr>
                  <w:tcW w:w="71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eastAsia" w:cs="Times New Roman"/>
                      <w:b/>
                      <w:bCs/>
                      <w:color w:val="000000" w:themeColor="text1"/>
                      <w:sz w:val="18"/>
                      <w:szCs w:val="18"/>
                      <w:highlight w:val="none"/>
                      <w:u w:val="single"/>
                      <w:lang w:val="en-US" w:eastAsia="zh-CN"/>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65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045" w:type="pct"/>
                  <w:gridSpan w:val="2"/>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SO</w:t>
                  </w:r>
                  <w:r>
                    <w:rPr>
                      <w:rFonts w:hint="default" w:ascii="Times New Roman" w:hAnsi="Times New Roman" w:cs="Times New Roman"/>
                      <w:color w:val="000000" w:themeColor="text1"/>
                      <w:sz w:val="18"/>
                      <w:szCs w:val="18"/>
                      <w:highlight w:val="none"/>
                      <w:vertAlign w:val="subscript"/>
                      <w:lang w:val="en-US" w:eastAsia="zh-CN"/>
                      <w14:textFill>
                        <w14:solidFill>
                          <w14:schemeClr w14:val="tx1"/>
                        </w14:solidFill>
                      </w14:textFill>
                    </w:rPr>
                    <w:t>2</w:t>
                  </w:r>
                </w:p>
              </w:tc>
              <w:tc>
                <w:tcPr>
                  <w:tcW w:w="55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t>0.1392</w:t>
                  </w:r>
                </w:p>
              </w:tc>
              <w:tc>
                <w:tcPr>
                  <w:tcW w:w="665" w:type="pct"/>
                  <w:tcBorders>
                    <w:left w:val="single" w:color="000000" w:sz="4" w:space="0"/>
                    <w:right w:val="single" w:color="000000" w:sz="4" w:space="0"/>
                  </w:tcBorders>
                  <w:noWrap w:val="0"/>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eastAsia" w:ascii="Times New Roman" w:hAnsi="Times New Roman" w:cs="Times New Roman"/>
                      <w:b/>
                      <w:bCs/>
                      <w:color w:val="000000" w:themeColor="text1"/>
                      <w:sz w:val="18"/>
                      <w:szCs w:val="18"/>
                      <w:highlight w:val="none"/>
                      <w:u w:val="single"/>
                      <w:lang w:val="en-US" w:eastAsia="zh-CN"/>
                      <w14:textFill>
                        <w14:solidFill>
                          <w14:schemeClr w14:val="tx1"/>
                        </w14:solidFill>
                      </w14:textFill>
                    </w:rPr>
                    <w:t>0</w:t>
                  </w:r>
                </w:p>
              </w:tc>
              <w:tc>
                <w:tcPr>
                  <w:tcW w:w="695" w:type="pct"/>
                  <w:tcBorders>
                    <w:left w:val="single" w:color="000000" w:sz="4" w:space="0"/>
                  </w:tcBorders>
                  <w:noWrap w:val="0"/>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t>0.1392</w:t>
                  </w:r>
                </w:p>
              </w:tc>
              <w:tc>
                <w:tcPr>
                  <w:tcW w:w="71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1.4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65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045" w:type="pct"/>
                  <w:gridSpan w:val="2"/>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NO</w:t>
                  </w:r>
                  <w:r>
                    <w:rPr>
                      <w:rFonts w:hint="default" w:ascii="Times New Roman" w:hAnsi="Times New Roman" w:cs="Times New Roman"/>
                      <w:color w:val="000000" w:themeColor="text1"/>
                      <w:sz w:val="18"/>
                      <w:szCs w:val="18"/>
                      <w:highlight w:val="none"/>
                      <w:vertAlign w:val="subscript"/>
                      <w:lang w:val="en-US" w:eastAsia="zh-CN"/>
                      <w14:textFill>
                        <w14:solidFill>
                          <w14:schemeClr w14:val="tx1"/>
                        </w14:solidFill>
                      </w14:textFill>
                    </w:rPr>
                    <w:t>x</w:t>
                  </w:r>
                </w:p>
              </w:tc>
              <w:tc>
                <w:tcPr>
                  <w:tcW w:w="55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eastAsia" w:ascii="Times New Roman" w:hAnsi="Times New Roman" w:cs="Times New Roman"/>
                      <w:b/>
                      <w:bCs/>
                      <w:color w:val="000000" w:themeColor="text1"/>
                      <w:sz w:val="18"/>
                      <w:szCs w:val="18"/>
                      <w:highlight w:val="none"/>
                      <w:u w:val="single"/>
                      <w:lang w:val="en-US" w:eastAsia="zh-CN"/>
                      <w14:textFill>
                        <w14:solidFill>
                          <w14:schemeClr w14:val="tx1"/>
                        </w14:solidFill>
                      </w14:textFill>
                    </w:rPr>
                    <w:t>2.088</w:t>
                  </w:r>
                </w:p>
              </w:tc>
              <w:tc>
                <w:tcPr>
                  <w:tcW w:w="665" w:type="pct"/>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eastAsia" w:ascii="Times New Roman" w:hAnsi="Times New Roman" w:cs="Times New Roman"/>
                      <w:b/>
                      <w:bCs/>
                      <w:color w:val="000000" w:themeColor="text1"/>
                      <w:sz w:val="18"/>
                      <w:szCs w:val="18"/>
                      <w:highlight w:val="none"/>
                      <w:u w:val="single"/>
                      <w:lang w:val="en-US" w:eastAsia="zh-CN"/>
                      <w14:textFill>
                        <w14:solidFill>
                          <w14:schemeClr w14:val="tx1"/>
                        </w14:solidFill>
                      </w14:textFill>
                    </w:rPr>
                    <w:t>1.7748</w:t>
                  </w:r>
                </w:p>
              </w:tc>
              <w:tc>
                <w:tcPr>
                  <w:tcW w:w="695" w:type="pct"/>
                  <w:tcBorders>
                    <w:lef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0.3132</w:t>
                  </w:r>
                </w:p>
              </w:tc>
              <w:tc>
                <w:tcPr>
                  <w:tcW w:w="71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65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045" w:type="pct"/>
                  <w:gridSpan w:val="2"/>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氨</w:t>
                  </w:r>
                </w:p>
              </w:tc>
              <w:tc>
                <w:tcPr>
                  <w:tcW w:w="55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eastAsia" w:ascii="Times New Roman" w:hAnsi="Times New Roman" w:cs="Times New Roman"/>
                      <w:b/>
                      <w:bCs/>
                      <w:color w:val="000000" w:themeColor="text1"/>
                      <w:sz w:val="18"/>
                      <w:szCs w:val="18"/>
                      <w:highlight w:val="none"/>
                      <w:u w:val="single"/>
                      <w:lang w:val="en-US" w:eastAsia="zh-CN"/>
                      <w14:textFill>
                        <w14:solidFill>
                          <w14:schemeClr w14:val="tx1"/>
                        </w14:solidFill>
                      </w14:textFill>
                    </w:rPr>
                    <w:t>/</w:t>
                  </w:r>
                </w:p>
              </w:tc>
              <w:tc>
                <w:tcPr>
                  <w:tcW w:w="665" w:type="pct"/>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eastAsia" w:ascii="Times New Roman" w:hAnsi="Times New Roman" w:cs="Times New Roman"/>
                      <w:b/>
                      <w:bCs/>
                      <w:color w:val="000000" w:themeColor="text1"/>
                      <w:sz w:val="18"/>
                      <w:szCs w:val="18"/>
                      <w:highlight w:val="none"/>
                      <w:u w:val="single"/>
                      <w:lang w:val="en-US" w:eastAsia="zh-CN"/>
                      <w14:textFill>
                        <w14:solidFill>
                          <w14:schemeClr w14:val="tx1"/>
                        </w14:solidFill>
                      </w14:textFill>
                    </w:rPr>
                    <w:t>/</w:t>
                  </w:r>
                </w:p>
              </w:tc>
              <w:tc>
                <w:tcPr>
                  <w:tcW w:w="695" w:type="pct"/>
                  <w:tcBorders>
                    <w:lef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0.0646</w:t>
                  </w:r>
                </w:p>
              </w:tc>
              <w:tc>
                <w:tcPr>
                  <w:tcW w:w="71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固体废物</w:t>
                  </w:r>
                </w:p>
              </w:tc>
              <w:tc>
                <w:tcPr>
                  <w:tcW w:w="1045" w:type="pct"/>
                  <w:gridSpan w:val="2"/>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危险废物</w:t>
                  </w:r>
                </w:p>
              </w:tc>
              <w:tc>
                <w:tcPr>
                  <w:tcW w:w="559"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2</w:t>
                  </w:r>
                </w:p>
              </w:tc>
              <w:tc>
                <w:tcPr>
                  <w:tcW w:w="665" w:type="pct"/>
                  <w:tcBorders>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2</w:t>
                  </w:r>
                </w:p>
              </w:tc>
              <w:tc>
                <w:tcPr>
                  <w:tcW w:w="695" w:type="pct"/>
                  <w:tcBorders>
                    <w:lef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w:t>
                  </w:r>
                </w:p>
              </w:tc>
              <w:tc>
                <w:tcPr>
                  <w:tcW w:w="71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65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045" w:type="pct"/>
                  <w:gridSpan w:val="2"/>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一般固废</w:t>
                  </w:r>
                </w:p>
              </w:tc>
              <w:tc>
                <w:tcPr>
                  <w:tcW w:w="559"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799.24</w:t>
                  </w:r>
                </w:p>
              </w:tc>
              <w:tc>
                <w:tcPr>
                  <w:tcW w:w="665" w:type="pct"/>
                  <w:tcBorders>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799.24</w:t>
                  </w:r>
                </w:p>
              </w:tc>
              <w:tc>
                <w:tcPr>
                  <w:tcW w:w="695" w:type="pct"/>
                  <w:tcBorders>
                    <w:lef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w:t>
                  </w:r>
                </w:p>
              </w:tc>
              <w:tc>
                <w:tcPr>
                  <w:tcW w:w="71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w:t>
                  </w:r>
                </w:p>
              </w:tc>
            </w:tr>
          </w:tbl>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现有</w:t>
            </w:r>
            <w:r>
              <w:rPr>
                <w:rFonts w:hint="eastAsia" w:eastAsia="黑体" w:cs="Times New Roman"/>
                <w:color w:val="000000" w:themeColor="text1"/>
                <w:sz w:val="21"/>
                <w:szCs w:val="21"/>
                <w:highlight w:val="none"/>
                <w:lang w:val="en-US" w:eastAsia="zh-CN"/>
                <w14:textFill>
                  <w14:solidFill>
                    <w14:schemeClr w14:val="tx1"/>
                  </w14:solidFill>
                </w14:textFill>
              </w:rPr>
              <w:t>工程</w:t>
            </w: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污染物排放情况一览表</w:t>
            </w:r>
            <w:r>
              <w:rPr>
                <w:rFonts w:hint="eastAsia" w:eastAsia="黑体" w:cs="Times New Roman"/>
                <w:color w:val="000000" w:themeColor="text1"/>
                <w:sz w:val="21"/>
                <w:szCs w:val="21"/>
                <w:highlight w:val="none"/>
                <w:lang w:val="en-US" w:eastAsia="zh-CN"/>
                <w14:textFill>
                  <w14:solidFill>
                    <w14:schemeClr w14:val="tx1"/>
                  </w14:solidFill>
                </w14:textFill>
              </w:rPr>
              <w:t>（整改后）</w:t>
            </w:r>
          </w:p>
          <w:tbl>
            <w:tblPr>
              <w:tblStyle w:val="21"/>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75"/>
              <w:gridCol w:w="787"/>
              <w:gridCol w:w="923"/>
              <w:gridCol w:w="915"/>
              <w:gridCol w:w="1088"/>
              <w:gridCol w:w="1088"/>
              <w:gridCol w:w="1137"/>
              <w:gridCol w:w="116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57"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项目</w:t>
                  </w:r>
                </w:p>
              </w:tc>
              <w:tc>
                <w:tcPr>
                  <w:tcW w:w="1045" w:type="pct"/>
                  <w:gridSpan w:val="2"/>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污染物</w:t>
                  </w:r>
                </w:p>
              </w:tc>
              <w:tc>
                <w:tcPr>
                  <w:tcW w:w="559"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单位</w:t>
                  </w:r>
                </w:p>
              </w:tc>
              <w:tc>
                <w:tcPr>
                  <w:tcW w:w="665" w:type="pct"/>
                  <w:vMerge w:val="restart"/>
                  <w:tcBorders>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eastAsia" w:ascii="Times New Roman" w:hAnsi="Times New Roman" w:cs="Times New Roman"/>
                      <w:color w:val="000000" w:themeColor="text1"/>
                      <w:sz w:val="18"/>
                      <w:szCs w:val="18"/>
                      <w:highlight w:val="none"/>
                      <w:lang w:eastAsia="zh-CN"/>
                      <w14:textFill>
                        <w14:solidFill>
                          <w14:schemeClr w14:val="tx1"/>
                        </w14:solidFill>
                      </w14:textFill>
                    </w:rPr>
                    <w:t>产生量</w:t>
                  </w:r>
                </w:p>
              </w:tc>
              <w:tc>
                <w:tcPr>
                  <w:tcW w:w="665" w:type="pct"/>
                  <w:vMerge w:val="restart"/>
                  <w:tcBorders>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eastAsia" w:ascii="Times New Roman" w:hAnsi="Times New Roman" w:cs="Times New Roman"/>
                      <w:color w:val="000000" w:themeColor="text1"/>
                      <w:sz w:val="18"/>
                      <w:szCs w:val="18"/>
                      <w:highlight w:val="none"/>
                      <w:lang w:eastAsia="zh-CN"/>
                      <w14:textFill>
                        <w14:solidFill>
                          <w14:schemeClr w14:val="tx1"/>
                        </w14:solidFill>
                      </w14:textFill>
                    </w:rPr>
                    <w:t>消减量</w:t>
                  </w:r>
                </w:p>
              </w:tc>
              <w:tc>
                <w:tcPr>
                  <w:tcW w:w="1407" w:type="pct"/>
                  <w:gridSpan w:val="2"/>
                  <w:tcBorders>
                    <w:lef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排放量</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65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045" w:type="pct"/>
                  <w:gridSpan w:val="2"/>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559"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p>
              </w:tc>
              <w:tc>
                <w:tcPr>
                  <w:tcW w:w="665" w:type="pct"/>
                  <w:vMerge w:val="continue"/>
                  <w:tcBorders>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665" w:type="pct"/>
                  <w:vMerge w:val="continue"/>
                  <w:tcBorders>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695" w:type="pct"/>
                  <w:tcBorders>
                    <w:lef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实际排放量</w:t>
                  </w:r>
                </w:p>
              </w:tc>
              <w:tc>
                <w:tcPr>
                  <w:tcW w:w="71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环评批复量</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657"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废水</w:t>
                  </w:r>
                </w:p>
              </w:tc>
              <w:tc>
                <w:tcPr>
                  <w:tcW w:w="1045" w:type="pct"/>
                  <w:gridSpan w:val="2"/>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废水量</w:t>
                  </w:r>
                </w:p>
              </w:tc>
              <w:tc>
                <w:tcPr>
                  <w:tcW w:w="559"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m</w:t>
                  </w:r>
                  <w:r>
                    <w:rPr>
                      <w:rFonts w:hint="default" w:ascii="Times New Roman" w:hAnsi="Times New Roman" w:cs="Times New Roman"/>
                      <w:color w:val="000000" w:themeColor="text1"/>
                      <w:sz w:val="18"/>
                      <w:szCs w:val="18"/>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/a</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p>
              </w:tc>
              <w:tc>
                <w:tcPr>
                  <w:tcW w:w="665" w:type="pct"/>
                  <w:tcBorders>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384</w:t>
                  </w:r>
                </w:p>
              </w:tc>
              <w:tc>
                <w:tcPr>
                  <w:tcW w:w="665" w:type="pct"/>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w:t>
                  </w:r>
                </w:p>
              </w:tc>
              <w:tc>
                <w:tcPr>
                  <w:tcW w:w="695" w:type="pct"/>
                  <w:tcBorders>
                    <w:lef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384</w:t>
                  </w:r>
                </w:p>
              </w:tc>
              <w:tc>
                <w:tcPr>
                  <w:tcW w:w="71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p>
              </w:tc>
              <w:tc>
                <w:tcPr>
                  <w:tcW w:w="1045" w:type="pct"/>
                  <w:gridSpan w:val="2"/>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COD</w:t>
                  </w:r>
                </w:p>
              </w:tc>
              <w:tc>
                <w:tcPr>
                  <w:tcW w:w="559"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0.1152</w:t>
                  </w:r>
                </w:p>
              </w:tc>
              <w:tc>
                <w:tcPr>
                  <w:tcW w:w="665" w:type="pct"/>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0.0998</w:t>
                  </w:r>
                </w:p>
              </w:tc>
              <w:tc>
                <w:tcPr>
                  <w:tcW w:w="695" w:type="pct"/>
                  <w:tcBorders>
                    <w:lef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0.0154</w:t>
                  </w:r>
                </w:p>
              </w:tc>
              <w:tc>
                <w:tcPr>
                  <w:tcW w:w="71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045" w:type="pct"/>
                  <w:gridSpan w:val="2"/>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SS</w:t>
                  </w:r>
                </w:p>
              </w:tc>
              <w:tc>
                <w:tcPr>
                  <w:tcW w:w="559"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0.0576</w:t>
                  </w:r>
                </w:p>
              </w:tc>
              <w:tc>
                <w:tcPr>
                  <w:tcW w:w="665" w:type="pct"/>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0.0553</w:t>
                  </w:r>
                </w:p>
              </w:tc>
              <w:tc>
                <w:tcPr>
                  <w:tcW w:w="695" w:type="pct"/>
                  <w:tcBorders>
                    <w:lef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0.0023</w:t>
                  </w:r>
                </w:p>
              </w:tc>
              <w:tc>
                <w:tcPr>
                  <w:tcW w:w="71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045" w:type="pct"/>
                  <w:gridSpan w:val="2"/>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NH</w:t>
                  </w:r>
                  <w:r>
                    <w:rPr>
                      <w:rFonts w:hint="default" w:ascii="Times New Roman" w:hAnsi="Times New Roman" w:cs="Times New Roman"/>
                      <w:color w:val="000000" w:themeColor="text1"/>
                      <w:sz w:val="18"/>
                      <w:szCs w:val="18"/>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-N</w:t>
                  </w:r>
                </w:p>
              </w:tc>
              <w:tc>
                <w:tcPr>
                  <w:tcW w:w="559"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0.0104</w:t>
                  </w:r>
                </w:p>
              </w:tc>
              <w:tc>
                <w:tcPr>
                  <w:tcW w:w="665" w:type="pct"/>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0.0098</w:t>
                  </w:r>
                </w:p>
              </w:tc>
              <w:tc>
                <w:tcPr>
                  <w:tcW w:w="695" w:type="pct"/>
                  <w:tcBorders>
                    <w:lef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0.0006</w:t>
                  </w:r>
                </w:p>
              </w:tc>
              <w:tc>
                <w:tcPr>
                  <w:tcW w:w="71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045" w:type="pct"/>
                  <w:gridSpan w:val="2"/>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TP</w:t>
                  </w:r>
                </w:p>
              </w:tc>
              <w:tc>
                <w:tcPr>
                  <w:tcW w:w="559"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0.0001</w:t>
                  </w:r>
                </w:p>
              </w:tc>
              <w:tc>
                <w:tcPr>
                  <w:tcW w:w="665" w:type="pct"/>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w:t>
                  </w:r>
                </w:p>
              </w:tc>
              <w:tc>
                <w:tcPr>
                  <w:tcW w:w="695" w:type="pct"/>
                  <w:tcBorders>
                    <w:lef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t>0.0001</w:t>
                  </w:r>
                </w:p>
              </w:tc>
              <w:tc>
                <w:tcPr>
                  <w:tcW w:w="71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废气</w:t>
                  </w:r>
                </w:p>
              </w:tc>
              <w:tc>
                <w:tcPr>
                  <w:tcW w:w="481"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颗粒物</w:t>
                  </w:r>
                </w:p>
              </w:tc>
              <w:tc>
                <w:tcPr>
                  <w:tcW w:w="564"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有组织</w:t>
                  </w:r>
                </w:p>
              </w:tc>
              <w:tc>
                <w:tcPr>
                  <w:tcW w:w="55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r>
                    <w:rPr>
                      <w:rFonts w:hint="eastAsia" w:cs="Times New Roman"/>
                      <w:b/>
                      <w:bCs/>
                      <w:color w:val="000000" w:themeColor="text1"/>
                      <w:kern w:val="2"/>
                      <w:sz w:val="18"/>
                      <w:szCs w:val="18"/>
                      <w:highlight w:val="none"/>
                      <w:u w:val="single"/>
                      <w:lang w:val="en-US" w:eastAsia="zh-CN" w:bidi="ar-SA"/>
                      <w14:textFill>
                        <w14:solidFill>
                          <w14:schemeClr w14:val="tx1"/>
                        </w14:solidFill>
                      </w14:textFill>
                    </w:rPr>
                    <w:t>23.9103</w:t>
                  </w:r>
                </w:p>
              </w:tc>
              <w:tc>
                <w:tcPr>
                  <w:tcW w:w="665" w:type="pct"/>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r>
                    <w:rPr>
                      <w:rFonts w:hint="eastAsia" w:cs="Times New Roman"/>
                      <w:b/>
                      <w:bCs/>
                      <w:color w:val="000000" w:themeColor="text1"/>
                      <w:kern w:val="2"/>
                      <w:sz w:val="18"/>
                      <w:szCs w:val="18"/>
                      <w:highlight w:val="none"/>
                      <w:u w:val="single"/>
                      <w:lang w:val="en-US" w:eastAsia="zh-CN" w:bidi="ar-SA"/>
                      <w14:textFill>
                        <w14:solidFill>
                          <w14:schemeClr w14:val="tx1"/>
                        </w14:solidFill>
                      </w14:textFill>
                    </w:rPr>
                    <w:t>23.73</w:t>
                  </w:r>
                </w:p>
              </w:tc>
              <w:tc>
                <w:tcPr>
                  <w:tcW w:w="695" w:type="pct"/>
                  <w:tcBorders>
                    <w:lef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r>
                    <w:rPr>
                      <w:rFonts w:hint="eastAsia" w:cs="Times New Roman"/>
                      <w:b/>
                      <w:bCs/>
                      <w:color w:val="000000" w:themeColor="text1"/>
                      <w:kern w:val="2"/>
                      <w:sz w:val="18"/>
                      <w:szCs w:val="18"/>
                      <w:highlight w:val="none"/>
                      <w:u w:val="single"/>
                      <w:lang w:val="en-US" w:eastAsia="zh-CN" w:bidi="ar-SA"/>
                      <w14:textFill>
                        <w14:solidFill>
                          <w14:schemeClr w14:val="tx1"/>
                        </w14:solidFill>
                      </w14:textFill>
                    </w:rPr>
                    <w:t>0.1803</w:t>
                  </w:r>
                </w:p>
              </w:tc>
              <w:tc>
                <w:tcPr>
                  <w:tcW w:w="71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3.3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cyan"/>
                      <w14:textFill>
                        <w14:solidFill>
                          <w14:schemeClr w14:val="tx1"/>
                        </w14:solidFill>
                      </w14:textFill>
                    </w:rPr>
                  </w:pPr>
                </w:p>
              </w:tc>
              <w:tc>
                <w:tcPr>
                  <w:tcW w:w="481"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564"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无组织</w:t>
                  </w:r>
                </w:p>
              </w:tc>
              <w:tc>
                <w:tcPr>
                  <w:tcW w:w="55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r>
                    <w:rPr>
                      <w:rFonts w:hint="eastAsia" w:cs="Times New Roman"/>
                      <w:b/>
                      <w:bCs/>
                      <w:color w:val="000000" w:themeColor="text1"/>
                      <w:kern w:val="2"/>
                      <w:sz w:val="18"/>
                      <w:szCs w:val="18"/>
                      <w:highlight w:val="none"/>
                      <w:u w:val="single"/>
                      <w:lang w:val="en-US" w:eastAsia="zh-CN" w:bidi="ar-SA"/>
                      <w14:textFill>
                        <w14:solidFill>
                          <w14:schemeClr w14:val="tx1"/>
                        </w14:solidFill>
                      </w14:textFill>
                    </w:rPr>
                    <w:t>0.4848</w:t>
                  </w:r>
                </w:p>
              </w:tc>
              <w:tc>
                <w:tcPr>
                  <w:tcW w:w="665" w:type="pct"/>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r>
                    <w:rPr>
                      <w:rFonts w:hint="eastAsia" w:cs="Times New Roman"/>
                      <w:b/>
                      <w:bCs/>
                      <w:color w:val="000000" w:themeColor="text1"/>
                      <w:kern w:val="2"/>
                      <w:sz w:val="18"/>
                      <w:szCs w:val="18"/>
                      <w:highlight w:val="none"/>
                      <w:u w:val="single"/>
                      <w:lang w:val="en-US" w:eastAsia="zh-CN" w:bidi="ar-SA"/>
                      <w14:textFill>
                        <w14:solidFill>
                          <w14:schemeClr w14:val="tx1"/>
                        </w14:solidFill>
                      </w14:textFill>
                    </w:rPr>
                    <w:t>0.4605</w:t>
                  </w:r>
                </w:p>
              </w:tc>
              <w:tc>
                <w:tcPr>
                  <w:tcW w:w="695" w:type="pct"/>
                  <w:tcBorders>
                    <w:lef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r>
                    <w:rPr>
                      <w:rFonts w:hint="eastAsia" w:cs="Times New Roman"/>
                      <w:b/>
                      <w:bCs/>
                      <w:color w:val="000000" w:themeColor="text1"/>
                      <w:kern w:val="2"/>
                      <w:sz w:val="18"/>
                      <w:szCs w:val="18"/>
                      <w:highlight w:val="none"/>
                      <w:u w:val="single"/>
                      <w:lang w:val="en-US" w:eastAsia="zh-CN" w:bidi="ar-SA"/>
                      <w14:textFill>
                        <w14:solidFill>
                          <w14:schemeClr w14:val="tx1"/>
                        </w14:solidFill>
                      </w14:textFill>
                    </w:rPr>
                    <w:t>0.0243</w:t>
                  </w:r>
                </w:p>
              </w:tc>
              <w:tc>
                <w:tcPr>
                  <w:tcW w:w="71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65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cyan"/>
                      <w14:textFill>
                        <w14:solidFill>
                          <w14:schemeClr w14:val="tx1"/>
                        </w14:solidFill>
                      </w14:textFill>
                    </w:rPr>
                  </w:pPr>
                </w:p>
              </w:tc>
              <w:tc>
                <w:tcPr>
                  <w:tcW w:w="1045" w:type="pct"/>
                  <w:gridSpan w:val="2"/>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SO</w:t>
                  </w:r>
                  <w:r>
                    <w:rPr>
                      <w:rFonts w:hint="default" w:ascii="Times New Roman" w:hAnsi="Times New Roman" w:cs="Times New Roman"/>
                      <w:color w:val="000000" w:themeColor="text1"/>
                      <w:sz w:val="18"/>
                      <w:szCs w:val="18"/>
                      <w:highlight w:val="none"/>
                      <w:vertAlign w:val="subscript"/>
                      <w:lang w:val="en-US" w:eastAsia="zh-CN"/>
                      <w14:textFill>
                        <w14:solidFill>
                          <w14:schemeClr w14:val="tx1"/>
                        </w14:solidFill>
                      </w14:textFill>
                    </w:rPr>
                    <w:t>2</w:t>
                  </w:r>
                </w:p>
              </w:tc>
              <w:tc>
                <w:tcPr>
                  <w:tcW w:w="55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t>0.1392</w:t>
                  </w:r>
                </w:p>
              </w:tc>
              <w:tc>
                <w:tcPr>
                  <w:tcW w:w="665" w:type="pct"/>
                  <w:tcBorders>
                    <w:left w:val="single" w:color="000000" w:sz="4" w:space="0"/>
                    <w:right w:val="single" w:color="000000" w:sz="4" w:space="0"/>
                  </w:tcBorders>
                  <w:noWrap w:val="0"/>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eastAsia" w:ascii="Times New Roman" w:hAnsi="Times New Roman" w:cs="Times New Roman"/>
                      <w:b/>
                      <w:bCs/>
                      <w:color w:val="000000" w:themeColor="text1"/>
                      <w:sz w:val="18"/>
                      <w:szCs w:val="18"/>
                      <w:highlight w:val="none"/>
                      <w:u w:val="single"/>
                      <w:lang w:val="en-US" w:eastAsia="zh-CN"/>
                      <w14:textFill>
                        <w14:solidFill>
                          <w14:schemeClr w14:val="tx1"/>
                        </w14:solidFill>
                      </w14:textFill>
                    </w:rPr>
                    <w:t>0</w:t>
                  </w:r>
                </w:p>
              </w:tc>
              <w:tc>
                <w:tcPr>
                  <w:tcW w:w="695" w:type="pct"/>
                  <w:tcBorders>
                    <w:left w:val="single" w:color="000000" w:sz="4" w:space="0"/>
                  </w:tcBorders>
                  <w:noWrap w:val="0"/>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t>0.1392</w:t>
                  </w:r>
                </w:p>
              </w:tc>
              <w:tc>
                <w:tcPr>
                  <w:tcW w:w="71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1.4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cyan"/>
                      <w14:textFill>
                        <w14:solidFill>
                          <w14:schemeClr w14:val="tx1"/>
                        </w14:solidFill>
                      </w14:textFill>
                    </w:rPr>
                  </w:pPr>
                </w:p>
              </w:tc>
              <w:tc>
                <w:tcPr>
                  <w:tcW w:w="1045" w:type="pct"/>
                  <w:gridSpan w:val="2"/>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NO</w:t>
                  </w:r>
                  <w:r>
                    <w:rPr>
                      <w:rFonts w:hint="default" w:ascii="Times New Roman" w:hAnsi="Times New Roman" w:cs="Times New Roman"/>
                      <w:color w:val="000000" w:themeColor="text1"/>
                      <w:sz w:val="18"/>
                      <w:szCs w:val="18"/>
                      <w:highlight w:val="none"/>
                      <w:vertAlign w:val="subscript"/>
                      <w:lang w:val="en-US" w:eastAsia="zh-CN"/>
                      <w14:textFill>
                        <w14:solidFill>
                          <w14:schemeClr w14:val="tx1"/>
                        </w14:solidFill>
                      </w14:textFill>
                    </w:rPr>
                    <w:t>x</w:t>
                  </w:r>
                </w:p>
              </w:tc>
              <w:tc>
                <w:tcPr>
                  <w:tcW w:w="55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eastAsia" w:ascii="Times New Roman" w:hAnsi="Times New Roman" w:cs="Times New Roman"/>
                      <w:b/>
                      <w:bCs/>
                      <w:color w:val="000000" w:themeColor="text1"/>
                      <w:sz w:val="18"/>
                      <w:szCs w:val="18"/>
                      <w:highlight w:val="none"/>
                      <w:u w:val="single"/>
                      <w:lang w:val="en-US" w:eastAsia="zh-CN"/>
                      <w14:textFill>
                        <w14:solidFill>
                          <w14:schemeClr w14:val="tx1"/>
                        </w14:solidFill>
                      </w14:textFill>
                    </w:rPr>
                    <w:t>2.088</w:t>
                  </w:r>
                </w:p>
              </w:tc>
              <w:tc>
                <w:tcPr>
                  <w:tcW w:w="665" w:type="pct"/>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eastAsia" w:ascii="Times New Roman" w:hAnsi="Times New Roman" w:cs="Times New Roman"/>
                      <w:b/>
                      <w:bCs/>
                      <w:color w:val="000000" w:themeColor="text1"/>
                      <w:sz w:val="18"/>
                      <w:szCs w:val="18"/>
                      <w:highlight w:val="none"/>
                      <w:u w:val="single"/>
                      <w:lang w:val="en-US" w:eastAsia="zh-CN"/>
                      <w14:textFill>
                        <w14:solidFill>
                          <w14:schemeClr w14:val="tx1"/>
                        </w14:solidFill>
                      </w14:textFill>
                    </w:rPr>
                    <w:t>1.7748</w:t>
                  </w:r>
                </w:p>
              </w:tc>
              <w:tc>
                <w:tcPr>
                  <w:tcW w:w="695" w:type="pct"/>
                  <w:tcBorders>
                    <w:lef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0.3132</w:t>
                  </w:r>
                </w:p>
              </w:tc>
              <w:tc>
                <w:tcPr>
                  <w:tcW w:w="71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cyan"/>
                      <w14:textFill>
                        <w14:solidFill>
                          <w14:schemeClr w14:val="tx1"/>
                        </w14:solidFill>
                      </w14:textFill>
                    </w:rPr>
                  </w:pPr>
                </w:p>
              </w:tc>
              <w:tc>
                <w:tcPr>
                  <w:tcW w:w="1045" w:type="pct"/>
                  <w:gridSpan w:val="2"/>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氨</w:t>
                  </w:r>
                </w:p>
              </w:tc>
              <w:tc>
                <w:tcPr>
                  <w:tcW w:w="55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eastAsia" w:ascii="Times New Roman" w:hAnsi="Times New Roman" w:cs="Times New Roman"/>
                      <w:b/>
                      <w:bCs/>
                      <w:color w:val="000000" w:themeColor="text1"/>
                      <w:sz w:val="18"/>
                      <w:szCs w:val="18"/>
                      <w:highlight w:val="none"/>
                      <w:u w:val="single"/>
                      <w:lang w:val="en-US" w:eastAsia="zh-CN"/>
                      <w14:textFill>
                        <w14:solidFill>
                          <w14:schemeClr w14:val="tx1"/>
                        </w14:solidFill>
                      </w14:textFill>
                    </w:rPr>
                    <w:t>/</w:t>
                  </w:r>
                </w:p>
              </w:tc>
              <w:tc>
                <w:tcPr>
                  <w:tcW w:w="665" w:type="pct"/>
                  <w:tcBorders>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eastAsia" w:ascii="Times New Roman" w:hAnsi="Times New Roman" w:cs="Times New Roman"/>
                      <w:b/>
                      <w:bCs/>
                      <w:color w:val="000000" w:themeColor="text1"/>
                      <w:sz w:val="18"/>
                      <w:szCs w:val="18"/>
                      <w:highlight w:val="none"/>
                      <w:u w:val="single"/>
                      <w:lang w:val="en-US" w:eastAsia="zh-CN"/>
                      <w14:textFill>
                        <w14:solidFill>
                          <w14:schemeClr w14:val="tx1"/>
                        </w14:solidFill>
                      </w14:textFill>
                    </w:rPr>
                    <w:t>/</w:t>
                  </w:r>
                </w:p>
              </w:tc>
              <w:tc>
                <w:tcPr>
                  <w:tcW w:w="695" w:type="pct"/>
                  <w:tcBorders>
                    <w:lef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0.0646</w:t>
                  </w:r>
                </w:p>
              </w:tc>
              <w:tc>
                <w:tcPr>
                  <w:tcW w:w="71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657"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固体废物</w:t>
                  </w:r>
                </w:p>
              </w:tc>
              <w:tc>
                <w:tcPr>
                  <w:tcW w:w="1045" w:type="pct"/>
                  <w:gridSpan w:val="2"/>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危险废物</w:t>
                  </w:r>
                </w:p>
              </w:tc>
              <w:tc>
                <w:tcPr>
                  <w:tcW w:w="559"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2</w:t>
                  </w:r>
                </w:p>
              </w:tc>
              <w:tc>
                <w:tcPr>
                  <w:tcW w:w="665" w:type="pct"/>
                  <w:tcBorders>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2</w:t>
                  </w:r>
                </w:p>
              </w:tc>
              <w:tc>
                <w:tcPr>
                  <w:tcW w:w="695" w:type="pct"/>
                  <w:tcBorders>
                    <w:lef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w:t>
                  </w:r>
                </w:p>
              </w:tc>
              <w:tc>
                <w:tcPr>
                  <w:tcW w:w="71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045" w:type="pct"/>
                  <w:gridSpan w:val="2"/>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一般固废</w:t>
                  </w:r>
                </w:p>
              </w:tc>
              <w:tc>
                <w:tcPr>
                  <w:tcW w:w="559"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（t/a）</w:t>
                  </w:r>
                </w:p>
              </w:tc>
              <w:tc>
                <w:tcPr>
                  <w:tcW w:w="665" w:type="pct"/>
                  <w:tcBorders>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823.4305</w:t>
                  </w:r>
                </w:p>
              </w:tc>
              <w:tc>
                <w:tcPr>
                  <w:tcW w:w="665" w:type="pct"/>
                  <w:tcBorders>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823.4305</w:t>
                  </w:r>
                </w:p>
              </w:tc>
              <w:tc>
                <w:tcPr>
                  <w:tcW w:w="695" w:type="pct"/>
                  <w:tcBorders>
                    <w:lef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w:t>
                  </w:r>
                </w:p>
              </w:tc>
              <w:tc>
                <w:tcPr>
                  <w:tcW w:w="712" w:type="pc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w:t>
                  </w:r>
                </w:p>
              </w:tc>
            </w:tr>
          </w:tbl>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
                <w:bCs/>
                <w:color w:val="000000" w:themeColor="text1"/>
                <w:kern w:val="0"/>
                <w:szCs w:val="21"/>
                <w:highlight w:val="none"/>
                <w14:textFill>
                  <w14:solidFill>
                    <w14:schemeClr w14:val="tx1"/>
                  </w14:solidFill>
                </w14:textFill>
              </w:rPr>
            </w:pPr>
            <w:r>
              <w:rPr>
                <w:rFonts w:hint="default" w:ascii="Times New Roman" w:hAnsi="Times New Roman" w:cs="Times New Roman"/>
                <w:b/>
                <w:bCs/>
                <w:color w:val="000000" w:themeColor="text1"/>
                <w:kern w:val="0"/>
                <w:szCs w:val="21"/>
                <w:highlight w:val="none"/>
                <w:lang w:val="en-US" w:eastAsia="zh-CN"/>
                <w14:textFill>
                  <w14:solidFill>
                    <w14:schemeClr w14:val="tx1"/>
                  </w14:solidFill>
                </w14:textFill>
              </w:rPr>
              <w:t>9、</w:t>
            </w:r>
            <w:r>
              <w:rPr>
                <w:rFonts w:hint="default" w:ascii="Times New Roman" w:hAnsi="Times New Roman" w:cs="Times New Roman"/>
                <w:b/>
                <w:bCs/>
                <w:color w:val="000000" w:themeColor="text1"/>
                <w:kern w:val="0"/>
                <w:szCs w:val="21"/>
                <w:highlight w:val="none"/>
                <w14:textFill>
                  <w14:solidFill>
                    <w14:schemeClr w14:val="tx1"/>
                  </w14:solidFill>
                </w14:textFill>
              </w:rPr>
              <w:t>现有工程现存环保问题及整改措施</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b w:val="0"/>
                <w:bCs/>
                <w:color w:val="000000" w:themeColor="text1"/>
                <w:szCs w:val="21"/>
                <w:highlight w:val="none"/>
                <w:lang w:eastAsia="zh-CN"/>
                <w14:textFill>
                  <w14:solidFill>
                    <w14:schemeClr w14:val="tx1"/>
                  </w14:solidFill>
                </w14:textFill>
              </w:rPr>
              <w:t>根据现场调查，现有切割、焊接工序无环保措施，一般固废暂存间建设不符合标准要求，未设置危废暂存间等问题，现有工程问题梳理情况一览表。</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现有工程存在问题及整改措施</w:t>
            </w:r>
          </w:p>
          <w:tbl>
            <w:tblPr>
              <w:tblStyle w:val="21"/>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74" w:type="dxa"/>
                <w:left w:w="108" w:type="dxa"/>
                <w:bottom w:w="74" w:type="dxa"/>
                <w:right w:w="108" w:type="dxa"/>
              </w:tblCellMar>
            </w:tblPr>
            <w:tblGrid>
              <w:gridCol w:w="1045"/>
              <w:gridCol w:w="1516"/>
              <w:gridCol w:w="4472"/>
              <w:gridCol w:w="114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74" w:type="dxa"/>
                  <w:left w:w="108" w:type="dxa"/>
                  <w:bottom w:w="74" w:type="dxa"/>
                  <w:right w:w="108" w:type="dxa"/>
                </w:tblCellMar>
              </w:tblPrEx>
              <w:trPr>
                <w:trHeight w:val="454" w:hRule="atLeast"/>
                <w:jc w:val="center"/>
              </w:trPr>
              <w:tc>
                <w:tcPr>
                  <w:tcW w:w="63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项目</w:t>
                  </w: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现有问题</w:t>
                  </w:r>
                </w:p>
              </w:tc>
              <w:tc>
                <w:tcPr>
                  <w:tcW w:w="27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整改要求</w:t>
                  </w:r>
                </w:p>
              </w:tc>
              <w:tc>
                <w:tcPr>
                  <w:tcW w:w="70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整改期限</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74" w:type="dxa"/>
                  <w:left w:w="108" w:type="dxa"/>
                  <w:bottom w:w="74" w:type="dxa"/>
                  <w:right w:w="108" w:type="dxa"/>
                </w:tblCellMar>
              </w:tblPrEx>
              <w:trPr>
                <w:trHeight w:val="454" w:hRule="atLeast"/>
                <w:jc w:val="center"/>
              </w:trPr>
              <w:tc>
                <w:tcPr>
                  <w:tcW w:w="63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b/>
                      <w:bCs/>
                      <w:color w:val="000000" w:themeColor="text1"/>
                      <w:sz w:val="18"/>
                      <w:szCs w:val="18"/>
                      <w:u w:val="single"/>
                      <w:lang w:eastAsia="zh-CN"/>
                      <w14:textFill>
                        <w14:solidFill>
                          <w14:schemeClr w14:val="tx1"/>
                        </w14:solidFill>
                      </w14:textFill>
                    </w:rPr>
                  </w:pPr>
                  <w:r>
                    <w:rPr>
                      <w:rFonts w:hint="eastAsia" w:cs="Times New Roman"/>
                      <w:b/>
                      <w:bCs/>
                      <w:color w:val="000000" w:themeColor="text1"/>
                      <w:sz w:val="18"/>
                      <w:szCs w:val="18"/>
                      <w:u w:val="single"/>
                      <w:lang w:eastAsia="zh-CN"/>
                      <w14:textFill>
                        <w14:solidFill>
                          <w14:schemeClr w14:val="tx1"/>
                        </w14:solidFill>
                      </w14:textFill>
                    </w:rPr>
                    <w:t>成品、原料堆存</w:t>
                  </w: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14:textFill>
                        <w14:solidFill>
                          <w14:schemeClr w14:val="tx1"/>
                        </w14:solidFill>
                      </w14:textFill>
                    </w:rPr>
                  </w:pPr>
                  <w:r>
                    <w:rPr>
                      <w:rFonts w:hint="eastAsia" w:cs="Times New Roman"/>
                      <w:b/>
                      <w:bCs/>
                      <w:color w:val="000000" w:themeColor="text1"/>
                      <w:sz w:val="18"/>
                      <w:szCs w:val="18"/>
                      <w:u w:val="single"/>
                      <w:lang w:eastAsia="zh-CN"/>
                      <w14:textFill>
                        <w14:solidFill>
                          <w14:schemeClr w14:val="tx1"/>
                        </w14:solidFill>
                      </w14:textFill>
                    </w:rPr>
                    <w:t>厂区内露天存放成品、原料区域堆放散乱</w:t>
                  </w:r>
                </w:p>
              </w:tc>
              <w:tc>
                <w:tcPr>
                  <w:tcW w:w="27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b/>
                      <w:bCs/>
                      <w:color w:val="000000" w:themeColor="text1"/>
                      <w:sz w:val="18"/>
                      <w:szCs w:val="18"/>
                      <w:u w:val="single"/>
                      <w:lang w:eastAsia="zh-CN"/>
                      <w14:textFill>
                        <w14:solidFill>
                          <w14:schemeClr w14:val="tx1"/>
                        </w14:solidFill>
                      </w14:textFill>
                    </w:rPr>
                  </w:pPr>
                  <w:r>
                    <w:rPr>
                      <w:rFonts w:hint="eastAsia" w:cs="Times New Roman"/>
                      <w:b/>
                      <w:bCs/>
                      <w:color w:val="000000" w:themeColor="text1"/>
                      <w:sz w:val="18"/>
                      <w:szCs w:val="18"/>
                      <w:u w:val="single"/>
                      <w:lang w:eastAsia="zh-CN"/>
                      <w14:textFill>
                        <w14:solidFill>
                          <w14:schemeClr w14:val="tx1"/>
                        </w14:solidFill>
                      </w14:textFill>
                    </w:rPr>
                    <w:t>设置固定存放区域，堆放过程规范人员操作，确保原料、成品堆放整齐</w:t>
                  </w:r>
                </w:p>
              </w:tc>
              <w:tc>
                <w:tcPr>
                  <w:tcW w:w="70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14:textFill>
                        <w14:solidFill>
                          <w14:schemeClr w14:val="tx1"/>
                        </w14:solidFill>
                      </w14:textFill>
                    </w:rPr>
                  </w:pPr>
                  <w:r>
                    <w:rPr>
                      <w:rFonts w:hint="eastAsia" w:cs="Times New Roman"/>
                      <w:b/>
                      <w:bCs/>
                      <w:color w:val="000000" w:themeColor="text1"/>
                      <w:sz w:val="18"/>
                      <w:szCs w:val="18"/>
                      <w:u w:val="single"/>
                      <w:lang w:eastAsia="zh-CN"/>
                      <w14:textFill>
                        <w14:solidFill>
                          <w14:schemeClr w14:val="tx1"/>
                        </w14:solidFill>
                      </w14:textFill>
                    </w:rPr>
                    <w:t>正在整改中</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74" w:type="dxa"/>
                  <w:left w:w="108" w:type="dxa"/>
                  <w:bottom w:w="74" w:type="dxa"/>
                  <w:right w:w="108" w:type="dxa"/>
                </w:tblCellMar>
              </w:tblPrEx>
              <w:trPr>
                <w:trHeight w:val="454" w:hRule="atLeast"/>
                <w:jc w:val="center"/>
              </w:trPr>
              <w:tc>
                <w:tcPr>
                  <w:tcW w:w="63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r>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t>切割烟尘</w:t>
                  </w: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b/>
                      <w:bCs/>
                      <w:color w:val="000000" w:themeColor="text1"/>
                      <w:sz w:val="18"/>
                      <w:szCs w:val="18"/>
                      <w:u w:val="single"/>
                      <w:lang w:eastAsia="zh-CN"/>
                      <w14:textFill>
                        <w14:solidFill>
                          <w14:schemeClr w14:val="tx1"/>
                        </w14:solidFill>
                      </w14:textFill>
                    </w:rPr>
                  </w:pPr>
                  <w:r>
                    <w:rPr>
                      <w:rFonts w:hint="eastAsia" w:cs="Times New Roman"/>
                      <w:b/>
                      <w:bCs/>
                      <w:color w:val="000000" w:themeColor="text1"/>
                      <w:sz w:val="18"/>
                      <w:szCs w:val="18"/>
                      <w:u w:val="single"/>
                      <w:lang w:eastAsia="zh-CN"/>
                      <w14:textFill>
                        <w14:solidFill>
                          <w14:schemeClr w14:val="tx1"/>
                        </w14:solidFill>
                      </w14:textFill>
                    </w:rPr>
                    <w:t>无废气收集及处理措施</w:t>
                  </w:r>
                </w:p>
              </w:tc>
              <w:tc>
                <w:tcPr>
                  <w:tcW w:w="27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14:textFill>
                        <w14:solidFill>
                          <w14:schemeClr w14:val="tx1"/>
                        </w14:solidFill>
                      </w14:textFill>
                    </w:rPr>
                  </w:pPr>
                  <w:r>
                    <w:rPr>
                      <w:rFonts w:hint="eastAsia" w:cs="Times New Roman"/>
                      <w:b/>
                      <w:bCs/>
                      <w:color w:val="000000" w:themeColor="text1"/>
                      <w:sz w:val="18"/>
                      <w:szCs w:val="18"/>
                      <w:u w:val="single"/>
                      <w:lang w:eastAsia="zh-CN"/>
                      <w14:textFill>
                        <w14:solidFill>
                          <w14:schemeClr w14:val="tx1"/>
                        </w14:solidFill>
                      </w14:textFill>
                    </w:rPr>
                    <w:t>对切割工序</w:t>
                  </w:r>
                  <w:r>
                    <w:rPr>
                      <w:rFonts w:hint="default" w:ascii="Times New Roman" w:hAnsi="Times New Roman" w:cs="Times New Roman"/>
                      <w:b/>
                      <w:bCs/>
                      <w:color w:val="000000" w:themeColor="text1"/>
                      <w:sz w:val="18"/>
                      <w:szCs w:val="18"/>
                      <w:u w:val="single"/>
                      <w14:textFill>
                        <w14:solidFill>
                          <w14:schemeClr w14:val="tx1"/>
                        </w14:solidFill>
                      </w14:textFill>
                    </w:rPr>
                    <w:t>设置单独二次密闭间，并通过设置负压集气装置进行收集，通过1套脉冲袋式除尘器进行处理后经15m高排气筒排放</w:t>
                  </w:r>
                </w:p>
              </w:tc>
              <w:tc>
                <w:tcPr>
                  <w:tcW w:w="70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18"/>
                      <w:szCs w:val="18"/>
                      <w:u w:val="single"/>
                      <w:lang w:eastAsia="zh-CN"/>
                      <w14:textFill>
                        <w14:solidFill>
                          <w14:schemeClr w14:val="tx1"/>
                        </w14:solidFill>
                      </w14:textFill>
                    </w:rPr>
                  </w:pPr>
                  <w:r>
                    <w:rPr>
                      <w:rFonts w:hint="eastAsia" w:cs="Times New Roman"/>
                      <w:b/>
                      <w:bCs/>
                      <w:color w:val="000000" w:themeColor="text1"/>
                      <w:sz w:val="18"/>
                      <w:szCs w:val="18"/>
                      <w:u w:val="single"/>
                      <w:lang w:eastAsia="zh-CN"/>
                      <w14:textFill>
                        <w14:solidFill>
                          <w14:schemeClr w14:val="tx1"/>
                        </w14:solidFill>
                      </w14:textFill>
                    </w:rPr>
                    <w:t>正在整改中</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74" w:type="dxa"/>
                  <w:left w:w="108" w:type="dxa"/>
                  <w:bottom w:w="74" w:type="dxa"/>
                  <w:right w:w="108" w:type="dxa"/>
                </w:tblCellMar>
              </w:tblPrEx>
              <w:trPr>
                <w:trHeight w:val="454" w:hRule="atLeast"/>
                <w:jc w:val="center"/>
              </w:trPr>
              <w:tc>
                <w:tcPr>
                  <w:tcW w:w="63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eastAsia="宋体" w:cs="Times New Roman"/>
                      <w:color w:val="000000" w:themeColor="text1"/>
                      <w:sz w:val="18"/>
                      <w:szCs w:val="18"/>
                      <w:lang w:eastAsia="zh-CN"/>
                      <w14:textFill>
                        <w14:solidFill>
                          <w14:schemeClr w14:val="tx1"/>
                        </w14:solidFill>
                      </w14:textFill>
                    </w:rPr>
                    <w:t>焊接烟尘</w:t>
                  </w: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eastAsia" w:cs="Times New Roman"/>
                      <w:b/>
                      <w:bCs/>
                      <w:color w:val="000000" w:themeColor="text1"/>
                      <w:sz w:val="18"/>
                      <w:szCs w:val="18"/>
                      <w:u w:val="single"/>
                      <w:lang w:eastAsia="zh-CN"/>
                      <w14:textFill>
                        <w14:solidFill>
                          <w14:schemeClr w14:val="tx1"/>
                        </w14:solidFill>
                      </w14:textFill>
                    </w:rPr>
                    <w:t>无废气收集及处理措施</w:t>
                  </w:r>
                </w:p>
              </w:tc>
              <w:tc>
                <w:tcPr>
                  <w:tcW w:w="27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设置单独二次密闭间，并通过设置负压集气装置进行收集，通过1套脉冲袋式除尘器进行处理后经15m高排气筒排放</w:t>
                  </w:r>
                </w:p>
              </w:tc>
              <w:tc>
                <w:tcPr>
                  <w:tcW w:w="70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eastAsia" w:cs="Times New Roman"/>
                      <w:b/>
                      <w:bCs/>
                      <w:color w:val="000000" w:themeColor="text1"/>
                      <w:sz w:val="18"/>
                      <w:szCs w:val="18"/>
                      <w:u w:val="single"/>
                      <w:lang w:eastAsia="zh-CN"/>
                      <w14:textFill>
                        <w14:solidFill>
                          <w14:schemeClr w14:val="tx1"/>
                        </w14:solidFill>
                      </w14:textFill>
                    </w:rPr>
                    <w:t>正在整改中</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74" w:type="dxa"/>
                  <w:left w:w="108" w:type="dxa"/>
                  <w:bottom w:w="74" w:type="dxa"/>
                  <w:right w:w="108" w:type="dxa"/>
                </w:tblCellMar>
              </w:tblPrEx>
              <w:trPr>
                <w:trHeight w:val="454" w:hRule="atLeast"/>
                <w:jc w:val="center"/>
              </w:trPr>
              <w:tc>
                <w:tcPr>
                  <w:tcW w:w="63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一般固废暂存间</w:t>
                  </w: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无标识，存放不规范</w:t>
                  </w:r>
                </w:p>
              </w:tc>
              <w:tc>
                <w:tcPr>
                  <w:tcW w:w="27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设置标识，一般固废间内划分区域，分类存放</w:t>
                  </w:r>
                </w:p>
              </w:tc>
              <w:tc>
                <w:tcPr>
                  <w:tcW w:w="70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eastAsia" w:cs="Times New Roman"/>
                      <w:b/>
                      <w:bCs/>
                      <w:color w:val="000000" w:themeColor="text1"/>
                      <w:sz w:val="18"/>
                      <w:szCs w:val="18"/>
                      <w:u w:val="single"/>
                      <w:lang w:eastAsia="zh-CN"/>
                      <w14:textFill>
                        <w14:solidFill>
                          <w14:schemeClr w14:val="tx1"/>
                        </w14:solidFill>
                      </w14:textFill>
                    </w:rPr>
                    <w:t>正在整改中</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74" w:type="dxa"/>
                  <w:left w:w="108" w:type="dxa"/>
                  <w:bottom w:w="74" w:type="dxa"/>
                  <w:right w:w="108" w:type="dxa"/>
                </w:tblCellMar>
              </w:tblPrEx>
              <w:trPr>
                <w:trHeight w:val="454" w:hRule="atLeast"/>
                <w:jc w:val="center"/>
              </w:trPr>
              <w:tc>
                <w:tcPr>
                  <w:tcW w:w="63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b/>
                      <w:bCs/>
                      <w:color w:val="000000" w:themeColor="text1"/>
                      <w:sz w:val="18"/>
                      <w:szCs w:val="18"/>
                      <w:u w:val="single"/>
                      <w:lang w:eastAsia="zh-CN"/>
                      <w14:textFill>
                        <w14:solidFill>
                          <w14:schemeClr w14:val="tx1"/>
                        </w14:solidFill>
                      </w14:textFill>
                    </w:rPr>
                  </w:pPr>
                  <w:r>
                    <w:rPr>
                      <w:rFonts w:hint="eastAsia" w:cs="Times New Roman"/>
                      <w:b/>
                      <w:bCs/>
                      <w:color w:val="000000" w:themeColor="text1"/>
                      <w:sz w:val="18"/>
                      <w:szCs w:val="18"/>
                      <w:u w:val="single"/>
                      <w:lang w:eastAsia="zh-CN"/>
                      <w14:textFill>
                        <w14:solidFill>
                          <w14:schemeClr w14:val="tx1"/>
                        </w14:solidFill>
                      </w14:textFill>
                    </w:rPr>
                    <w:t>环境管理</w:t>
                  </w: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b/>
                      <w:bCs/>
                      <w:color w:val="000000" w:themeColor="text1"/>
                      <w:sz w:val="18"/>
                      <w:szCs w:val="18"/>
                      <w:u w:val="single"/>
                      <w:lang w:eastAsia="zh-CN"/>
                      <w14:textFill>
                        <w14:solidFill>
                          <w14:schemeClr w14:val="tx1"/>
                        </w14:solidFill>
                      </w14:textFill>
                    </w:rPr>
                  </w:pPr>
                  <w:r>
                    <w:rPr>
                      <w:rFonts w:hint="eastAsia" w:cs="Times New Roman"/>
                      <w:b/>
                      <w:bCs/>
                      <w:color w:val="000000" w:themeColor="text1"/>
                      <w:sz w:val="18"/>
                      <w:szCs w:val="18"/>
                      <w:u w:val="single"/>
                      <w:lang w:eastAsia="zh-CN"/>
                      <w14:textFill>
                        <w14:solidFill>
                          <w14:schemeClr w14:val="tx1"/>
                        </w14:solidFill>
                      </w14:textFill>
                    </w:rPr>
                    <w:t>现有工程台账记录不完善</w:t>
                  </w:r>
                </w:p>
              </w:tc>
              <w:tc>
                <w:tcPr>
                  <w:tcW w:w="27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b/>
                      <w:bCs/>
                      <w:color w:val="000000" w:themeColor="text1"/>
                      <w:sz w:val="18"/>
                      <w:szCs w:val="18"/>
                      <w:u w:val="single"/>
                      <w:lang w:eastAsia="zh-CN"/>
                      <w14:textFill>
                        <w14:solidFill>
                          <w14:schemeClr w14:val="tx1"/>
                        </w14:solidFill>
                      </w14:textFill>
                    </w:rPr>
                  </w:pPr>
                  <w:r>
                    <w:rPr>
                      <w:rFonts w:hint="eastAsia" w:cs="Times New Roman"/>
                      <w:b/>
                      <w:bCs/>
                      <w:color w:val="000000" w:themeColor="text1"/>
                      <w:sz w:val="18"/>
                      <w:szCs w:val="18"/>
                      <w:u w:val="single"/>
                      <w:lang w:eastAsia="zh-CN"/>
                      <w14:textFill>
                        <w14:solidFill>
                          <w14:schemeClr w14:val="tx1"/>
                        </w14:solidFill>
                      </w14:textFill>
                    </w:rPr>
                    <w:t>设置专员管理，并按照要求完善记录台账</w:t>
                  </w:r>
                </w:p>
              </w:tc>
              <w:tc>
                <w:tcPr>
                  <w:tcW w:w="70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u w:val="single"/>
                      <w14:textFill>
                        <w14:solidFill>
                          <w14:schemeClr w14:val="tx1"/>
                        </w14:solidFill>
                      </w14:textFill>
                    </w:rPr>
                  </w:pPr>
                  <w:r>
                    <w:rPr>
                      <w:rFonts w:hint="eastAsia" w:cs="Times New Roman"/>
                      <w:b/>
                      <w:bCs/>
                      <w:color w:val="000000" w:themeColor="text1"/>
                      <w:sz w:val="18"/>
                      <w:szCs w:val="18"/>
                      <w:u w:val="single"/>
                      <w:lang w:eastAsia="zh-CN"/>
                      <w14:textFill>
                        <w14:solidFill>
                          <w14:schemeClr w14:val="tx1"/>
                        </w14:solidFill>
                      </w14:textFill>
                    </w:rPr>
                    <w:t>正在整改中</w:t>
                  </w:r>
                </w:p>
              </w:tc>
            </w:tr>
          </w:tbl>
          <w:p>
            <w:pPr>
              <w:pStyle w:val="16"/>
              <w:keepNext w:val="0"/>
              <w:keepLines w:val="0"/>
              <w:pageBreakBefore w:val="0"/>
              <w:widowControl/>
              <w:kinsoku/>
              <w:wordWrap/>
              <w:overflowPunct/>
              <w:topLinePunct w:val="0"/>
              <w:autoSpaceDE/>
              <w:autoSpaceDN/>
              <w:bidi w:val="0"/>
              <w:adjustRightInd/>
              <w:snapToGrid/>
              <w:spacing w:before="0" w:beforeAutospacing="0" w:after="0" w:afterAutospacing="0"/>
              <w:ind w:left="0" w:leftChars="0" w:firstLine="0" w:firstLineChars="0"/>
              <w:jc w:val="both"/>
              <w:textAlignment w:val="auto"/>
              <w:rPr>
                <w:rFonts w:hint="default" w:ascii="Times New Roman" w:hAnsi="Times New Roman" w:eastAsia="黑体" w:cs="Times New Roman"/>
                <w:snapToGrid w:val="0"/>
                <w:color w:val="000000" w:themeColor="text1"/>
                <w:sz w:val="36"/>
                <w:szCs w:val="36"/>
                <w:highlight w:val="cyan"/>
                <w:vertAlign w:val="baseline"/>
                <w:lang w:eastAsia="zh-CN"/>
                <w14:textFill>
                  <w14:solidFill>
                    <w14:schemeClr w14:val="tx1"/>
                  </w14:solidFill>
                </w14:textFill>
              </w:rPr>
            </w:pPr>
            <w:r>
              <w:rPr>
                <w:rFonts w:hint="eastAsia" w:ascii="Times New Roman" w:hAnsi="Times New Roman" w:eastAsia="黑体" w:cs="Times New Roman"/>
                <w:snapToGrid w:val="0"/>
                <w:color w:val="000000" w:themeColor="text1"/>
                <w:sz w:val="36"/>
                <w:szCs w:val="36"/>
                <w:highlight w:val="none"/>
                <w:vertAlign w:val="baseline"/>
                <w:lang w:eastAsia="zh-CN"/>
                <w14:textFill>
                  <w14:solidFill>
                    <w14:schemeClr w14:val="tx1"/>
                  </w14:solidFill>
                </w14:textFill>
              </w:rPr>
              <w:t xml:space="preserve"> </w:t>
            </w:r>
            <w:r>
              <w:rPr>
                <w:rFonts w:hint="eastAsia" w:ascii="Times New Roman" w:hAnsi="Times New Roman" w:eastAsia="黑体" w:cs="Times New Roman"/>
                <w:snapToGrid w:val="0"/>
                <w:color w:val="000000" w:themeColor="text1"/>
                <w:sz w:val="36"/>
                <w:szCs w:val="36"/>
                <w:highlight w:val="cyan"/>
                <w:vertAlign w:val="baseline"/>
                <w:lang w:eastAsia="zh-CN"/>
                <w14:textFill>
                  <w14:solidFill>
                    <w14:schemeClr w14:val="tx1"/>
                  </w14:solidFill>
                </w14:textFill>
              </w:rPr>
              <w:br w:type="textWrapping"/>
            </w:r>
            <w:r>
              <w:rPr>
                <w:rFonts w:hint="eastAsia" w:ascii="Times New Roman" w:hAnsi="Times New Roman" w:eastAsia="黑体" w:cs="Times New Roman"/>
                <w:snapToGrid w:val="0"/>
                <w:color w:val="000000" w:themeColor="text1"/>
                <w:sz w:val="36"/>
                <w:szCs w:val="36"/>
                <w:highlight w:val="cyan"/>
                <w:vertAlign w:val="baseline"/>
                <w:lang w:eastAsia="zh-CN"/>
                <w14:textFill>
                  <w14:solidFill>
                    <w14:schemeClr w14:val="tx1"/>
                  </w14:solidFill>
                </w14:textFill>
              </w:rPr>
              <w:br w:type="textWrapping"/>
            </w:r>
            <w:r>
              <w:rPr>
                <w:rFonts w:hint="eastAsia" w:ascii="Times New Roman" w:hAnsi="Times New Roman" w:eastAsia="黑体" w:cs="Times New Roman"/>
                <w:snapToGrid w:val="0"/>
                <w:color w:val="000000" w:themeColor="text1"/>
                <w:sz w:val="36"/>
                <w:szCs w:val="36"/>
                <w:highlight w:val="cyan"/>
                <w:vertAlign w:val="baseline"/>
                <w:lang w:eastAsia="zh-CN"/>
                <w14:textFill>
                  <w14:solidFill>
                    <w14:schemeClr w14:val="tx1"/>
                  </w14:solidFill>
                </w14:textFill>
              </w:rPr>
              <w:br w:type="textWrapping"/>
            </w:r>
            <w:r>
              <w:rPr>
                <w:rFonts w:hint="eastAsia" w:ascii="Times New Roman" w:hAnsi="Times New Roman" w:eastAsia="黑体" w:cs="Times New Roman"/>
                <w:snapToGrid w:val="0"/>
                <w:color w:val="000000" w:themeColor="text1"/>
                <w:sz w:val="36"/>
                <w:szCs w:val="36"/>
                <w:highlight w:val="cyan"/>
                <w:vertAlign w:val="baseline"/>
                <w:lang w:eastAsia="zh-CN"/>
                <w14:textFill>
                  <w14:solidFill>
                    <w14:schemeClr w14:val="tx1"/>
                  </w14:solidFill>
                </w14:textFill>
              </w:rPr>
              <w:br w:type="textWrapping"/>
            </w:r>
            <w:r>
              <w:rPr>
                <w:rFonts w:hint="eastAsia" w:ascii="Times New Roman" w:hAnsi="Times New Roman" w:eastAsia="黑体" w:cs="Times New Roman"/>
                <w:snapToGrid w:val="0"/>
                <w:color w:val="000000" w:themeColor="text1"/>
                <w:sz w:val="36"/>
                <w:szCs w:val="36"/>
                <w:highlight w:val="cyan"/>
                <w:vertAlign w:val="baseline"/>
                <w:lang w:eastAsia="zh-CN"/>
                <w14:textFill>
                  <w14:solidFill>
                    <w14:schemeClr w14:val="tx1"/>
                  </w14:solidFill>
                </w14:textFill>
              </w:rPr>
              <w:br w:type="textWrapping"/>
            </w:r>
            <w:r>
              <w:rPr>
                <w:rFonts w:hint="eastAsia" w:ascii="Times New Roman" w:hAnsi="Times New Roman" w:eastAsia="黑体" w:cs="Times New Roman"/>
                <w:snapToGrid w:val="0"/>
                <w:color w:val="000000" w:themeColor="text1"/>
                <w:sz w:val="36"/>
                <w:szCs w:val="36"/>
                <w:highlight w:val="cyan"/>
                <w:vertAlign w:val="baseline"/>
                <w:lang w:eastAsia="zh-CN"/>
                <w14:textFill>
                  <w14:solidFill>
                    <w14:schemeClr w14:val="tx1"/>
                  </w14:solidFill>
                </w14:textFill>
              </w:rPr>
              <w:br w:type="textWrapping"/>
            </w:r>
            <w:r>
              <w:rPr>
                <w:rFonts w:hint="eastAsia" w:ascii="Times New Roman" w:hAnsi="Times New Roman" w:eastAsia="黑体" w:cs="Times New Roman"/>
                <w:snapToGrid w:val="0"/>
                <w:color w:val="000000" w:themeColor="text1"/>
                <w:sz w:val="36"/>
                <w:szCs w:val="36"/>
                <w:highlight w:val="cyan"/>
                <w:vertAlign w:val="baseline"/>
                <w:lang w:eastAsia="zh-CN"/>
                <w14:textFill>
                  <w14:solidFill>
                    <w14:schemeClr w14:val="tx1"/>
                  </w14:solidFill>
                </w14:textFill>
              </w:rPr>
              <w:br w:type="textWrapping"/>
            </w:r>
          </w:p>
        </w:tc>
      </w:tr>
    </w:tbl>
    <w:p>
      <w:pPr>
        <w:pStyle w:val="16"/>
        <w:jc w:val="center"/>
        <w:rPr>
          <w:rFonts w:hint="default" w:ascii="Times New Roman" w:hAnsi="Times New Roman" w:eastAsia="黑体" w:cs="Times New Roman"/>
          <w:snapToGrid w:val="0"/>
          <w:color w:val="000000" w:themeColor="text1"/>
          <w:sz w:val="36"/>
          <w:szCs w:val="36"/>
          <w:highlight w:val="cyan"/>
          <w14:textFill>
            <w14:solidFill>
              <w14:schemeClr w14:val="tx1"/>
            </w14:solidFill>
          </w14:textFill>
        </w:rPr>
        <w:sectPr>
          <w:pgSz w:w="11906" w:h="16838"/>
          <w:pgMar w:top="1803" w:right="1440" w:bottom="1803" w:left="1440" w:header="851" w:footer="851" w:gutter="0"/>
          <w:pgBorders>
            <w:top w:val="none" w:sz="0" w:space="0"/>
            <w:left w:val="none" w:sz="0" w:space="0"/>
            <w:bottom w:val="none" w:sz="0" w:space="0"/>
            <w:right w:val="none" w:sz="0" w:space="0"/>
          </w:pgBorders>
          <w:pgNumType w:fmt="decimal"/>
          <w:cols w:space="720" w:num="1"/>
          <w:docGrid w:linePitch="312" w:charSpace="0"/>
        </w:sectPr>
      </w:pPr>
    </w:p>
    <w:p>
      <w:pPr>
        <w:pStyle w:val="16"/>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0"/>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pPr>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t>三、区域环境质量现状、环境保护目标及评价标准</w:t>
      </w:r>
    </w:p>
    <w:tbl>
      <w:tblPr>
        <w:tblStyle w:val="2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0" w:type="dxa"/>
            <w:noWrap w:val="0"/>
            <w:vAlign w:val="center"/>
          </w:tcPr>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区域</w:t>
            </w:r>
          </w:p>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环境</w:t>
            </w:r>
          </w:p>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质量</w:t>
            </w:r>
          </w:p>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现状</w:t>
            </w:r>
          </w:p>
        </w:tc>
        <w:tc>
          <w:tcPr>
            <w:tcW w:w="8190" w:type="dxa"/>
            <w:noWrap w:val="0"/>
            <w:vAlign w:val="center"/>
          </w:tcPr>
          <w:p>
            <w:pPr>
              <w:keepNext w:val="0"/>
              <w:keepLines w:val="0"/>
              <w:pageBreakBefore w:val="0"/>
              <w:widowControl w:val="0"/>
              <w:numPr>
                <w:ilvl w:val="0"/>
                <w:numId w:val="12"/>
              </w:numPr>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环境空气质量现状</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cs="Times New Roman"/>
                <w:b w:val="0"/>
                <w:bCs w:val="0"/>
                <w:color w:val="000000" w:themeColor="text1"/>
                <w:sz w:val="21"/>
                <w:szCs w:val="21"/>
                <w:highlight w:val="none"/>
                <w:u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u w:val="none"/>
                <w14:textFill>
                  <w14:solidFill>
                    <w14:schemeClr w14:val="tx1"/>
                  </w14:solidFill>
                </w14:textFill>
              </w:rPr>
              <w:t>①项目所在区域达标判断</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u w:val="none"/>
                <w14:textFill>
                  <w14:solidFill>
                    <w14:schemeClr w14:val="tx1"/>
                  </w14:solidFill>
                </w14:textFill>
              </w:rPr>
              <w:t>项目所在地属空气环境质量二类功能区，环境空气质量应执行《环境空气质量标准》（GB3095-2012）二级标准。</w:t>
            </w:r>
            <w:r>
              <w:rPr>
                <w:rFonts w:hint="default" w:ascii="Times New Roman" w:hAnsi="Times New Roman" w:cs="Times New Roman"/>
                <w:color w:val="000000" w:themeColor="text1"/>
                <w:sz w:val="21"/>
                <w:szCs w:val="21"/>
                <w:highlight w:val="none"/>
                <w14:textFill>
                  <w14:solidFill>
                    <w14:schemeClr w14:val="tx1"/>
                  </w14:solidFill>
                </w14:textFill>
              </w:rPr>
              <w:t>根据新乡市生态环境局发布的《新乡市</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2021</w:t>
            </w:r>
            <w:r>
              <w:rPr>
                <w:rFonts w:hint="default" w:ascii="Times New Roman" w:hAnsi="Times New Roman" w:cs="Times New Roman"/>
                <w:color w:val="000000" w:themeColor="text1"/>
                <w:sz w:val="21"/>
                <w:szCs w:val="21"/>
                <w:highlight w:val="none"/>
                <w14:textFill>
                  <w14:solidFill>
                    <w14:schemeClr w14:val="tx1"/>
                  </w14:solidFill>
                </w14:textFill>
              </w:rPr>
              <w:t>年环境质量年报》，区域空气质量现状数据如下表所示。</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区域空气质量现状评价表</w:t>
            </w:r>
          </w:p>
          <w:tbl>
            <w:tblPr>
              <w:tblStyle w:val="21"/>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57" w:type="dxa"/>
                <w:left w:w="108" w:type="dxa"/>
                <w:bottom w:w="57" w:type="dxa"/>
                <w:right w:w="108" w:type="dxa"/>
              </w:tblCellMar>
            </w:tblPr>
            <w:tblGrid>
              <w:gridCol w:w="887"/>
              <w:gridCol w:w="1682"/>
              <w:gridCol w:w="1094"/>
              <w:gridCol w:w="1094"/>
              <w:gridCol w:w="1094"/>
              <w:gridCol w:w="1097"/>
              <w:gridCol w:w="102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56"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污染物</w:t>
                  </w:r>
                </w:p>
              </w:tc>
              <w:tc>
                <w:tcPr>
                  <w:tcW w:w="1054"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年评价指标</w:t>
                  </w:r>
                </w:p>
              </w:tc>
              <w:tc>
                <w:tcPr>
                  <w:tcW w:w="685"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现状浓度/（μg/m</w:t>
                  </w:r>
                  <w:r>
                    <w:rPr>
                      <w:rFonts w:hint="default" w:ascii="Times New Roman" w:hAnsi="Times New Roman" w:eastAsia="宋体" w:cs="Times New Roman"/>
                      <w:color w:val="000000" w:themeColor="text1"/>
                      <w:sz w:val="18"/>
                      <w:szCs w:val="18"/>
                      <w:vertAlign w:val="superscript"/>
                      <w14:textFill>
                        <w14:solidFill>
                          <w14:schemeClr w14:val="tx1"/>
                        </w14:solidFill>
                      </w14:textFill>
                    </w:rPr>
                    <w:t>3</w:t>
                  </w:r>
                  <w:r>
                    <w:rPr>
                      <w:rFonts w:hint="default" w:ascii="Times New Roman" w:hAnsi="Times New Roman" w:eastAsia="宋体" w:cs="Times New Roman"/>
                      <w:color w:val="000000" w:themeColor="text1"/>
                      <w:sz w:val="18"/>
                      <w:szCs w:val="18"/>
                      <w14:textFill>
                        <w14:solidFill>
                          <w14:schemeClr w14:val="tx1"/>
                        </w14:solidFill>
                      </w14:textFill>
                    </w:rPr>
                    <w:t>）</w:t>
                  </w:r>
                </w:p>
              </w:tc>
              <w:tc>
                <w:tcPr>
                  <w:tcW w:w="685"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标准值/（μg/m</w:t>
                  </w:r>
                  <w:r>
                    <w:rPr>
                      <w:rFonts w:hint="default" w:ascii="Times New Roman" w:hAnsi="Times New Roman" w:eastAsia="宋体" w:cs="Times New Roman"/>
                      <w:color w:val="000000" w:themeColor="text1"/>
                      <w:sz w:val="18"/>
                      <w:szCs w:val="18"/>
                      <w:vertAlign w:val="superscript"/>
                      <w14:textFill>
                        <w14:solidFill>
                          <w14:schemeClr w14:val="tx1"/>
                        </w14:solidFill>
                      </w14:textFill>
                    </w:rPr>
                    <w:t>3</w:t>
                  </w:r>
                  <w:r>
                    <w:rPr>
                      <w:rFonts w:hint="default" w:ascii="Times New Roman" w:hAnsi="Times New Roman" w:eastAsia="宋体" w:cs="Times New Roman"/>
                      <w:color w:val="000000" w:themeColor="text1"/>
                      <w:sz w:val="18"/>
                      <w:szCs w:val="18"/>
                      <w14:textFill>
                        <w14:solidFill>
                          <w14:schemeClr w14:val="tx1"/>
                        </w14:solidFill>
                      </w14:textFill>
                    </w:rPr>
                    <w:t>）</w:t>
                  </w:r>
                </w:p>
              </w:tc>
              <w:tc>
                <w:tcPr>
                  <w:tcW w:w="685"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占标率</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w:t>
                  </w:r>
                </w:p>
              </w:tc>
              <w:tc>
                <w:tcPr>
                  <w:tcW w:w="687"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超标倍数</w:t>
                  </w:r>
                </w:p>
              </w:tc>
              <w:tc>
                <w:tcPr>
                  <w:tcW w:w="643"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达标</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情况</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56"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PM</w:t>
                  </w:r>
                  <w:r>
                    <w:rPr>
                      <w:rFonts w:hint="default" w:ascii="Times New Roman" w:hAnsi="Times New Roman" w:eastAsia="宋体" w:cs="Times New Roman"/>
                      <w:color w:val="000000" w:themeColor="text1"/>
                      <w:sz w:val="18"/>
                      <w:szCs w:val="18"/>
                      <w:vertAlign w:val="subscript"/>
                      <w14:textFill>
                        <w14:solidFill>
                          <w14:schemeClr w14:val="tx1"/>
                        </w14:solidFill>
                      </w14:textFill>
                    </w:rPr>
                    <w:t>10</w:t>
                  </w:r>
                </w:p>
              </w:tc>
              <w:tc>
                <w:tcPr>
                  <w:tcW w:w="1054"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年平均质量浓度</w:t>
                  </w:r>
                </w:p>
              </w:tc>
              <w:tc>
                <w:tcPr>
                  <w:tcW w:w="685"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93</w:t>
                  </w:r>
                </w:p>
              </w:tc>
              <w:tc>
                <w:tcPr>
                  <w:tcW w:w="685"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70</w:t>
                  </w:r>
                </w:p>
              </w:tc>
              <w:tc>
                <w:tcPr>
                  <w:tcW w:w="685"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132.9</w:t>
                  </w:r>
                </w:p>
              </w:tc>
              <w:tc>
                <w:tcPr>
                  <w:tcW w:w="687"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0.329</w:t>
                  </w:r>
                </w:p>
              </w:tc>
              <w:tc>
                <w:tcPr>
                  <w:tcW w:w="643"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超标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56"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PM</w:t>
                  </w:r>
                  <w:r>
                    <w:rPr>
                      <w:rFonts w:hint="default" w:ascii="Times New Roman" w:hAnsi="Times New Roman" w:eastAsia="宋体" w:cs="Times New Roman"/>
                      <w:color w:val="000000" w:themeColor="text1"/>
                      <w:sz w:val="18"/>
                      <w:szCs w:val="18"/>
                      <w:vertAlign w:val="subscript"/>
                      <w14:textFill>
                        <w14:solidFill>
                          <w14:schemeClr w14:val="tx1"/>
                        </w14:solidFill>
                      </w14:textFill>
                    </w:rPr>
                    <w:t>2.5</w:t>
                  </w:r>
                </w:p>
              </w:tc>
              <w:tc>
                <w:tcPr>
                  <w:tcW w:w="1054"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年平均质量浓度</w:t>
                  </w:r>
                </w:p>
              </w:tc>
              <w:tc>
                <w:tcPr>
                  <w:tcW w:w="685"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47</w:t>
                  </w:r>
                </w:p>
              </w:tc>
              <w:tc>
                <w:tcPr>
                  <w:tcW w:w="685"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35</w:t>
                  </w:r>
                </w:p>
              </w:tc>
              <w:tc>
                <w:tcPr>
                  <w:tcW w:w="685"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134.3</w:t>
                  </w:r>
                </w:p>
              </w:tc>
              <w:tc>
                <w:tcPr>
                  <w:tcW w:w="687"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0.343</w:t>
                  </w:r>
                </w:p>
              </w:tc>
              <w:tc>
                <w:tcPr>
                  <w:tcW w:w="643"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超标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56"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SO</w:t>
                  </w:r>
                  <w:r>
                    <w:rPr>
                      <w:rFonts w:hint="default" w:ascii="Times New Roman" w:hAnsi="Times New Roman" w:eastAsia="宋体" w:cs="Times New Roman"/>
                      <w:color w:val="000000" w:themeColor="text1"/>
                      <w:sz w:val="18"/>
                      <w:szCs w:val="18"/>
                      <w:vertAlign w:val="subscript"/>
                      <w14:textFill>
                        <w14:solidFill>
                          <w14:schemeClr w14:val="tx1"/>
                        </w14:solidFill>
                      </w14:textFill>
                    </w:rPr>
                    <w:t>2</w:t>
                  </w:r>
                </w:p>
              </w:tc>
              <w:tc>
                <w:tcPr>
                  <w:tcW w:w="1054"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年平均质量浓度</w:t>
                  </w:r>
                </w:p>
              </w:tc>
              <w:tc>
                <w:tcPr>
                  <w:tcW w:w="685"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11</w:t>
                  </w:r>
                </w:p>
              </w:tc>
              <w:tc>
                <w:tcPr>
                  <w:tcW w:w="685"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60</w:t>
                  </w:r>
                </w:p>
              </w:tc>
              <w:tc>
                <w:tcPr>
                  <w:tcW w:w="685"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18.3</w:t>
                  </w:r>
                </w:p>
              </w:tc>
              <w:tc>
                <w:tcPr>
                  <w:tcW w:w="687"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pacing w:val="2"/>
                      <w:w w:val="101"/>
                      <w:position w:val="2"/>
                      <w:sz w:val="18"/>
                      <w:szCs w:val="18"/>
                      <w14:textFill>
                        <w14:solidFill>
                          <w14:schemeClr w14:val="tx1"/>
                        </w14:solidFill>
                      </w14:textFill>
                    </w:rPr>
                    <w:t>/</w:t>
                  </w:r>
                </w:p>
              </w:tc>
              <w:tc>
                <w:tcPr>
                  <w:tcW w:w="643"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56"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NO</w:t>
                  </w:r>
                  <w:r>
                    <w:rPr>
                      <w:rFonts w:hint="default" w:ascii="Times New Roman" w:hAnsi="Times New Roman" w:eastAsia="宋体" w:cs="Times New Roman"/>
                      <w:color w:val="000000" w:themeColor="text1"/>
                      <w:sz w:val="18"/>
                      <w:szCs w:val="18"/>
                      <w:vertAlign w:val="subscript"/>
                      <w14:textFill>
                        <w14:solidFill>
                          <w14:schemeClr w14:val="tx1"/>
                        </w14:solidFill>
                      </w14:textFill>
                    </w:rPr>
                    <w:t>2</w:t>
                  </w:r>
                </w:p>
              </w:tc>
              <w:tc>
                <w:tcPr>
                  <w:tcW w:w="1054"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年平均质量浓度</w:t>
                  </w:r>
                </w:p>
              </w:tc>
              <w:tc>
                <w:tcPr>
                  <w:tcW w:w="685"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32</w:t>
                  </w:r>
                </w:p>
              </w:tc>
              <w:tc>
                <w:tcPr>
                  <w:tcW w:w="685"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40</w:t>
                  </w:r>
                </w:p>
              </w:tc>
              <w:tc>
                <w:tcPr>
                  <w:tcW w:w="685"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80</w:t>
                  </w:r>
                </w:p>
              </w:tc>
              <w:tc>
                <w:tcPr>
                  <w:tcW w:w="687"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pacing w:val="2"/>
                      <w:w w:val="101"/>
                      <w:position w:val="2"/>
                      <w:sz w:val="18"/>
                      <w:szCs w:val="18"/>
                      <w14:textFill>
                        <w14:solidFill>
                          <w14:schemeClr w14:val="tx1"/>
                        </w14:solidFill>
                      </w14:textFill>
                    </w:rPr>
                    <w:t>/</w:t>
                  </w:r>
                </w:p>
              </w:tc>
              <w:tc>
                <w:tcPr>
                  <w:tcW w:w="643"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56"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CO</w:t>
                  </w:r>
                </w:p>
              </w:tc>
              <w:tc>
                <w:tcPr>
                  <w:tcW w:w="1054"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第95百分位浓度</w:t>
                  </w:r>
                </w:p>
              </w:tc>
              <w:tc>
                <w:tcPr>
                  <w:tcW w:w="685"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1.6mg/m</w:t>
                  </w:r>
                  <w:r>
                    <w:rPr>
                      <w:rFonts w:hint="default" w:ascii="Times New Roman" w:hAnsi="Times New Roman" w:eastAsia="宋体" w:cs="Times New Roman"/>
                      <w:color w:val="000000" w:themeColor="text1"/>
                      <w:sz w:val="18"/>
                      <w:szCs w:val="18"/>
                      <w:vertAlign w:val="superscript"/>
                      <w14:textFill>
                        <w14:solidFill>
                          <w14:schemeClr w14:val="tx1"/>
                        </w14:solidFill>
                      </w14:textFill>
                    </w:rPr>
                    <w:t>3</w:t>
                  </w:r>
                </w:p>
              </w:tc>
              <w:tc>
                <w:tcPr>
                  <w:tcW w:w="685"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4mg/m</w:t>
                  </w:r>
                  <w:r>
                    <w:rPr>
                      <w:rFonts w:hint="default" w:ascii="Times New Roman" w:hAnsi="Times New Roman" w:eastAsia="宋体" w:cs="Times New Roman"/>
                      <w:color w:val="000000" w:themeColor="text1"/>
                      <w:sz w:val="18"/>
                      <w:szCs w:val="18"/>
                      <w:vertAlign w:val="superscript"/>
                      <w14:textFill>
                        <w14:solidFill>
                          <w14:schemeClr w14:val="tx1"/>
                        </w14:solidFill>
                      </w14:textFill>
                    </w:rPr>
                    <w:t>3</w:t>
                  </w:r>
                </w:p>
              </w:tc>
              <w:tc>
                <w:tcPr>
                  <w:tcW w:w="685"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40</w:t>
                  </w:r>
                </w:p>
              </w:tc>
              <w:tc>
                <w:tcPr>
                  <w:tcW w:w="687"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pacing w:val="2"/>
                      <w:w w:val="101"/>
                      <w:position w:val="2"/>
                      <w:sz w:val="18"/>
                      <w:szCs w:val="18"/>
                      <w14:textFill>
                        <w14:solidFill>
                          <w14:schemeClr w14:val="tx1"/>
                        </w14:solidFill>
                      </w14:textFill>
                    </w:rPr>
                    <w:t>/</w:t>
                  </w:r>
                </w:p>
              </w:tc>
              <w:tc>
                <w:tcPr>
                  <w:tcW w:w="643"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56"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O</w:t>
                  </w:r>
                  <w:r>
                    <w:rPr>
                      <w:rFonts w:hint="default" w:ascii="Times New Roman" w:hAnsi="Times New Roman" w:eastAsia="宋体" w:cs="Times New Roman"/>
                      <w:color w:val="000000" w:themeColor="text1"/>
                      <w:sz w:val="18"/>
                      <w:szCs w:val="18"/>
                      <w:vertAlign w:val="subscript"/>
                      <w14:textFill>
                        <w14:solidFill>
                          <w14:schemeClr w14:val="tx1"/>
                        </w14:solidFill>
                      </w14:textFill>
                    </w:rPr>
                    <w:t>3</w:t>
                  </w:r>
                </w:p>
              </w:tc>
              <w:tc>
                <w:tcPr>
                  <w:tcW w:w="1054"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第90百分位浓度</w:t>
                  </w:r>
                </w:p>
              </w:tc>
              <w:tc>
                <w:tcPr>
                  <w:tcW w:w="685"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173</w:t>
                  </w:r>
                </w:p>
              </w:tc>
              <w:tc>
                <w:tcPr>
                  <w:tcW w:w="685"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160</w:t>
                  </w:r>
                </w:p>
              </w:tc>
              <w:tc>
                <w:tcPr>
                  <w:tcW w:w="685"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108</w:t>
                  </w:r>
                </w:p>
              </w:tc>
              <w:tc>
                <w:tcPr>
                  <w:tcW w:w="687"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0.08</w:t>
                  </w:r>
                </w:p>
              </w:tc>
              <w:tc>
                <w:tcPr>
                  <w:tcW w:w="643" w:type="pct"/>
                  <w:tcBorders>
                    <w:tl2br w:val="nil"/>
                    <w:tr2bl w:val="nil"/>
                  </w:tcBorders>
                  <w:noWrap w:val="0"/>
                  <w:tcMar>
                    <w:top w:w="57" w:type="dxa"/>
                    <w:left w:w="85" w:type="dxa"/>
                    <w:bottom w:w="57" w:type="dxa"/>
                    <w:right w:w="85"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超标</w:t>
                  </w:r>
                </w:p>
              </w:tc>
            </w:tr>
          </w:tbl>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由上表可知，其中PM</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10</w:t>
            </w:r>
            <w:r>
              <w:rPr>
                <w:rFonts w:hint="default" w:ascii="Times New Roman" w:hAnsi="Times New Roman" w:cs="Times New Roman"/>
                <w:color w:val="000000" w:themeColor="text1"/>
                <w:sz w:val="21"/>
                <w:szCs w:val="21"/>
                <w:highlight w:val="none"/>
                <w14:textFill>
                  <w14:solidFill>
                    <w14:schemeClr w14:val="tx1"/>
                  </w14:solidFill>
                </w14:textFill>
              </w:rPr>
              <w:t>、P</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bscript"/>
                <w:lang w:eastAsia="zh-CN"/>
                <w14:textFill>
                  <w14:solidFill>
                    <w14:schemeClr w14:val="tx1"/>
                  </w14:solidFill>
                </w14:textFill>
              </w:rPr>
              <w:t>2</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.5</w:t>
            </w:r>
            <w:r>
              <w:rPr>
                <w:rFonts w:hint="default" w:ascii="Times New Roman" w:hAnsi="Times New Roman" w:cs="Times New Roman"/>
                <w:color w:val="000000" w:themeColor="text1"/>
                <w:sz w:val="21"/>
                <w:szCs w:val="21"/>
                <w:highlight w:val="none"/>
                <w:vertAlign w:val="baseline"/>
                <w:lang w:eastAsia="zh-CN"/>
                <w14:textFill>
                  <w14:solidFill>
                    <w14:schemeClr w14:val="tx1"/>
                  </w14:solidFill>
                </w14:textFill>
              </w:rPr>
              <w:t>和</w:t>
            </w:r>
            <w:r>
              <w:rPr>
                <w:rFonts w:hint="default" w:ascii="Times New Roman" w:hAnsi="Times New Roman" w:cs="Times New Roman"/>
                <w:color w:val="000000" w:themeColor="text1"/>
                <w:sz w:val="21"/>
                <w:szCs w:val="21"/>
                <w:highlight w:val="none"/>
                <w14:textFill>
                  <w14:solidFill>
                    <w14:schemeClr w14:val="tx1"/>
                  </w14:solidFill>
                </w14:textFill>
              </w:rPr>
              <w:t>O</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均不能够满足《环境空气质量标准》（GB3095-2012）二级标准要求</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本项目所在区域属于不达标区。</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 w:val="0"/>
                <w:bCs w:val="0"/>
                <w:color w:val="000000" w:themeColor="text1"/>
                <w:sz w:val="21"/>
                <w:szCs w:val="21"/>
                <w:highlight w:val="none"/>
                <w:u w:val="none"/>
                <w:lang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u w:val="none"/>
                <w:lang w:eastAsia="zh-CN"/>
                <w14:textFill>
                  <w14:solidFill>
                    <w14:schemeClr w14:val="tx1"/>
                  </w14:solidFill>
                </w14:textFill>
              </w:rPr>
              <w:t>目前，新乡市正在实施《新乡市202</w:t>
            </w:r>
            <w:r>
              <w:rPr>
                <w:rFonts w:hint="default" w:ascii="Times New Roman" w:hAnsi="Times New Roman" w:cs="Times New Roman"/>
                <w:b w:val="0"/>
                <w:bCs w:val="0"/>
                <w:color w:val="000000" w:themeColor="text1"/>
                <w:sz w:val="21"/>
                <w:szCs w:val="21"/>
                <w:highlight w:val="none"/>
                <w:u w:val="none"/>
                <w:lang w:val="en-US" w:eastAsia="zh-CN"/>
                <w14:textFill>
                  <w14:solidFill>
                    <w14:schemeClr w14:val="tx1"/>
                  </w14:solidFill>
                </w14:textFill>
              </w:rPr>
              <w:t>2</w:t>
            </w:r>
            <w:r>
              <w:rPr>
                <w:rFonts w:hint="default" w:ascii="Times New Roman" w:hAnsi="Times New Roman" w:cs="Times New Roman"/>
                <w:b w:val="0"/>
                <w:bCs w:val="0"/>
                <w:color w:val="000000" w:themeColor="text1"/>
                <w:sz w:val="21"/>
                <w:szCs w:val="21"/>
                <w:highlight w:val="none"/>
                <w:u w:val="none"/>
                <w:lang w:eastAsia="zh-CN"/>
                <w14:textFill>
                  <w14:solidFill>
                    <w14:schemeClr w14:val="tx1"/>
                  </w14:solidFill>
                </w14:textFill>
              </w:rPr>
              <w:t>年大气污染防治攻坚战实施方案》</w:t>
            </w:r>
            <w:r>
              <w:rPr>
                <w:rFonts w:hint="default" w:ascii="Times New Roman" w:hAnsi="Times New Roman" w:cs="Times New Roman"/>
                <w:b w:val="0"/>
                <w:bCs w:val="0"/>
                <w:color w:val="000000" w:themeColor="text1"/>
                <w:sz w:val="21"/>
                <w:szCs w:val="21"/>
                <w:highlight w:val="none"/>
                <w:u w:val="none"/>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1"/>
                <w:szCs w:val="21"/>
                <w:highlight w:val="none"/>
                <w:u w:val="none"/>
                <w:lang w:eastAsia="zh-CN"/>
                <w14:textFill>
                  <w14:solidFill>
                    <w14:schemeClr w14:val="tx1"/>
                  </w14:solidFill>
                </w14:textFill>
              </w:rPr>
              <w:t>等一系列措施，将不断改善区域大气环境质量。</w:t>
            </w:r>
          </w:p>
          <w:p>
            <w:pPr>
              <w:adjustRightInd w:val="0"/>
              <w:snapToGrid w:val="0"/>
              <w:spacing w:line="360" w:lineRule="auto"/>
              <w:ind w:firstLine="420" w:firstLineChars="2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u w:val="none"/>
                <w:lang w:eastAsia="zh-CN"/>
                <w14:textFill>
                  <w14:solidFill>
                    <w14:schemeClr w14:val="tx1"/>
                  </w14:solidFill>
                </w14:textFill>
              </w:rPr>
              <w:fldChar w:fldCharType="begin"/>
            </w:r>
            <w:r>
              <w:rPr>
                <w:rFonts w:hint="default" w:ascii="Times New Roman" w:hAnsi="Times New Roman" w:cs="Times New Roman"/>
                <w:b w:val="0"/>
                <w:bCs w:val="0"/>
                <w:color w:val="000000" w:themeColor="text1"/>
                <w:sz w:val="21"/>
                <w:szCs w:val="21"/>
                <w:highlight w:val="none"/>
                <w:u w:val="none"/>
                <w:lang w:eastAsia="zh-CN"/>
                <w14:textFill>
                  <w14:solidFill>
                    <w14:schemeClr w14:val="tx1"/>
                  </w14:solidFill>
                </w14:textFill>
              </w:rPr>
              <w:instrText xml:space="preserve"> = 2 \* GB3 \* MERGEFORMAT </w:instrText>
            </w:r>
            <w:r>
              <w:rPr>
                <w:rFonts w:hint="default" w:ascii="Times New Roman" w:hAnsi="Times New Roman" w:cs="Times New Roman"/>
                <w:b w:val="0"/>
                <w:bCs w:val="0"/>
                <w:color w:val="000000" w:themeColor="text1"/>
                <w:sz w:val="21"/>
                <w:szCs w:val="21"/>
                <w:highlight w:val="none"/>
                <w:u w:val="none"/>
                <w:lang w:eastAsia="zh-CN"/>
                <w14:textFill>
                  <w14:solidFill>
                    <w14:schemeClr w14:val="tx1"/>
                  </w14:solidFill>
                </w14:textFill>
              </w:rPr>
              <w:fldChar w:fldCharType="separate"/>
            </w:r>
            <w:r>
              <w:rPr>
                <w:rFonts w:hint="default" w:ascii="Times New Roman" w:hAnsi="Times New Roman" w:cs="Times New Roman"/>
                <w:color w:val="000000" w:themeColor="text1"/>
                <w:sz w:val="21"/>
                <w:szCs w:val="21"/>
                <w:highlight w:val="none"/>
                <w14:textFill>
                  <w14:solidFill>
                    <w14:schemeClr w14:val="tx1"/>
                  </w14:solidFill>
                </w14:textFill>
              </w:rPr>
              <w:t>②</w:t>
            </w:r>
            <w:r>
              <w:rPr>
                <w:rFonts w:hint="default" w:ascii="Times New Roman" w:hAnsi="Times New Roman" w:cs="Times New Roman"/>
                <w:b w:val="0"/>
                <w:bCs w:val="0"/>
                <w:color w:val="000000" w:themeColor="text1"/>
                <w:sz w:val="21"/>
                <w:szCs w:val="21"/>
                <w:highlight w:val="none"/>
                <w:u w:val="none"/>
                <w:lang w:eastAsia="zh-CN"/>
                <w14:textFill>
                  <w14:solidFill>
                    <w14:schemeClr w14:val="tx1"/>
                  </w14:solidFill>
                </w14:textFill>
              </w:rPr>
              <w:fldChar w:fldCharType="end"/>
            </w:r>
            <w:r>
              <w:rPr>
                <w:rFonts w:hint="default" w:ascii="Times New Roman" w:hAnsi="Times New Roman" w:cs="Times New Roman"/>
                <w:color w:val="000000" w:themeColor="text1"/>
                <w:sz w:val="21"/>
                <w:szCs w:val="21"/>
                <w:highlight w:val="none"/>
                <w14:textFill>
                  <w14:solidFill>
                    <w14:schemeClr w14:val="tx1"/>
                  </w14:solidFill>
                </w14:textFill>
              </w:rPr>
              <w:t>其他污染物的环境质量现状评价</w:t>
            </w:r>
          </w:p>
          <w:p>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企业委托河南鼎晟</w:t>
            </w:r>
            <w:r>
              <w:rPr>
                <w:rFonts w:hint="default" w:ascii="Times New Roman" w:hAnsi="Times New Roman" w:cs="Times New Roman"/>
                <w:color w:val="000000" w:themeColor="text1"/>
                <w:sz w:val="21"/>
                <w:szCs w:val="21"/>
                <w:highlight w:val="none"/>
                <w14:textFill>
                  <w14:solidFill>
                    <w14:schemeClr w14:val="tx1"/>
                  </w14:solidFill>
                </w14:textFill>
              </w:rPr>
              <w:t>检测技术有限公司于</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2022</w:t>
            </w:r>
            <w:r>
              <w:rPr>
                <w:rFonts w:hint="default" w:ascii="Times New Roman" w:hAnsi="Times New Roman" w:cs="Times New Roman"/>
                <w:color w:val="000000" w:themeColor="text1"/>
                <w:sz w:val="21"/>
                <w:szCs w:val="21"/>
                <w:highlight w:val="none"/>
                <w14:textFill>
                  <w14:solidFill>
                    <w14:schemeClr w14:val="tx1"/>
                  </w14:solidFill>
                </w14:textFill>
              </w:rPr>
              <w:t>年</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9</w:t>
            </w:r>
            <w:r>
              <w:rPr>
                <w:rFonts w:hint="default" w:ascii="Times New Roman" w:hAnsi="Times New Roman" w:cs="Times New Roman"/>
                <w:color w:val="000000" w:themeColor="text1"/>
                <w:sz w:val="21"/>
                <w:szCs w:val="21"/>
                <w:highlight w:val="none"/>
                <w14:textFill>
                  <w14:solidFill>
                    <w14:schemeClr w14:val="tx1"/>
                  </w14:solidFill>
                </w14:textFill>
              </w:rPr>
              <w:t>月</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w:t>
            </w:r>
            <w:r>
              <w:rPr>
                <w:rFonts w:hint="default" w:ascii="Times New Roman" w:hAnsi="Times New Roman" w:cs="Times New Roman"/>
                <w:color w:val="000000" w:themeColor="text1"/>
                <w:sz w:val="21"/>
                <w:szCs w:val="21"/>
                <w:highlight w:val="none"/>
                <w14:textFill>
                  <w14:solidFill>
                    <w14:schemeClr w14:val="tx1"/>
                  </w14:solidFill>
                </w14:textFill>
              </w:rPr>
              <w:t>日~</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23</w:t>
            </w:r>
            <w:r>
              <w:rPr>
                <w:rFonts w:hint="default" w:ascii="Times New Roman" w:hAnsi="Times New Roman" w:cs="Times New Roman"/>
                <w:color w:val="000000" w:themeColor="text1"/>
                <w:sz w:val="21"/>
                <w:szCs w:val="21"/>
                <w:highlight w:val="none"/>
                <w14:textFill>
                  <w14:solidFill>
                    <w14:schemeClr w14:val="tx1"/>
                  </w14:solidFill>
                </w14:textFill>
              </w:rPr>
              <w:t>日对本项目</w:t>
            </w:r>
            <w:r>
              <w:rPr>
                <w:rFonts w:hint="default" w:ascii="Times New Roman" w:hAnsi="Times New Roman" w:cs="Times New Roman"/>
                <w:color w:val="000000" w:themeColor="text1"/>
                <w:sz w:val="21"/>
                <w:szCs w:val="21"/>
                <w:highlight w:val="none"/>
                <w:lang w:eastAsia="zh-CN"/>
                <w14:textFill>
                  <w14:solidFill>
                    <w14:schemeClr w14:val="tx1"/>
                  </w14:solidFill>
                </w14:textFill>
              </w:rPr>
              <w:t>下风向西街村氟化物</w:t>
            </w:r>
            <w:r>
              <w:rPr>
                <w:rFonts w:hint="default" w:ascii="Times New Roman" w:hAnsi="Times New Roman" w:cs="Times New Roman"/>
                <w:color w:val="000000" w:themeColor="text1"/>
                <w:sz w:val="21"/>
                <w:szCs w:val="21"/>
                <w:highlight w:val="none"/>
                <w14:textFill>
                  <w14:solidFill>
                    <w14:schemeClr w14:val="tx1"/>
                  </w14:solidFill>
                </w14:textFill>
              </w:rPr>
              <w:t>进行了现状监测，</w:t>
            </w:r>
            <w:r>
              <w:rPr>
                <w:rFonts w:hint="default" w:ascii="Times New Roman" w:hAnsi="Times New Roman" w:cs="Times New Roman"/>
                <w:color w:val="000000" w:themeColor="text1"/>
                <w:sz w:val="21"/>
                <w:szCs w:val="21"/>
                <w:highlight w:val="none"/>
                <w:lang w:eastAsia="zh-CN"/>
                <w14:textFill>
                  <w14:solidFill>
                    <w14:schemeClr w14:val="tx1"/>
                  </w14:solidFill>
                </w14:textFill>
              </w:rPr>
              <w:t>检测结果如下：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大气环境质量现状监测结果（氟化物）</w:t>
            </w:r>
          </w:p>
          <w:tbl>
            <w:tblPr>
              <w:tblStyle w:val="21"/>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81"/>
              <w:gridCol w:w="873"/>
              <w:gridCol w:w="1185"/>
              <w:gridCol w:w="1005"/>
              <w:gridCol w:w="1156"/>
              <w:gridCol w:w="1156"/>
              <w:gridCol w:w="1158"/>
              <w:gridCol w:w="85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4" w:type="pct"/>
                  <w:tcBorders>
                    <w:tl2br w:val="nil"/>
                    <w:tr2bl w:val="nil"/>
                  </w:tcBorders>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采样点位</w:t>
                  </w:r>
                </w:p>
              </w:tc>
              <w:tc>
                <w:tcPr>
                  <w:tcW w:w="547" w:type="pct"/>
                  <w:tcBorders>
                    <w:tl2br w:val="nil"/>
                    <w:tr2bl w:val="nil"/>
                  </w:tcBorders>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污染物</w:t>
                  </w:r>
                </w:p>
              </w:tc>
              <w:tc>
                <w:tcPr>
                  <w:tcW w:w="743" w:type="pct"/>
                  <w:tcBorders>
                    <w:right w:val="single" w:color="000000" w:sz="4" w:space="0"/>
                    <w:tl2br w:val="nil"/>
                    <w:tr2bl w:val="nil"/>
                  </w:tcBorders>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采样时间</w:t>
                  </w:r>
                </w:p>
              </w:tc>
              <w:tc>
                <w:tcPr>
                  <w:tcW w:w="630" w:type="pct"/>
                  <w:tcBorders>
                    <w:left w:val="single" w:color="000000" w:sz="4" w:space="0"/>
                    <w:tl2br w:val="nil"/>
                    <w:tr2bl w:val="nil"/>
                  </w:tcBorders>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取值类型</w:t>
                  </w:r>
                </w:p>
              </w:tc>
              <w:tc>
                <w:tcPr>
                  <w:tcW w:w="725" w:type="pct"/>
                  <w:tcBorders>
                    <w:tl2br w:val="nil"/>
                    <w:tr2bl w:val="nil"/>
                  </w:tcBorders>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kern w:val="0"/>
                      <w:sz w:val="18"/>
                      <w:szCs w:val="18"/>
                      <w:lang w:val="en-US" w:eastAsia="zh-CN" w:bidi="ar"/>
                      <w14:textFill>
                        <w14:solidFill>
                          <w14:schemeClr w14:val="tx1"/>
                        </w14:solidFill>
                      </w14:textFill>
                    </w:rPr>
                    <w:t>浓度范围</w:t>
                  </w:r>
                  <w:r>
                    <w:rPr>
                      <w:rFonts w:hint="default" w:ascii="Times New Roman" w:hAnsi="Times New Roman" w:cs="Times New Roman"/>
                      <w:color w:val="000000" w:themeColor="text1"/>
                      <w:sz w:val="18"/>
                      <w:szCs w:val="18"/>
                      <w:highlight w:val="none"/>
                      <w14:textFill>
                        <w14:solidFill>
                          <w14:schemeClr w14:val="tx1"/>
                        </w14:solidFill>
                      </w14:textFill>
                    </w:rPr>
                    <w:t>(</w:t>
                  </w:r>
                  <w:r>
                    <w:rPr>
                      <w:rFonts w:hint="default" w:ascii="Times New Roman" w:hAnsi="Times New Roman" w:eastAsia="宋体" w:cs="Times New Roman"/>
                      <w:i w:val="0"/>
                      <w:color w:val="000000" w:themeColor="text1"/>
                      <w:kern w:val="0"/>
                      <w:sz w:val="18"/>
                      <w:szCs w:val="18"/>
                      <w:lang w:val="en-US" w:eastAsia="zh-CN" w:bidi="ar"/>
                      <w14:textFill>
                        <w14:solidFill>
                          <w14:schemeClr w14:val="tx1"/>
                        </w14:solidFill>
                      </w14:textFill>
                    </w:rPr>
                    <w:t>μg/m</w:t>
                  </w:r>
                  <w:r>
                    <w:rPr>
                      <w:rStyle w:val="69"/>
                      <w:rFonts w:hint="default" w:ascii="Times New Roman" w:hAnsi="Times New Roman" w:eastAsia="宋体" w:cs="Times New Roman"/>
                      <w:color w:val="000000" w:themeColor="text1"/>
                      <w:kern w:val="0"/>
                      <w:sz w:val="18"/>
                      <w:szCs w:val="18"/>
                      <w:vertAlign w:val="superscript"/>
                      <w:lang w:val="en-US" w:eastAsia="zh-CN" w:bidi="ar"/>
                      <w14:textFill>
                        <w14:solidFill>
                          <w14:schemeClr w14:val="tx1"/>
                        </w14:solidFill>
                      </w14:textFill>
                    </w:rPr>
                    <w:t>3</w:t>
                  </w:r>
                  <w:r>
                    <w:rPr>
                      <w:rFonts w:hint="default" w:ascii="Times New Roman" w:hAnsi="Times New Roman" w:cs="Times New Roman"/>
                      <w:color w:val="000000" w:themeColor="text1"/>
                      <w:sz w:val="18"/>
                      <w:szCs w:val="18"/>
                      <w:highlight w:val="none"/>
                      <w14:textFill>
                        <w14:solidFill>
                          <w14:schemeClr w14:val="tx1"/>
                        </w14:solidFill>
                      </w14:textFill>
                    </w:rPr>
                    <w:t>)</w:t>
                  </w:r>
                </w:p>
              </w:tc>
              <w:tc>
                <w:tcPr>
                  <w:tcW w:w="725" w:type="pct"/>
                  <w:tcBorders>
                    <w:right w:val="single" w:color="000000" w:sz="4" w:space="0"/>
                    <w:tl2br w:val="nil"/>
                    <w:tr2bl w:val="nil"/>
                  </w:tcBorders>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最大浓度占标（%）</w:t>
                  </w:r>
                </w:p>
              </w:tc>
              <w:tc>
                <w:tcPr>
                  <w:tcW w:w="726" w:type="pct"/>
                  <w:tcBorders>
                    <w:left w:val="single" w:color="000000" w:sz="4" w:space="0"/>
                    <w:right w:val="single" w:color="000000" w:sz="4" w:space="0"/>
                    <w:tl2br w:val="nil"/>
                    <w:tr2bl w:val="nil"/>
                  </w:tcBorders>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超标率</w:t>
                  </w:r>
                </w:p>
              </w:tc>
              <w:tc>
                <w:tcPr>
                  <w:tcW w:w="537" w:type="pct"/>
                  <w:tcBorders>
                    <w:left w:val="single" w:color="000000" w:sz="4" w:space="0"/>
                    <w:tl2br w:val="nil"/>
                    <w:tr2bl w:val="nil"/>
                  </w:tcBorders>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达标</w:t>
                  </w:r>
                </w:p>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情况</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4" w:type="pct"/>
                  <w:tcBorders>
                    <w:tl2br w:val="nil"/>
                    <w:tr2bl w:val="nil"/>
                  </w:tcBorders>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vertAlign w:val="baseline"/>
                      <w:lang w:val="en-US" w:eastAsia="zh-CN"/>
                      <w14:textFill>
                        <w14:solidFill>
                          <w14:schemeClr w14:val="tx1"/>
                        </w14:solidFill>
                      </w14:textFill>
                    </w:rPr>
                    <w:t>西街村</w:t>
                  </w:r>
                </w:p>
              </w:tc>
              <w:tc>
                <w:tcPr>
                  <w:tcW w:w="547" w:type="pct"/>
                  <w:tcBorders>
                    <w:tl2br w:val="nil"/>
                    <w:tr2bl w:val="nil"/>
                  </w:tcBorders>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氟化物</w:t>
                  </w:r>
                </w:p>
              </w:tc>
              <w:tc>
                <w:tcPr>
                  <w:tcW w:w="743" w:type="pct"/>
                  <w:tcBorders>
                    <w:right w:val="single" w:color="000000" w:sz="4" w:space="0"/>
                    <w:tl2br w:val="nil"/>
                    <w:tr2bl w:val="nil"/>
                  </w:tcBorders>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bCs/>
                      <w:color w:val="000000" w:themeColor="text1"/>
                      <w:sz w:val="18"/>
                      <w:szCs w:val="18"/>
                      <w:highlight w:val="none"/>
                      <w:lang w:eastAsia="zh-CN"/>
                      <w14:textFill>
                        <w14:solidFill>
                          <w14:schemeClr w14:val="tx1"/>
                        </w14:solidFill>
                      </w14:textFill>
                    </w:rPr>
                    <w:t>2022.09.2</w:t>
                  </w:r>
                  <w:r>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t>0~2022.09.22</w:t>
                  </w:r>
                </w:p>
              </w:tc>
              <w:tc>
                <w:tcPr>
                  <w:tcW w:w="630" w:type="pct"/>
                  <w:tcBorders>
                    <w:left w:val="single" w:color="000000" w:sz="4" w:space="0"/>
                    <w:tl2br w:val="nil"/>
                    <w:tr2bl w:val="nil"/>
                  </w:tcBorders>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t>1h均值</w:t>
                  </w:r>
                </w:p>
              </w:tc>
              <w:tc>
                <w:tcPr>
                  <w:tcW w:w="725" w:type="pct"/>
                  <w:tcBorders>
                    <w:tl2br w:val="nil"/>
                    <w:tr2bl w:val="nil"/>
                  </w:tcBorders>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0.7~1.3</w:t>
                  </w:r>
                </w:p>
              </w:tc>
              <w:tc>
                <w:tcPr>
                  <w:tcW w:w="725" w:type="pct"/>
                  <w:tcBorders>
                    <w:right w:val="single" w:color="000000" w:sz="4" w:space="0"/>
                    <w:tl2br w:val="nil"/>
                    <w:tr2bl w:val="nil"/>
                  </w:tcBorders>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6.5</w:t>
                  </w:r>
                </w:p>
              </w:tc>
              <w:tc>
                <w:tcPr>
                  <w:tcW w:w="726" w:type="pct"/>
                  <w:tcBorders>
                    <w:left w:val="single" w:color="000000" w:sz="4" w:space="0"/>
                    <w:right w:val="single" w:color="000000" w:sz="4" w:space="0"/>
                    <w:tl2br w:val="nil"/>
                    <w:tr2bl w:val="nil"/>
                  </w:tcBorders>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0</w:t>
                  </w:r>
                </w:p>
              </w:tc>
              <w:tc>
                <w:tcPr>
                  <w:tcW w:w="537" w:type="pct"/>
                  <w:tcBorders>
                    <w:left w:val="single" w:color="000000" w:sz="4" w:space="0"/>
                    <w:tl2br w:val="nil"/>
                    <w:tr2bl w:val="nil"/>
                  </w:tcBorders>
                  <w:noWrap w:val="0"/>
                  <w:vAlign w:val="center"/>
                </w:tcPr>
                <w:p>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达标</w:t>
                  </w:r>
                </w:p>
              </w:tc>
            </w:tr>
          </w:tbl>
          <w:p>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监测结果表明，项目所在地大气环境质量较好，满足《环境空气质量标准》（GB3095-2012）附录 A 中二级标准。</w:t>
            </w:r>
          </w:p>
          <w:p>
            <w:pPr>
              <w:keepNext w:val="0"/>
              <w:keepLines w:val="0"/>
              <w:pageBreakBefore w:val="0"/>
              <w:widowControl w:val="0"/>
              <w:kinsoku/>
              <w:wordWrap/>
              <w:overflowPunct/>
              <w:topLinePunct w:val="0"/>
              <w:autoSpaceDE/>
              <w:autoSpaceDN/>
              <w:bidi w:val="0"/>
              <w:adjustRightInd/>
              <w:snapToGrid/>
              <w:spacing w:line="360" w:lineRule="auto"/>
              <w:ind w:right="0" w:firstLine="422" w:firstLineChars="20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2、水环境质量现状</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u w:val="single"/>
                <w:lang w:eastAsia="zh-CN"/>
                <w14:textFill>
                  <w14:solidFill>
                    <w14:schemeClr w14:val="tx1"/>
                  </w14:solidFill>
                </w14:textFill>
              </w:rPr>
              <w:t>本项目</w:t>
            </w:r>
            <w:r>
              <w:rPr>
                <w:rFonts w:hint="eastAsia" w:ascii="Times New Roman" w:hAnsi="Times New Roman" w:cs="Times New Roman"/>
                <w:b/>
                <w:bCs/>
                <w:color w:val="000000" w:themeColor="text1"/>
                <w:sz w:val="21"/>
                <w:szCs w:val="21"/>
                <w:highlight w:val="none"/>
                <w:u w:val="single"/>
                <w:lang w:eastAsia="zh-CN"/>
                <w14:textFill>
                  <w14:solidFill>
                    <w14:schemeClr w14:val="tx1"/>
                  </w14:solidFill>
                </w14:textFill>
              </w:rPr>
              <w:t>外排废水主要为生活污水，</w:t>
            </w:r>
            <w:r>
              <w:rPr>
                <w:rFonts w:hint="default" w:ascii="Times New Roman" w:hAnsi="Times New Roman" w:cs="Times New Roman"/>
                <w:b/>
                <w:bCs/>
                <w:color w:val="000000" w:themeColor="text1"/>
                <w:sz w:val="21"/>
                <w:szCs w:val="21"/>
                <w:highlight w:val="none"/>
                <w:u w:val="single"/>
                <w:lang w:eastAsia="zh-CN"/>
                <w14:textFill>
                  <w14:solidFill>
                    <w14:schemeClr w14:val="tx1"/>
                  </w14:solidFill>
                </w14:textFill>
              </w:rPr>
              <w:t>经厂区化粪池处理后排入新乡县综合污水处理厂进一步处理，新乡县综合污水处理厂出水最终进入东孟姜女河。根据《</w:t>
            </w:r>
            <w:r>
              <w:rPr>
                <w:rFonts w:hint="eastAsia" w:cs="Times New Roman"/>
                <w:b/>
                <w:bCs/>
                <w:color w:val="000000" w:themeColor="text1"/>
                <w:sz w:val="21"/>
                <w:szCs w:val="21"/>
                <w:highlight w:val="none"/>
                <w:u w:val="single"/>
                <w:lang w:eastAsia="zh-CN"/>
                <w14:textFill>
                  <w14:solidFill>
                    <w14:schemeClr w14:val="tx1"/>
                  </w14:solidFill>
                </w14:textFill>
              </w:rPr>
              <w:t>新乡市生态环境局关于下达</w:t>
            </w:r>
            <w:r>
              <w:rPr>
                <w:rFonts w:hint="eastAsia" w:cs="Times New Roman"/>
                <w:b/>
                <w:bCs/>
                <w:color w:val="000000" w:themeColor="text1"/>
                <w:sz w:val="21"/>
                <w:szCs w:val="21"/>
                <w:highlight w:val="none"/>
                <w:u w:val="single"/>
                <w:lang w:val="en-US" w:eastAsia="zh-CN"/>
                <w14:textFill>
                  <w14:solidFill>
                    <w14:schemeClr w14:val="tx1"/>
                  </w14:solidFill>
                </w14:textFill>
              </w:rPr>
              <w:t>2022年地表水环境质量暂定目标的函</w:t>
            </w:r>
            <w:r>
              <w:rPr>
                <w:rFonts w:hint="default" w:ascii="Times New Roman" w:hAnsi="Times New Roman" w:cs="Times New Roman"/>
                <w:b/>
                <w:bCs/>
                <w:color w:val="000000" w:themeColor="text1"/>
                <w:sz w:val="21"/>
                <w:szCs w:val="21"/>
                <w:highlight w:val="none"/>
                <w:u w:val="single"/>
                <w:lang w:eastAsia="zh-CN"/>
                <w14:textFill>
                  <w14:solidFill>
                    <w14:schemeClr w14:val="tx1"/>
                  </w14:solidFill>
                </w14:textFill>
              </w:rPr>
              <w:t>》，东孟姜女河水体功能类别为Ⅳ类标准。</w:t>
            </w:r>
            <w:r>
              <w:rPr>
                <w:rFonts w:hint="default" w:ascii="Times New Roman" w:hAnsi="Times New Roman" w:cs="Times New Roman"/>
                <w:color w:val="000000" w:themeColor="text1"/>
                <w:sz w:val="21"/>
                <w:szCs w:val="21"/>
                <w:highlight w:val="none"/>
                <w:lang w:eastAsia="zh-CN"/>
                <w14:textFill>
                  <w14:solidFill>
                    <w14:schemeClr w14:val="tx1"/>
                  </w14:solidFill>
                </w14:textFill>
              </w:rPr>
              <w:t>本项目引用新乡市环境监测站对东孟姜女河新乡县青龙路化肥厂东断面2022年3月的监测数据，新乡县青龙路化肥厂东断面监测结果见下表。</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东孟姜女河新乡县青龙路化肥厂东断面水质监测数据</w:t>
            </w:r>
          </w:p>
          <w:tbl>
            <w:tblPr>
              <w:tblStyle w:val="21"/>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407"/>
              <w:gridCol w:w="1862"/>
              <w:gridCol w:w="1843"/>
              <w:gridCol w:w="186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时间</w:t>
                  </w:r>
                </w:p>
              </w:tc>
              <w:tc>
                <w:tcPr>
                  <w:tcW w:w="116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COD</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r>
                    <w:rPr>
                      <w:rFonts w:hint="default" w:ascii="Times New Roman" w:hAnsi="Times New Roman" w:cs="Times New Roman"/>
                      <w:color w:val="000000" w:themeColor="text1"/>
                      <w:sz w:val="18"/>
                      <w:szCs w:val="18"/>
                      <w:highlight w:val="none"/>
                      <w14:textFill>
                        <w14:solidFill>
                          <w14:schemeClr w14:val="tx1"/>
                        </w14:solidFill>
                      </w14:textFill>
                    </w:rPr>
                    <w:t>mg/L</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p>
              </w:tc>
              <w:tc>
                <w:tcPr>
                  <w:tcW w:w="115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氨氮</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r>
                    <w:rPr>
                      <w:rFonts w:hint="default" w:ascii="Times New Roman" w:hAnsi="Times New Roman" w:cs="Times New Roman"/>
                      <w:color w:val="000000" w:themeColor="text1"/>
                      <w:sz w:val="18"/>
                      <w:szCs w:val="18"/>
                      <w:highlight w:val="none"/>
                      <w14:textFill>
                        <w14:solidFill>
                          <w14:schemeClr w14:val="tx1"/>
                        </w14:solidFill>
                      </w14:textFill>
                    </w:rPr>
                    <w:t>mg/L</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p>
              </w:tc>
              <w:tc>
                <w:tcPr>
                  <w:tcW w:w="116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总磷</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r>
                    <w:rPr>
                      <w:rFonts w:hint="default" w:ascii="Times New Roman" w:hAnsi="Times New Roman" w:cs="Times New Roman"/>
                      <w:color w:val="000000" w:themeColor="text1"/>
                      <w:sz w:val="18"/>
                      <w:szCs w:val="18"/>
                      <w:highlight w:val="none"/>
                      <w14:textFill>
                        <w14:solidFill>
                          <w14:schemeClr w14:val="tx1"/>
                        </w14:solidFill>
                      </w14:textFill>
                    </w:rPr>
                    <w:t>mg/L</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202</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3</w:t>
                  </w:r>
                  <w:r>
                    <w:rPr>
                      <w:rFonts w:hint="default" w:ascii="Times New Roman" w:hAnsi="Times New Roman" w:cs="Times New Roman"/>
                      <w:color w:val="000000" w:themeColor="text1"/>
                      <w:sz w:val="18"/>
                      <w:szCs w:val="18"/>
                      <w:highlight w:val="none"/>
                      <w14:textFill>
                        <w14:solidFill>
                          <w14:schemeClr w14:val="tx1"/>
                        </w14:solidFill>
                      </w14:textFill>
                    </w:rPr>
                    <w:t>年</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3</w:t>
                  </w:r>
                  <w:r>
                    <w:rPr>
                      <w:rFonts w:hint="default" w:ascii="Times New Roman" w:hAnsi="Times New Roman" w:cs="Times New Roman"/>
                      <w:color w:val="000000" w:themeColor="text1"/>
                      <w:sz w:val="18"/>
                      <w:szCs w:val="18"/>
                      <w:highlight w:val="none"/>
                      <w14:textFill>
                        <w14:solidFill>
                          <w14:schemeClr w14:val="tx1"/>
                        </w14:solidFill>
                      </w14:textFill>
                    </w:rPr>
                    <w:t>月</w:t>
                  </w:r>
                </w:p>
              </w:tc>
              <w:tc>
                <w:tcPr>
                  <w:tcW w:w="186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24.7</w:t>
                  </w:r>
                </w:p>
              </w:tc>
              <w:tc>
                <w:tcPr>
                  <w:tcW w:w="184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0.46</w:t>
                  </w:r>
                </w:p>
              </w:tc>
              <w:tc>
                <w:tcPr>
                  <w:tcW w:w="186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0.072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5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水质标准</w:t>
                  </w:r>
                </w:p>
              </w:tc>
              <w:tc>
                <w:tcPr>
                  <w:tcW w:w="186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30</w:t>
                  </w:r>
                </w:p>
              </w:tc>
              <w:tc>
                <w:tcPr>
                  <w:tcW w:w="184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1.5</w:t>
                  </w:r>
                </w:p>
              </w:tc>
              <w:tc>
                <w:tcPr>
                  <w:tcW w:w="1862"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0.3</w:t>
                  </w:r>
                </w:p>
              </w:tc>
            </w:tr>
          </w:tbl>
          <w:p>
            <w:pPr>
              <w:keepNext w:val="0"/>
              <w:keepLines w:val="0"/>
              <w:pageBreakBefore w:val="0"/>
              <w:widowControl w:val="0"/>
              <w:kinsoku/>
              <w:wordWrap w:val="0"/>
              <w:overflowPunct/>
              <w:topLinePunct w:val="0"/>
              <w:autoSpaceDE/>
              <w:autoSpaceDN/>
              <w:bidi w:val="0"/>
              <w:adjustRightInd/>
              <w:snapToGrid/>
              <w:spacing w:line="360" w:lineRule="auto"/>
              <w:ind w:firstLine="422" w:firstLineChars="200"/>
              <w:jc w:val="both"/>
              <w:textAlignment w:val="auto"/>
              <w:rPr>
                <w:rFonts w:hint="default" w:ascii="Times New Roman" w:hAnsi="Times New Roman" w:eastAsia="黑体"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u w:val="single"/>
                <w14:textFill>
                  <w14:solidFill>
                    <w14:schemeClr w14:val="tx1"/>
                  </w14:solidFill>
                </w14:textFill>
              </w:rPr>
              <w:t>根据上表监测数据显示，</w:t>
            </w:r>
            <w:r>
              <w:rPr>
                <w:rFonts w:hint="default" w:ascii="Times New Roman" w:hAnsi="Times New Roman" w:cs="Times New Roman"/>
                <w:b/>
                <w:bCs/>
                <w:color w:val="000000" w:themeColor="text1"/>
                <w:sz w:val="21"/>
                <w:szCs w:val="21"/>
                <w:highlight w:val="none"/>
                <w:u w:val="single"/>
                <w:lang w:eastAsia="zh-CN"/>
                <w14:textFill>
                  <w14:solidFill>
                    <w14:schemeClr w14:val="tx1"/>
                  </w14:solidFill>
                </w14:textFill>
              </w:rPr>
              <w:t>2022年3月东孟姜女河新乡县青龙路化肥厂东断面</w:t>
            </w:r>
            <w:r>
              <w:rPr>
                <w:rFonts w:hint="default" w:ascii="Times New Roman" w:hAnsi="Times New Roman" w:cs="Times New Roman"/>
                <w:b/>
                <w:bCs/>
                <w:color w:val="000000" w:themeColor="text1"/>
                <w:sz w:val="21"/>
                <w:szCs w:val="21"/>
                <w:highlight w:val="none"/>
                <w:u w:val="single"/>
                <w14:textFill>
                  <w14:solidFill>
                    <w14:schemeClr w14:val="tx1"/>
                  </w14:solidFill>
                </w14:textFill>
              </w:rPr>
              <w:t>水质能够满足《地表水环境质量标准》（GB3838-2002）</w:t>
            </w:r>
            <w:r>
              <w:rPr>
                <w:rFonts w:hint="default" w:ascii="Times New Roman" w:hAnsi="Times New Roman" w:cs="Times New Roman"/>
                <w:b/>
                <w:bCs/>
                <w:color w:val="000000" w:themeColor="text1"/>
                <w:sz w:val="21"/>
                <w:szCs w:val="21"/>
                <w:highlight w:val="none"/>
                <w:u w:val="single"/>
                <w14:textFill>
                  <w14:solidFill>
                    <w14:schemeClr w14:val="tx1"/>
                  </w14:solidFill>
                </w14:textFill>
              </w:rPr>
              <w:fldChar w:fldCharType="begin"/>
            </w:r>
            <w:r>
              <w:rPr>
                <w:rFonts w:hint="default" w:ascii="Times New Roman" w:hAnsi="Times New Roman" w:cs="Times New Roman"/>
                <w:b/>
                <w:bCs/>
                <w:color w:val="000000" w:themeColor="text1"/>
                <w:sz w:val="21"/>
                <w:szCs w:val="21"/>
                <w:highlight w:val="none"/>
                <w:u w:val="single"/>
                <w14:textFill>
                  <w14:solidFill>
                    <w14:schemeClr w14:val="tx1"/>
                  </w14:solidFill>
                </w14:textFill>
              </w:rPr>
              <w:instrText xml:space="preserve"> = 4 \* ROMAN \* MERGEFORMAT </w:instrText>
            </w:r>
            <w:r>
              <w:rPr>
                <w:rFonts w:hint="default" w:ascii="Times New Roman" w:hAnsi="Times New Roman" w:cs="Times New Roman"/>
                <w:b/>
                <w:bCs/>
                <w:color w:val="000000" w:themeColor="text1"/>
                <w:sz w:val="21"/>
                <w:szCs w:val="21"/>
                <w:highlight w:val="none"/>
                <w:u w:val="single"/>
                <w14:textFill>
                  <w14:solidFill>
                    <w14:schemeClr w14:val="tx1"/>
                  </w14:solidFill>
                </w14:textFill>
              </w:rPr>
              <w:fldChar w:fldCharType="separate"/>
            </w:r>
            <w:r>
              <w:rPr>
                <w:rFonts w:hint="default" w:ascii="Times New Roman" w:hAnsi="Times New Roman" w:cs="Times New Roman"/>
                <w:b/>
                <w:bCs/>
                <w:color w:val="000000" w:themeColor="text1"/>
                <w:u w:val="single"/>
                <w14:textFill>
                  <w14:solidFill>
                    <w14:schemeClr w14:val="tx1"/>
                  </w14:solidFill>
                </w14:textFill>
              </w:rPr>
              <w:t>IV</w:t>
            </w:r>
            <w:r>
              <w:rPr>
                <w:rFonts w:hint="default" w:ascii="Times New Roman" w:hAnsi="Times New Roman" w:cs="Times New Roman"/>
                <w:b/>
                <w:bCs/>
                <w:color w:val="000000" w:themeColor="text1"/>
                <w:sz w:val="21"/>
                <w:szCs w:val="21"/>
                <w:highlight w:val="none"/>
                <w:u w:val="single"/>
                <w14:textFill>
                  <w14:solidFill>
                    <w14:schemeClr w14:val="tx1"/>
                  </w14:solidFill>
                </w14:textFill>
              </w:rPr>
              <w:fldChar w:fldCharType="end"/>
            </w:r>
            <w:r>
              <w:rPr>
                <w:rFonts w:hint="default" w:ascii="Times New Roman" w:hAnsi="Times New Roman" w:cs="Times New Roman"/>
                <w:b/>
                <w:bCs/>
                <w:color w:val="000000" w:themeColor="text1"/>
                <w:sz w:val="21"/>
                <w:szCs w:val="21"/>
                <w:highlight w:val="none"/>
                <w:u w:val="single"/>
                <w14:textFill>
                  <w14:solidFill>
                    <w14:schemeClr w14:val="tx1"/>
                  </w14:solidFill>
                </w14:textFill>
              </w:rPr>
              <w:t>类水质要求</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kern w:val="0"/>
                <w:sz w:val="21"/>
                <w:szCs w:val="21"/>
                <w:highlight w:val="none"/>
                <w14:textFill>
                  <w14:solidFill>
                    <w14:schemeClr w14:val="tx1"/>
                  </w14:solidFill>
                </w14:textFill>
              </w:rPr>
              <w:t>目前新乡市正在推进实施《新乡市人民政府关于打赢水污染防治攻坚战的意见》（新政文[2017]28号）、《新乡市卫河流域水污染防治攻坚战实施方案等11个专项方案》（新环攻坚办（2017）20号）、《新乡市污水处理厂及配套管网建设与城市黑臭水体整治实施方案》（新环攻坚办（2017）13号）和《关于印发新乡市202</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2</w:t>
            </w:r>
            <w:r>
              <w:rPr>
                <w:rFonts w:hint="default" w:ascii="Times New Roman" w:hAnsi="Times New Roman" w:cs="Times New Roman"/>
                <w:color w:val="000000" w:themeColor="text1"/>
                <w:kern w:val="0"/>
                <w:sz w:val="21"/>
                <w:szCs w:val="21"/>
                <w:highlight w:val="none"/>
                <w14:textFill>
                  <w14:solidFill>
                    <w14:schemeClr w14:val="tx1"/>
                  </w14:solidFill>
                </w14:textFill>
              </w:rPr>
              <w:t>年大气、水、土壤污染防治攻坚战实施方案的通知》（新环攻坚[202</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2</w:t>
            </w:r>
            <w:r>
              <w:rPr>
                <w:rFonts w:hint="default" w:ascii="Times New Roman" w:hAnsi="Times New Roman" w:cs="Times New Roman"/>
                <w:color w:val="000000" w:themeColor="text1"/>
                <w:kern w:val="0"/>
                <w:sz w:val="21"/>
                <w:szCs w:val="21"/>
                <w:highlight w:val="none"/>
                <w14:textFill>
                  <w14:solidFill>
                    <w14:schemeClr w14:val="tx1"/>
                  </w14:solidFill>
                </w14:textFill>
              </w:rPr>
              <w:t>]</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6</w:t>
            </w:r>
            <w:r>
              <w:rPr>
                <w:rFonts w:hint="default" w:ascii="Times New Roman" w:hAnsi="Times New Roman" w:cs="Times New Roman"/>
                <w:color w:val="000000" w:themeColor="text1"/>
                <w:kern w:val="0"/>
                <w:sz w:val="21"/>
                <w:szCs w:val="21"/>
                <w:highlight w:val="none"/>
                <w14:textFill>
                  <w14:solidFill>
                    <w14:schemeClr w14:val="tx1"/>
                  </w14:solidFill>
                </w14:textFill>
              </w:rPr>
              <w:t>0号），将进一步改善新乡市水环境质量。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jc w:val="both"/>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b/>
                <w:bCs/>
                <w:color w:val="000000" w:themeColor="text1"/>
                <w:sz w:val="21"/>
                <w:szCs w:val="21"/>
                <w:highlight w:val="none"/>
                <w14:textFill>
                  <w14:solidFill>
                    <w14:schemeClr w14:val="tx1"/>
                  </w14:solidFill>
                </w14:textFill>
              </w:rPr>
              <w:t>声环境质量现状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rPr>
                <w:rFonts w:hint="default" w:ascii="Times New Roman" w:hAnsi="Times New Roman" w:cs="Times New Roman"/>
                <w:b/>
                <w:bCs w:val="0"/>
                <w:color w:val="000000" w:themeColor="text1"/>
                <w:highlight w:val="none"/>
                <w:u w:val="single"/>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根据《建设项目环境影响报告表编制技术指南（污染影响类）（试行）》，厂界外周边50米范围内存在声环境保护目标的建设项目，应监测保护目标声环境质量现状并评价达标情况。</w:t>
            </w:r>
            <w:r>
              <w:rPr>
                <w:rFonts w:hint="default" w:ascii="Times New Roman" w:hAnsi="Times New Roman" w:cs="Times New Roman"/>
                <w:b/>
                <w:bCs w:val="0"/>
                <w:color w:val="000000" w:themeColor="text1"/>
                <w:sz w:val="21"/>
                <w:szCs w:val="21"/>
                <w:highlight w:val="none"/>
                <w:u w:val="single"/>
                <w14:textFill>
                  <w14:solidFill>
                    <w14:schemeClr w14:val="tx1"/>
                  </w14:solidFill>
                </w14:textFill>
              </w:rPr>
              <w:t>根据现场踏勘，</w:t>
            </w:r>
            <w:r>
              <w:rPr>
                <w:rFonts w:hint="default" w:ascii="Times New Roman" w:hAnsi="Times New Roman" w:cs="Times New Roman"/>
                <w:b/>
                <w:bCs w:val="0"/>
                <w:color w:val="000000" w:themeColor="text1"/>
                <w:sz w:val="21"/>
                <w:szCs w:val="21"/>
                <w:highlight w:val="none"/>
                <w:u w:val="single"/>
                <w:lang w:eastAsia="zh-CN"/>
                <w14:textFill>
                  <w14:solidFill>
                    <w14:schemeClr w14:val="tx1"/>
                  </w14:solidFill>
                </w14:textFill>
              </w:rPr>
              <w:t>项目厂界外周边</w:t>
            </w:r>
            <w:r>
              <w:rPr>
                <w:rFonts w:hint="default" w:ascii="Times New Roman" w:hAnsi="Times New Roman" w:cs="Times New Roman"/>
                <w:b/>
                <w:bCs w:val="0"/>
                <w:color w:val="000000" w:themeColor="text1"/>
                <w:sz w:val="21"/>
                <w:szCs w:val="21"/>
                <w:highlight w:val="none"/>
                <w:u w:val="single"/>
                <w:lang w:val="en-US" w:eastAsia="zh-CN"/>
                <w14:textFill>
                  <w14:solidFill>
                    <w14:schemeClr w14:val="tx1"/>
                  </w14:solidFill>
                </w14:textFill>
              </w:rPr>
              <w:t>50m范围内</w:t>
            </w:r>
            <w:r>
              <w:rPr>
                <w:rFonts w:hint="default" w:ascii="Times New Roman" w:hAnsi="Times New Roman" w:cs="Times New Roman"/>
                <w:b/>
                <w:bCs w:val="0"/>
                <w:color w:val="000000" w:themeColor="text1"/>
                <w:sz w:val="21"/>
                <w:szCs w:val="21"/>
                <w:highlight w:val="none"/>
                <w:u w:val="single"/>
                <w14:textFill>
                  <w14:solidFill>
                    <w14:schemeClr w14:val="tx1"/>
                  </w14:solidFill>
                </w14:textFill>
              </w:rPr>
              <w:t>声环境保护目标</w:t>
            </w:r>
            <w:r>
              <w:rPr>
                <w:rFonts w:hint="default" w:ascii="Times New Roman" w:hAnsi="Times New Roman" w:cs="Times New Roman"/>
                <w:b/>
                <w:bCs w:val="0"/>
                <w:color w:val="000000" w:themeColor="text1"/>
                <w:sz w:val="21"/>
                <w:szCs w:val="21"/>
                <w:highlight w:val="none"/>
                <w:u w:val="single"/>
                <w:lang w:val="en-US" w:eastAsia="zh-CN"/>
                <w14:textFill>
                  <w14:solidFill>
                    <w14:schemeClr w14:val="tx1"/>
                  </w14:solidFill>
                </w14:textFill>
              </w:rPr>
              <w:t>为南侧50m处的西街村民居</w:t>
            </w:r>
            <w:r>
              <w:rPr>
                <w:rFonts w:hint="default" w:ascii="Times New Roman" w:hAnsi="Times New Roman" w:cs="Times New Roman"/>
                <w:b/>
                <w:bCs w:val="0"/>
                <w:color w:val="000000" w:themeColor="text1"/>
                <w:sz w:val="21"/>
                <w:szCs w:val="21"/>
                <w:highlight w:val="none"/>
                <w:u w:val="single"/>
                <w:lang w:eastAsia="zh-CN"/>
                <w14:textFill>
                  <w14:solidFill>
                    <w14:schemeClr w14:val="tx1"/>
                  </w14:solidFill>
                </w14:textFill>
              </w:rPr>
              <w:t>，企业委托</w:t>
            </w:r>
            <w:r>
              <w:rPr>
                <w:rFonts w:hint="default" w:ascii="Times New Roman" w:hAnsi="Times New Roman" w:cs="Times New Roman"/>
                <w:b/>
                <w:bCs w:val="0"/>
                <w:color w:val="000000" w:themeColor="text1"/>
                <w:sz w:val="21"/>
                <w:szCs w:val="21"/>
                <w:highlight w:val="none"/>
                <w:u w:val="single"/>
                <w:lang w:val="en-US" w:eastAsia="zh-CN"/>
                <w14:textFill>
                  <w14:solidFill>
                    <w14:schemeClr w14:val="tx1"/>
                  </w14:solidFill>
                </w14:textFill>
              </w:rPr>
              <w:t>河南鼎晟监测技术有限公司于2022年9月20日至9月21日对现状噪声情况进行实测，具体</w:t>
            </w:r>
            <w:r>
              <w:rPr>
                <w:rFonts w:hint="default" w:ascii="Times New Roman" w:hAnsi="Times New Roman" w:cs="Times New Roman"/>
                <w:b/>
                <w:bCs w:val="0"/>
                <w:color w:val="000000" w:themeColor="text1"/>
                <w:kern w:val="2"/>
                <w:sz w:val="21"/>
                <w:szCs w:val="21"/>
                <w:highlight w:val="none"/>
                <w:u w:val="single"/>
                <w:lang w:val="en-US" w:eastAsia="zh-CN" w:bidi="ar-SA"/>
                <w14:textFill>
                  <w14:solidFill>
                    <w14:schemeClr w14:val="tx1"/>
                  </w14:solidFill>
                </w14:textFill>
              </w:rPr>
              <w:t>监测结果如下：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声环境保护目标现状监测值</w:t>
            </w:r>
          </w:p>
          <w:tbl>
            <w:tblPr>
              <w:tblStyle w:val="21"/>
              <w:tblW w:w="4998" w:type="pct"/>
              <w:tblInd w:w="0" w:type="dxa"/>
              <w:tblBorders>
                <w:top w:val="single" w:color="auto" w:sz="6" w:space="0"/>
                <w:left w:val="none" w:color="auto" w:sz="0" w:space="0"/>
                <w:bottom w:val="single" w:color="auto" w:sz="6"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05"/>
              <w:gridCol w:w="1209"/>
              <w:gridCol w:w="1242"/>
              <w:gridCol w:w="3815"/>
            </w:tblGrid>
            <w:tr>
              <w:tblPrEx>
                <w:tblBorders>
                  <w:top w:val="single" w:color="auto" w:sz="6" w:space="0"/>
                  <w:left w:val="none" w:color="auto" w:sz="0" w:space="0"/>
                  <w:bottom w:val="single" w:color="auto" w:sz="6"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6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none"/>
                      <w:u w:val="single"/>
                      <w14:textFill>
                        <w14:solidFill>
                          <w14:schemeClr w14:val="tx1"/>
                        </w14:solidFill>
                      </w14:textFill>
                    </w:rPr>
                  </w:pPr>
                  <w:r>
                    <w:rPr>
                      <w:rFonts w:hint="default" w:ascii="Times New Roman" w:hAnsi="Times New Roman" w:cs="Times New Roman"/>
                      <w:b/>
                      <w:bCs/>
                      <w:color w:val="000000" w:themeColor="text1"/>
                      <w:sz w:val="18"/>
                      <w:szCs w:val="18"/>
                      <w:highlight w:val="none"/>
                      <w:u w:val="single"/>
                      <w14:textFill>
                        <w14:solidFill>
                          <w14:schemeClr w14:val="tx1"/>
                        </w14:solidFill>
                      </w14:textFill>
                    </w:rPr>
                    <w:t>方位</w:t>
                  </w:r>
                </w:p>
              </w:tc>
              <w:tc>
                <w:tcPr>
                  <w:tcW w:w="75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none"/>
                      <w:u w:val="single"/>
                      <w14:textFill>
                        <w14:solidFill>
                          <w14:schemeClr w14:val="tx1"/>
                        </w14:solidFill>
                      </w14:textFill>
                    </w:rPr>
                  </w:pPr>
                  <w:r>
                    <w:rPr>
                      <w:rFonts w:hint="default" w:ascii="Times New Roman" w:hAnsi="Times New Roman" w:cs="Times New Roman"/>
                      <w:b/>
                      <w:bCs/>
                      <w:color w:val="000000" w:themeColor="text1"/>
                      <w:sz w:val="18"/>
                      <w:szCs w:val="18"/>
                      <w:highlight w:val="none"/>
                      <w:u w:val="single"/>
                      <w14:textFill>
                        <w14:solidFill>
                          <w14:schemeClr w14:val="tx1"/>
                        </w14:solidFill>
                      </w14:textFill>
                    </w:rPr>
                    <w:t>昼间dB（A）</w:t>
                  </w:r>
                </w:p>
              </w:tc>
              <w:tc>
                <w:tcPr>
                  <w:tcW w:w="77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none"/>
                      <w:u w:val="single"/>
                      <w14:textFill>
                        <w14:solidFill>
                          <w14:schemeClr w14:val="tx1"/>
                        </w14:solidFill>
                      </w14:textFill>
                    </w:rPr>
                  </w:pPr>
                  <w:r>
                    <w:rPr>
                      <w:rFonts w:hint="default" w:ascii="Times New Roman" w:hAnsi="Times New Roman" w:cs="Times New Roman"/>
                      <w:b/>
                      <w:bCs/>
                      <w:color w:val="000000" w:themeColor="text1"/>
                      <w:sz w:val="18"/>
                      <w:szCs w:val="18"/>
                      <w:highlight w:val="none"/>
                      <w:u w:val="single"/>
                      <w14:textFill>
                        <w14:solidFill>
                          <w14:schemeClr w14:val="tx1"/>
                        </w14:solidFill>
                      </w14:textFill>
                    </w:rPr>
                    <w:t>夜间dB（A）</w:t>
                  </w:r>
                </w:p>
              </w:tc>
              <w:tc>
                <w:tcPr>
                  <w:tcW w:w="239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none"/>
                      <w:u w:val="single"/>
                      <w14:textFill>
                        <w14:solidFill>
                          <w14:schemeClr w14:val="tx1"/>
                        </w14:solidFill>
                      </w14:textFill>
                    </w:rPr>
                  </w:pPr>
                  <w:r>
                    <w:rPr>
                      <w:rFonts w:hint="default" w:ascii="Times New Roman" w:hAnsi="Times New Roman" w:cs="Times New Roman"/>
                      <w:b/>
                      <w:bCs/>
                      <w:color w:val="000000" w:themeColor="text1"/>
                      <w:sz w:val="18"/>
                      <w:szCs w:val="18"/>
                      <w:highlight w:val="none"/>
                      <w:u w:val="single"/>
                      <w14:textFill>
                        <w14:solidFill>
                          <w14:schemeClr w14:val="tx1"/>
                        </w14:solidFill>
                      </w14:textFill>
                    </w:rPr>
                    <w:t>标准值</w:t>
                  </w:r>
                </w:p>
              </w:tc>
            </w:tr>
            <w:tr>
              <w:tblPrEx>
                <w:tblBorders>
                  <w:top w:val="single" w:color="auto" w:sz="6" w:space="0"/>
                  <w:left w:val="none" w:color="auto" w:sz="0" w:space="0"/>
                  <w:bottom w:val="single" w:color="auto" w:sz="6"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6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none"/>
                      <w:u w:val="single"/>
                      <w:lang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西街村民居</w:t>
                  </w:r>
                </w:p>
              </w:tc>
              <w:tc>
                <w:tcPr>
                  <w:tcW w:w="75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t>50~51</w:t>
                  </w:r>
                </w:p>
              </w:tc>
              <w:tc>
                <w:tcPr>
                  <w:tcW w:w="77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t>40~41</w:t>
                  </w:r>
                </w:p>
              </w:tc>
              <w:tc>
                <w:tcPr>
                  <w:tcW w:w="239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none"/>
                      <w:u w:val="single"/>
                      <w14:textFill>
                        <w14:solidFill>
                          <w14:schemeClr w14:val="tx1"/>
                        </w14:solidFill>
                      </w14:textFill>
                    </w:rPr>
                  </w:pPr>
                  <w:r>
                    <w:rPr>
                      <w:rFonts w:hint="default" w:ascii="Times New Roman" w:hAnsi="Times New Roman" w:cs="Times New Roman"/>
                      <w:b/>
                      <w:bCs/>
                      <w:color w:val="000000" w:themeColor="text1"/>
                      <w:sz w:val="18"/>
                      <w:szCs w:val="18"/>
                      <w:highlight w:val="none"/>
                      <w:u w:val="single"/>
                      <w14:textFill>
                        <w14:solidFill>
                          <w14:schemeClr w14:val="tx1"/>
                        </w14:solidFill>
                      </w14:textFill>
                    </w:rPr>
                    <w:t>《声环境质量标准》</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none"/>
                      <w:u w:val="single"/>
                      <w14:textFill>
                        <w14:solidFill>
                          <w14:schemeClr w14:val="tx1"/>
                        </w14:solidFill>
                      </w14:textFill>
                    </w:rPr>
                  </w:pPr>
                  <w:r>
                    <w:rPr>
                      <w:rFonts w:hint="default" w:ascii="Times New Roman" w:hAnsi="Times New Roman" w:cs="Times New Roman"/>
                      <w:b/>
                      <w:bCs/>
                      <w:color w:val="000000" w:themeColor="text1"/>
                      <w:sz w:val="18"/>
                      <w:szCs w:val="18"/>
                      <w:highlight w:val="none"/>
                      <w:u w:val="single"/>
                      <w14:textFill>
                        <w14:solidFill>
                          <w14:schemeClr w14:val="tx1"/>
                        </w14:solidFill>
                      </w14:textFill>
                    </w:rPr>
                    <w:t>（GB3096-2008）2类标准</w:t>
                  </w:r>
                </w:p>
              </w:tc>
            </w:tr>
          </w:tbl>
          <w:p>
            <w:pPr>
              <w:keepNext w:val="0"/>
              <w:keepLines w:val="0"/>
              <w:pageBreakBefore w:val="0"/>
              <w:widowControl w:val="0"/>
              <w:kinsoku/>
              <w:wordWrap/>
              <w:overflowPunct/>
              <w:topLinePunct w:val="0"/>
              <w:bidi w:val="0"/>
              <w:adjustRightInd/>
              <w:snapToGrid/>
              <w:spacing w:line="360" w:lineRule="auto"/>
              <w:ind w:firstLine="422" w:firstLineChars="200"/>
              <w:textAlignment w:val="auto"/>
              <w:rPr>
                <w:rFonts w:hint="default" w:ascii="Times New Roman" w:hAnsi="Times New Roman" w:cs="Times New Roman"/>
                <w:b/>
                <w:bCs/>
                <w:color w:val="000000" w:themeColor="text1"/>
                <w:sz w:val="21"/>
                <w:szCs w:val="21"/>
                <w:highlight w:val="none"/>
                <w:u w:val="single"/>
                <w14:textFill>
                  <w14:solidFill>
                    <w14:schemeClr w14:val="tx1"/>
                  </w14:solidFill>
                </w14:textFill>
              </w:rPr>
            </w:pPr>
            <w:r>
              <w:rPr>
                <w:rFonts w:hint="default" w:ascii="Times New Roman" w:hAnsi="Times New Roman" w:cs="Times New Roman"/>
                <w:b/>
                <w:bCs/>
                <w:color w:val="000000" w:themeColor="text1"/>
                <w:sz w:val="21"/>
                <w:szCs w:val="21"/>
                <w:highlight w:val="none"/>
                <w:u w:val="single"/>
                <w14:textFill>
                  <w14:solidFill>
                    <w14:schemeClr w14:val="tx1"/>
                  </w14:solidFill>
                </w14:textFill>
              </w:rPr>
              <w:t>由上表可知，</w:t>
            </w:r>
            <w:r>
              <w:rPr>
                <w:rFonts w:hint="default" w:ascii="Times New Roman" w:hAnsi="Times New Roman" w:cs="Times New Roman"/>
                <w:b/>
                <w:bCs/>
                <w:color w:val="000000" w:themeColor="text1"/>
                <w:sz w:val="21"/>
                <w:szCs w:val="21"/>
                <w:highlight w:val="none"/>
                <w:u w:val="single"/>
                <w:lang w:eastAsia="zh-CN"/>
                <w14:textFill>
                  <w14:solidFill>
                    <w14:schemeClr w14:val="tx1"/>
                  </w14:solidFill>
                </w14:textFill>
              </w:rPr>
              <w:t>项目厂界南侧西街村民居（敏感点）声环境质量现状</w:t>
            </w:r>
            <w:r>
              <w:rPr>
                <w:rFonts w:hint="default" w:ascii="Times New Roman" w:hAnsi="Times New Roman" w:cs="Times New Roman"/>
                <w:b/>
                <w:bCs/>
                <w:color w:val="000000" w:themeColor="text1"/>
                <w:sz w:val="21"/>
                <w:szCs w:val="21"/>
                <w:highlight w:val="none"/>
                <w:u w:val="single"/>
                <w14:textFill>
                  <w14:solidFill>
                    <w14:schemeClr w14:val="tx1"/>
                  </w14:solidFill>
                </w14:textFill>
              </w:rPr>
              <w:t>能够满足《声环境质量标准》（GB3096-2008）2类标准。</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4、生态环境质量现状</w:t>
            </w:r>
          </w:p>
          <w:p>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jc w:val="both"/>
              <w:textAlignment w:val="auto"/>
              <w:rPr>
                <w:rFonts w:hint="default" w:ascii="Times New Roman" w:hAnsi="Times New Roman" w:eastAsia="宋体" w:cs="Times New Roman"/>
                <w:color w:val="000000" w:themeColor="text1"/>
                <w:kern w:val="0"/>
                <w:szCs w:val="21"/>
                <w:highlight w:val="cyan"/>
                <w:lang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根据调查，评价区域内生态环境主要以人工生态环境为主，主要植被为人工栽培的树木以及农作物，区域内无珍稀野生植被和野生动物。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环境</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保护</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目标</w:t>
            </w:r>
          </w:p>
        </w:tc>
        <w:tc>
          <w:tcPr>
            <w:tcW w:w="8190" w:type="dxa"/>
            <w:noWrap w:val="0"/>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textAlignment w:val="auto"/>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项目位于新乡市新乡县小冀镇青龙大道39号</w:t>
            </w:r>
            <w:r>
              <w:rPr>
                <w:rFonts w:hint="default" w:ascii="Times New Roman" w:hAnsi="Times New Roman" w:cs="Times New Roman"/>
                <w:color w:val="000000" w:themeColor="text1"/>
                <w:kern w:val="0"/>
                <w:szCs w:val="21"/>
                <w:highlight w:val="none"/>
                <w:lang w:eastAsia="zh-CN"/>
                <w14:textFill>
                  <w14:solidFill>
                    <w14:schemeClr w14:val="tx1"/>
                  </w14:solidFill>
                </w14:textFill>
              </w:rPr>
              <w:t>，利用</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现有</w:t>
            </w:r>
            <w:r>
              <w:rPr>
                <w:rFonts w:hint="default" w:ascii="Times New Roman" w:hAnsi="Times New Roman" w:cs="Times New Roman"/>
                <w:color w:val="000000" w:themeColor="text1"/>
                <w:kern w:val="0"/>
                <w:szCs w:val="21"/>
                <w:highlight w:val="none"/>
                <w:lang w:eastAsia="zh-CN"/>
                <w14:textFill>
                  <w14:solidFill>
                    <w14:schemeClr w14:val="tx1"/>
                  </w14:solidFill>
                </w14:textFill>
              </w:rPr>
              <w:t>厂区及厂房进行建设，根据现场勘查，项目厂区北侧为新乡中联爱斯福锻压有限公司及空地，东侧为</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林森源家具城</w:t>
            </w:r>
            <w:r>
              <w:rPr>
                <w:rFonts w:hint="default" w:ascii="Times New Roman" w:hAnsi="Times New Roman" w:cs="Times New Roman"/>
                <w:color w:val="000000" w:themeColor="text1"/>
                <w:kern w:val="0"/>
                <w:szCs w:val="21"/>
                <w:highlight w:val="none"/>
                <w:lang w:eastAsia="zh-CN"/>
                <w14:textFill>
                  <w14:solidFill>
                    <w14:schemeClr w14:val="tx1"/>
                  </w14:solidFill>
                </w14:textFill>
              </w:rPr>
              <w:t>，西侧为水泥预制板制造厂，南侧隔青龙路为西街村。距离项目选址最近的环境敏感点为南侧</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50m处的西街村</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。项目周边环境</w:t>
            </w:r>
            <w:r>
              <w:rPr>
                <w:rFonts w:hint="default" w:ascii="Times New Roman" w:hAnsi="Times New Roman" w:cs="Times New Roman"/>
                <w:color w:val="000000" w:themeColor="text1"/>
                <w:kern w:val="0"/>
                <w:szCs w:val="21"/>
                <w:highlight w:val="none"/>
                <w:lang w:eastAsia="zh-CN"/>
                <w14:textFill>
                  <w14:solidFill>
                    <w14:schemeClr w14:val="tx1"/>
                  </w14:solidFill>
                </w14:textFill>
              </w:rPr>
              <w:t>详见附图二。</w:t>
            </w:r>
          </w:p>
          <w:p>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Cs/>
                <w:color w:val="000000" w:themeColor="text1"/>
                <w:kern w:val="0"/>
                <w:szCs w:val="21"/>
                <w:highlight w:val="none"/>
                <w14:textFill>
                  <w14:solidFill>
                    <w14:schemeClr w14:val="tx1"/>
                  </w14:solidFill>
                </w14:textFill>
              </w:rPr>
              <w:t>根据现场调查，拟建项目环境保护目标详见</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下表</w:t>
            </w:r>
            <w:r>
              <w:rPr>
                <w:rFonts w:hint="default" w:ascii="Times New Roman" w:hAnsi="Times New Roman" w:cs="Times New Roman"/>
                <w:bCs/>
                <w:color w:val="000000" w:themeColor="text1"/>
                <w:kern w:val="0"/>
                <w:szCs w:val="21"/>
                <w:highlight w:val="none"/>
                <w14:textFill>
                  <w14:solidFill>
                    <w14:schemeClr w14:val="tx1"/>
                  </w14:solidFill>
                </w14:textFill>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项目主要环境保护目标一览表</w:t>
            </w:r>
          </w:p>
          <w:tbl>
            <w:tblPr>
              <w:tblStyle w:val="21"/>
              <w:tblW w:w="5000" w:type="pct"/>
              <w:jc w:val="center"/>
              <w:tblBorders>
                <w:top w:val="single" w:color="auto" w:sz="2" w:space="0"/>
                <w:left w:val="none" w:color="auto" w:sz="0" w:space="0"/>
                <w:bottom w:val="single" w:color="auto" w:sz="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2389"/>
              <w:gridCol w:w="1"/>
              <w:gridCol w:w="943"/>
              <w:gridCol w:w="1070"/>
              <w:gridCol w:w="2370"/>
            </w:tblGrid>
            <w:tr>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PrEx>
              <w:trPr>
                <w:trHeight w:val="454" w:hRule="atLeast"/>
                <w:jc w:val="center"/>
              </w:trPr>
              <w:tc>
                <w:tcPr>
                  <w:tcW w:w="753" w:type="pct"/>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环境要素</w:t>
                  </w:r>
                </w:p>
              </w:tc>
              <w:tc>
                <w:tcPr>
                  <w:tcW w:w="1498" w:type="pct"/>
                  <w:gridSpan w:val="2"/>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环境保护对象名称</w:t>
                  </w:r>
                </w:p>
              </w:tc>
              <w:tc>
                <w:tcPr>
                  <w:tcW w:w="591" w:type="pct"/>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方位</w:t>
                  </w:r>
                </w:p>
              </w:tc>
              <w:tc>
                <w:tcPr>
                  <w:tcW w:w="670" w:type="pct"/>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距离（m）</w:t>
                  </w:r>
                </w:p>
              </w:tc>
              <w:tc>
                <w:tcPr>
                  <w:tcW w:w="1486" w:type="pct"/>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保护目标及保护等级</w:t>
                  </w:r>
                </w:p>
              </w:tc>
            </w:tr>
            <w:tr>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pct"/>
                  <w:vMerge w:val="restart"/>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环境空气</w:t>
                  </w:r>
                </w:p>
              </w:tc>
              <w:tc>
                <w:tcPr>
                  <w:tcW w:w="1498" w:type="pct"/>
                  <w:gridSpan w:val="2"/>
                  <w:tcBorders>
                    <w:right w:val="single" w:color="000000" w:sz="4" w:space="0"/>
                  </w:tcBorders>
                  <w:noWrap w:val="0"/>
                  <w:vAlign w:val="center"/>
                </w:tcPr>
                <w:p>
                  <w:pPr>
                    <w:keepNext w:val="0"/>
                    <w:keepLines/>
                    <w:pageBreakBefore w:val="0"/>
                    <w:widowControl/>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eastAsia="宋体"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西街村</w:t>
                  </w:r>
                </w:p>
              </w:tc>
              <w:tc>
                <w:tcPr>
                  <w:tcW w:w="591" w:type="pct"/>
                  <w:tcBorders>
                    <w:left w:val="single" w:color="000000" w:sz="4" w:space="0"/>
                    <w:right w:val="single" w:color="000000" w:sz="4" w:space="0"/>
                  </w:tcBorders>
                  <w:noWrap w:val="0"/>
                  <w:vAlign w:val="center"/>
                </w:tcPr>
                <w:p>
                  <w:pPr>
                    <w:keepNext w:val="0"/>
                    <w:keepLines/>
                    <w:pageBreakBefore w:val="0"/>
                    <w:widowControl/>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eastAsia="宋体"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S</w:t>
                  </w:r>
                </w:p>
              </w:tc>
              <w:tc>
                <w:tcPr>
                  <w:tcW w:w="670" w:type="pct"/>
                  <w:tcBorders>
                    <w:left w:val="single" w:color="000000" w:sz="4" w:space="0"/>
                  </w:tcBorders>
                  <w:noWrap w:val="0"/>
                  <w:vAlign w:val="center"/>
                </w:tcPr>
                <w:p>
                  <w:pPr>
                    <w:keepNext w:val="0"/>
                    <w:keepLines/>
                    <w:pageBreakBefore w:val="0"/>
                    <w:widowControl/>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eastAsia="宋体"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50</w:t>
                  </w:r>
                </w:p>
              </w:tc>
              <w:tc>
                <w:tcPr>
                  <w:tcW w:w="1486" w:type="pct"/>
                  <w:vMerge w:val="restart"/>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en-US"/>
                      <w14:textFill>
                        <w14:solidFill>
                          <w14:schemeClr w14:val="tx1"/>
                        </w14:solidFill>
                      </w14:textFill>
                    </w:rPr>
                    <w:t>《环境空气质量标准》（GB3095-2012） 二级</w:t>
                  </w:r>
                </w:p>
              </w:tc>
            </w:tr>
            <w:tr>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PrEx>
              <w:trPr>
                <w:trHeight w:val="445" w:hRule="atLeast"/>
                <w:jc w:val="center"/>
              </w:trPr>
              <w:tc>
                <w:tcPr>
                  <w:tcW w:w="753" w:type="pct"/>
                  <w:vMerge w:val="continue"/>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1498" w:type="pct"/>
                  <w:gridSpan w:val="2"/>
                  <w:tcBorders>
                    <w:right w:val="single" w:color="000000" w:sz="4" w:space="0"/>
                  </w:tcBorders>
                  <w:noWrap w:val="0"/>
                  <w:vAlign w:val="center"/>
                </w:tcPr>
                <w:p>
                  <w:pPr>
                    <w:keepNext w:val="0"/>
                    <w:keepLines/>
                    <w:pageBreakBefore w:val="0"/>
                    <w:widowControl/>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eastAsia="宋体"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郝村</w:t>
                  </w:r>
                </w:p>
              </w:tc>
              <w:tc>
                <w:tcPr>
                  <w:tcW w:w="591" w:type="pct"/>
                  <w:tcBorders>
                    <w:left w:val="single" w:color="000000" w:sz="4" w:space="0"/>
                    <w:right w:val="single" w:color="000000" w:sz="4" w:space="0"/>
                  </w:tcBorders>
                  <w:noWrap w:val="0"/>
                  <w:vAlign w:val="center"/>
                </w:tcPr>
                <w:p>
                  <w:pPr>
                    <w:keepNext w:val="0"/>
                    <w:keepLines/>
                    <w:pageBreakBefore w:val="0"/>
                    <w:widowControl/>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eastAsia="宋体"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NE</w:t>
                  </w:r>
                </w:p>
              </w:tc>
              <w:tc>
                <w:tcPr>
                  <w:tcW w:w="670" w:type="pct"/>
                  <w:tcBorders>
                    <w:left w:val="single" w:color="000000" w:sz="4" w:space="0"/>
                  </w:tcBorders>
                  <w:noWrap w:val="0"/>
                  <w:vAlign w:val="center"/>
                </w:tcPr>
                <w:p>
                  <w:pPr>
                    <w:keepNext w:val="0"/>
                    <w:keepLines/>
                    <w:pageBreakBefore w:val="0"/>
                    <w:widowControl/>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eastAsia="宋体"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240</w:t>
                  </w:r>
                </w:p>
              </w:tc>
              <w:tc>
                <w:tcPr>
                  <w:tcW w:w="1486" w:type="pct"/>
                  <w:vMerge w:val="continue"/>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lang w:val="en-US"/>
                      <w14:textFill>
                        <w14:solidFill>
                          <w14:schemeClr w14:val="tx1"/>
                        </w14:solidFill>
                      </w14:textFill>
                    </w:rPr>
                  </w:pPr>
                </w:p>
              </w:tc>
            </w:tr>
            <w:tr>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PrEx>
              <w:trPr>
                <w:trHeight w:val="445" w:hRule="atLeast"/>
                <w:jc w:val="center"/>
              </w:trPr>
              <w:tc>
                <w:tcPr>
                  <w:tcW w:w="753" w:type="pct"/>
                  <w:vMerge w:val="continue"/>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1498" w:type="pct"/>
                  <w:gridSpan w:val="2"/>
                  <w:tcBorders>
                    <w:right w:val="single" w:color="000000" w:sz="4" w:space="0"/>
                  </w:tcBorders>
                  <w:noWrap w:val="0"/>
                  <w:vAlign w:val="center"/>
                </w:tcPr>
                <w:p>
                  <w:pPr>
                    <w:keepNext w:val="0"/>
                    <w:keepLines/>
                    <w:pageBreakBefore w:val="0"/>
                    <w:widowControl/>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新乡县卫生学校</w:t>
                  </w:r>
                </w:p>
              </w:tc>
              <w:tc>
                <w:tcPr>
                  <w:tcW w:w="591" w:type="pct"/>
                  <w:tcBorders>
                    <w:left w:val="single" w:color="000000" w:sz="4" w:space="0"/>
                    <w:right w:val="single" w:color="000000" w:sz="4" w:space="0"/>
                  </w:tcBorders>
                  <w:noWrap w:val="0"/>
                  <w:vAlign w:val="center"/>
                </w:tcPr>
                <w:p>
                  <w:pPr>
                    <w:keepNext w:val="0"/>
                    <w:keepLines/>
                    <w:pageBreakBefore w:val="0"/>
                    <w:widowControl/>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E</w:t>
                  </w:r>
                </w:p>
              </w:tc>
              <w:tc>
                <w:tcPr>
                  <w:tcW w:w="670" w:type="pct"/>
                  <w:tcBorders>
                    <w:left w:val="single" w:color="000000" w:sz="4" w:space="0"/>
                  </w:tcBorders>
                  <w:noWrap w:val="0"/>
                  <w:vAlign w:val="center"/>
                </w:tcPr>
                <w:p>
                  <w:pPr>
                    <w:keepNext w:val="0"/>
                    <w:keepLines/>
                    <w:pageBreakBefore w:val="0"/>
                    <w:widowControl/>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225</w:t>
                  </w:r>
                </w:p>
              </w:tc>
              <w:tc>
                <w:tcPr>
                  <w:tcW w:w="1486" w:type="pct"/>
                  <w:vMerge w:val="continue"/>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lang w:val="en-US"/>
                      <w14:textFill>
                        <w14:solidFill>
                          <w14:schemeClr w14:val="tx1"/>
                        </w14:solidFill>
                      </w14:textFill>
                    </w:rPr>
                  </w:pPr>
                </w:p>
              </w:tc>
            </w:tr>
            <w:tr>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PrEx>
              <w:trPr>
                <w:trHeight w:val="445" w:hRule="atLeast"/>
                <w:jc w:val="center"/>
              </w:trPr>
              <w:tc>
                <w:tcPr>
                  <w:tcW w:w="753" w:type="pct"/>
                  <w:vMerge w:val="continue"/>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1498" w:type="pct"/>
                  <w:gridSpan w:val="2"/>
                  <w:tcBorders>
                    <w:right w:val="single" w:color="000000" w:sz="4" w:space="0"/>
                  </w:tcBorders>
                  <w:noWrap w:val="0"/>
                  <w:vAlign w:val="center"/>
                </w:tcPr>
                <w:p>
                  <w:pPr>
                    <w:keepNext w:val="0"/>
                    <w:keepLines/>
                    <w:pageBreakBefore w:val="0"/>
                    <w:widowControl/>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新乡县公安局司鉴定中心</w:t>
                  </w:r>
                </w:p>
              </w:tc>
              <w:tc>
                <w:tcPr>
                  <w:tcW w:w="591" w:type="pct"/>
                  <w:tcBorders>
                    <w:left w:val="single" w:color="000000" w:sz="4" w:space="0"/>
                    <w:right w:val="single" w:color="000000" w:sz="4" w:space="0"/>
                  </w:tcBorders>
                  <w:noWrap w:val="0"/>
                  <w:vAlign w:val="center"/>
                </w:tcPr>
                <w:p>
                  <w:pPr>
                    <w:keepNext w:val="0"/>
                    <w:keepLines/>
                    <w:pageBreakBefore w:val="0"/>
                    <w:widowControl/>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E</w:t>
                  </w:r>
                </w:p>
              </w:tc>
              <w:tc>
                <w:tcPr>
                  <w:tcW w:w="670" w:type="pct"/>
                  <w:tcBorders>
                    <w:left w:val="single" w:color="000000" w:sz="4" w:space="0"/>
                  </w:tcBorders>
                  <w:noWrap w:val="0"/>
                  <w:vAlign w:val="center"/>
                </w:tcPr>
                <w:p>
                  <w:pPr>
                    <w:keepNext w:val="0"/>
                    <w:keepLines/>
                    <w:pageBreakBefore w:val="0"/>
                    <w:widowControl/>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330</w:t>
                  </w:r>
                </w:p>
              </w:tc>
              <w:tc>
                <w:tcPr>
                  <w:tcW w:w="1486" w:type="pct"/>
                  <w:vMerge w:val="continue"/>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lang w:val="en-US"/>
                      <w14:textFill>
                        <w14:solidFill>
                          <w14:schemeClr w14:val="tx1"/>
                        </w14:solidFill>
                      </w14:textFill>
                    </w:rPr>
                  </w:pPr>
                </w:p>
              </w:tc>
            </w:tr>
            <w:tr>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PrEx>
              <w:trPr>
                <w:trHeight w:val="445" w:hRule="atLeast"/>
                <w:jc w:val="center"/>
              </w:trPr>
              <w:tc>
                <w:tcPr>
                  <w:tcW w:w="753" w:type="pct"/>
                  <w:vMerge w:val="continue"/>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1498" w:type="pct"/>
                  <w:gridSpan w:val="2"/>
                  <w:tcBorders>
                    <w:right w:val="single" w:color="000000" w:sz="4" w:space="0"/>
                  </w:tcBorders>
                  <w:noWrap w:val="0"/>
                  <w:vAlign w:val="center"/>
                </w:tcPr>
                <w:p>
                  <w:pPr>
                    <w:keepNext w:val="0"/>
                    <w:keepLines/>
                    <w:pageBreakBefore w:val="0"/>
                    <w:widowControl/>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新乡县人民医院</w:t>
                  </w:r>
                </w:p>
              </w:tc>
              <w:tc>
                <w:tcPr>
                  <w:tcW w:w="591" w:type="pct"/>
                  <w:tcBorders>
                    <w:left w:val="single" w:color="000000" w:sz="4" w:space="0"/>
                    <w:right w:val="single" w:color="000000" w:sz="4" w:space="0"/>
                  </w:tcBorders>
                  <w:noWrap w:val="0"/>
                  <w:vAlign w:val="center"/>
                </w:tcPr>
                <w:p>
                  <w:pPr>
                    <w:keepNext w:val="0"/>
                    <w:keepLines/>
                    <w:pageBreakBefore w:val="0"/>
                    <w:widowControl/>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E</w:t>
                  </w:r>
                </w:p>
              </w:tc>
              <w:tc>
                <w:tcPr>
                  <w:tcW w:w="670" w:type="pct"/>
                  <w:tcBorders>
                    <w:left w:val="single" w:color="000000" w:sz="4" w:space="0"/>
                  </w:tcBorders>
                  <w:noWrap w:val="0"/>
                  <w:vAlign w:val="center"/>
                </w:tcPr>
                <w:p>
                  <w:pPr>
                    <w:keepNext w:val="0"/>
                    <w:keepLines/>
                    <w:pageBreakBefore w:val="0"/>
                    <w:widowControl/>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440</w:t>
                  </w:r>
                </w:p>
              </w:tc>
              <w:tc>
                <w:tcPr>
                  <w:tcW w:w="1486" w:type="pct"/>
                  <w:vMerge w:val="continue"/>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lang w:val="en-US"/>
                      <w14:textFill>
                        <w14:solidFill>
                          <w14:schemeClr w14:val="tx1"/>
                        </w14:solidFill>
                      </w14:textFill>
                    </w:rPr>
                  </w:pPr>
                </w:p>
              </w:tc>
            </w:tr>
            <w:tr>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PrEx>
              <w:trPr>
                <w:trHeight w:val="445" w:hRule="atLeast"/>
                <w:jc w:val="center"/>
              </w:trPr>
              <w:tc>
                <w:tcPr>
                  <w:tcW w:w="753" w:type="pct"/>
                  <w:vMerge w:val="continue"/>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1498" w:type="pct"/>
                  <w:gridSpan w:val="2"/>
                  <w:tcBorders>
                    <w:right w:val="single" w:color="000000" w:sz="4" w:space="0"/>
                  </w:tcBorders>
                  <w:noWrap w:val="0"/>
                  <w:vAlign w:val="center"/>
                </w:tcPr>
                <w:p>
                  <w:pPr>
                    <w:keepNext w:val="0"/>
                    <w:keepLines/>
                    <w:pageBreakBefore w:val="0"/>
                    <w:widowControl/>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金典花园</w:t>
                  </w:r>
                </w:p>
              </w:tc>
              <w:tc>
                <w:tcPr>
                  <w:tcW w:w="591" w:type="pct"/>
                  <w:tcBorders>
                    <w:left w:val="single" w:color="000000" w:sz="4" w:space="0"/>
                    <w:right w:val="single" w:color="000000" w:sz="4" w:space="0"/>
                  </w:tcBorders>
                  <w:noWrap w:val="0"/>
                  <w:vAlign w:val="center"/>
                </w:tcPr>
                <w:p>
                  <w:pPr>
                    <w:keepNext w:val="0"/>
                    <w:keepLines/>
                    <w:pageBreakBefore w:val="0"/>
                    <w:widowControl/>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SE</w:t>
                  </w:r>
                </w:p>
              </w:tc>
              <w:tc>
                <w:tcPr>
                  <w:tcW w:w="670" w:type="pct"/>
                  <w:tcBorders>
                    <w:left w:val="single" w:color="000000" w:sz="4" w:space="0"/>
                  </w:tcBorders>
                  <w:noWrap w:val="0"/>
                  <w:vAlign w:val="center"/>
                </w:tcPr>
                <w:p>
                  <w:pPr>
                    <w:keepNext w:val="0"/>
                    <w:keepLines/>
                    <w:pageBreakBefore w:val="0"/>
                    <w:widowControl/>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340</w:t>
                  </w:r>
                </w:p>
              </w:tc>
              <w:tc>
                <w:tcPr>
                  <w:tcW w:w="1486" w:type="pct"/>
                  <w:vMerge w:val="continue"/>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lang w:val="en-US"/>
                      <w14:textFill>
                        <w14:solidFill>
                          <w14:schemeClr w14:val="tx1"/>
                        </w14:solidFill>
                      </w14:textFill>
                    </w:rPr>
                  </w:pPr>
                </w:p>
              </w:tc>
            </w:tr>
            <w:tr>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PrEx>
              <w:trPr>
                <w:trHeight w:val="454" w:hRule="atLeast"/>
                <w:jc w:val="center"/>
              </w:trPr>
              <w:tc>
                <w:tcPr>
                  <w:tcW w:w="753" w:type="pct"/>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声环境</w:t>
                  </w:r>
                </w:p>
              </w:tc>
              <w:tc>
                <w:tcPr>
                  <w:tcW w:w="2389" w:type="dxa"/>
                  <w:noWrap w:val="0"/>
                  <w:vAlign w:val="center"/>
                </w:tcPr>
                <w:p>
                  <w:pPr>
                    <w:keepNext w:val="0"/>
                    <w:keepLines/>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西街村</w:t>
                  </w:r>
                </w:p>
              </w:tc>
              <w:tc>
                <w:tcPr>
                  <w:tcW w:w="944" w:type="dxa"/>
                  <w:gridSpan w:val="2"/>
                  <w:noWrap w:val="0"/>
                  <w:vAlign w:val="center"/>
                </w:tcPr>
                <w:p>
                  <w:pPr>
                    <w:keepNext w:val="0"/>
                    <w:keepLines/>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S</w:t>
                  </w:r>
                </w:p>
              </w:tc>
              <w:tc>
                <w:tcPr>
                  <w:tcW w:w="1070" w:type="dxa"/>
                  <w:noWrap w:val="0"/>
                  <w:vAlign w:val="center"/>
                </w:tcPr>
                <w:p>
                  <w:pPr>
                    <w:keepNext w:val="0"/>
                    <w:keepLines/>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50</w:t>
                  </w:r>
                </w:p>
              </w:tc>
              <w:tc>
                <w:tcPr>
                  <w:tcW w:w="1486" w:type="pct"/>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《声环境质量标准》（GB3096-2008）</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w:t>
                  </w:r>
                  <w:r>
                    <w:rPr>
                      <w:rFonts w:hint="default" w:ascii="Times New Roman" w:hAnsi="Times New Roman" w:cs="Times New Roman"/>
                      <w:color w:val="000000" w:themeColor="text1"/>
                      <w:sz w:val="18"/>
                      <w:szCs w:val="18"/>
                      <w:highlight w:val="none"/>
                      <w14:textFill>
                        <w14:solidFill>
                          <w14:schemeClr w14:val="tx1"/>
                        </w14:solidFill>
                      </w14:textFill>
                    </w:rPr>
                    <w:t>类标准</w:t>
                  </w:r>
                </w:p>
              </w:tc>
            </w:tr>
            <w:tr>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PrEx>
              <w:trPr>
                <w:trHeight w:val="454" w:hRule="atLeast"/>
                <w:jc w:val="center"/>
              </w:trPr>
              <w:tc>
                <w:tcPr>
                  <w:tcW w:w="753" w:type="pct"/>
                  <w:vMerge w:val="restart"/>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地表水</w:t>
                  </w:r>
                  <w:r>
                    <w:rPr>
                      <w:rFonts w:hint="default" w:ascii="Times New Roman" w:hAnsi="Times New Roman" w:cs="Times New Roman"/>
                      <w:color w:val="000000" w:themeColor="text1"/>
                      <w:sz w:val="18"/>
                      <w:szCs w:val="18"/>
                      <w:highlight w:val="none"/>
                      <w:lang w:eastAsia="zh-CN"/>
                      <w14:textFill>
                        <w14:solidFill>
                          <w14:schemeClr w14:val="tx1"/>
                        </w14:solidFill>
                      </w14:textFill>
                    </w:rPr>
                    <w:t>环境</w:t>
                  </w:r>
                </w:p>
              </w:tc>
              <w:tc>
                <w:tcPr>
                  <w:tcW w:w="1498"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东孟姜女河</w:t>
                  </w:r>
                </w:p>
              </w:tc>
              <w:tc>
                <w:tcPr>
                  <w:tcW w:w="591"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SE</w:t>
                  </w:r>
                </w:p>
              </w:tc>
              <w:tc>
                <w:tcPr>
                  <w:tcW w:w="670"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7150</w:t>
                  </w:r>
                </w:p>
              </w:tc>
              <w:tc>
                <w:tcPr>
                  <w:tcW w:w="1486" w:type="pct"/>
                  <w:vMerge w:val="restart"/>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《地表水环境质量准》</w:t>
                  </w:r>
                </w:p>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（GB3838-2002）</w:t>
                  </w:r>
                  <w:r>
                    <w:rPr>
                      <w:rFonts w:hint="default" w:ascii="Times New Roman" w:hAnsi="Times New Roman" w:cs="Times New Roman"/>
                      <w:color w:val="000000" w:themeColor="text1"/>
                      <w:sz w:val="18"/>
                      <w:szCs w:val="18"/>
                      <w:highlight w:val="none"/>
                      <w14:textFill>
                        <w14:solidFill>
                          <w14:schemeClr w14:val="tx1"/>
                        </w14:solidFill>
                      </w14:textFill>
                    </w:rPr>
                    <w:fldChar w:fldCharType="begin"/>
                  </w:r>
                  <w:r>
                    <w:rPr>
                      <w:rFonts w:hint="default" w:ascii="Times New Roman" w:hAnsi="Times New Roman" w:cs="Times New Roman"/>
                      <w:color w:val="000000" w:themeColor="text1"/>
                      <w:sz w:val="18"/>
                      <w:szCs w:val="18"/>
                      <w:highlight w:val="none"/>
                      <w14:textFill>
                        <w14:solidFill>
                          <w14:schemeClr w14:val="tx1"/>
                        </w14:solidFill>
                      </w14:textFill>
                    </w:rPr>
                    <w:instrText xml:space="preserve"> = 4 \* ROMAN \* MERGEFORMAT </w:instrText>
                  </w:r>
                  <w:r>
                    <w:rPr>
                      <w:rFonts w:hint="default" w:ascii="Times New Roman" w:hAnsi="Times New Roman" w:cs="Times New Roman"/>
                      <w:color w:val="000000" w:themeColor="text1"/>
                      <w:sz w:val="18"/>
                      <w:szCs w:val="18"/>
                      <w:highlight w:val="none"/>
                      <w14:textFill>
                        <w14:solidFill>
                          <w14:schemeClr w14:val="tx1"/>
                        </w14:solidFill>
                      </w14:textFill>
                    </w:rPr>
                    <w:fldChar w:fldCharType="separate"/>
                  </w:r>
                  <w:r>
                    <w:rPr>
                      <w:rFonts w:hint="default" w:ascii="Times New Roman" w:hAnsi="Times New Roman" w:cs="Times New Roman"/>
                      <w:color w:val="000000" w:themeColor="text1"/>
                      <w:sz w:val="18"/>
                      <w:szCs w:val="18"/>
                      <w:highlight w:val="none"/>
                      <w14:textFill>
                        <w14:solidFill>
                          <w14:schemeClr w14:val="tx1"/>
                        </w14:solidFill>
                      </w14:textFill>
                    </w:rPr>
                    <w:t>IV</w:t>
                  </w:r>
                  <w:r>
                    <w:rPr>
                      <w:rFonts w:hint="default" w:ascii="Times New Roman" w:hAnsi="Times New Roman" w:cs="Times New Roman"/>
                      <w:color w:val="000000" w:themeColor="text1"/>
                      <w:sz w:val="18"/>
                      <w:szCs w:val="18"/>
                      <w:highlight w:val="none"/>
                      <w14:textFill>
                        <w14:solidFill>
                          <w14:schemeClr w14:val="tx1"/>
                        </w14:solidFill>
                      </w14:textFill>
                    </w:rPr>
                    <w:fldChar w:fldCharType="end"/>
                  </w:r>
                  <w:r>
                    <w:rPr>
                      <w:rFonts w:hint="default" w:ascii="Times New Roman" w:hAnsi="Times New Roman" w:cs="Times New Roman"/>
                      <w:color w:val="000000" w:themeColor="text1"/>
                      <w:sz w:val="18"/>
                      <w:szCs w:val="18"/>
                      <w:highlight w:val="none"/>
                      <w14:textFill>
                        <w14:solidFill>
                          <w14:schemeClr w14:val="tx1"/>
                        </w14:solidFill>
                      </w14:textFill>
                    </w:rPr>
                    <w:t>类</w:t>
                  </w:r>
                </w:p>
              </w:tc>
            </w:tr>
            <w:tr>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PrEx>
              <w:trPr>
                <w:trHeight w:val="454" w:hRule="atLeast"/>
                <w:jc w:val="center"/>
              </w:trPr>
              <w:tc>
                <w:tcPr>
                  <w:tcW w:w="753" w:type="pct"/>
                  <w:vMerge w:val="continue"/>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1498"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西孟姜女河</w:t>
                  </w:r>
                </w:p>
              </w:tc>
              <w:tc>
                <w:tcPr>
                  <w:tcW w:w="591"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NW</w:t>
                  </w:r>
                </w:p>
              </w:tc>
              <w:tc>
                <w:tcPr>
                  <w:tcW w:w="670"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2060</w:t>
                  </w:r>
                </w:p>
              </w:tc>
              <w:tc>
                <w:tcPr>
                  <w:tcW w:w="1486" w:type="pct"/>
                  <w:vMerge w:val="continue"/>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r>
            <w:tr>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PrEx>
              <w:trPr>
                <w:trHeight w:val="454" w:hRule="atLeast"/>
                <w:jc w:val="center"/>
              </w:trPr>
              <w:tc>
                <w:tcPr>
                  <w:tcW w:w="753" w:type="pct"/>
                  <w:vMerge w:val="continue"/>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1498"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人民胜利渠</w:t>
                  </w:r>
                </w:p>
              </w:tc>
              <w:tc>
                <w:tcPr>
                  <w:tcW w:w="591"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SE</w:t>
                  </w:r>
                </w:p>
              </w:tc>
              <w:tc>
                <w:tcPr>
                  <w:tcW w:w="670"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firstLine="0" w:firstLineChars="0"/>
                    <w:jc w:val="center"/>
                    <w:textAlignment w:val="auto"/>
                    <w:outlineLvl w:val="9"/>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2580</w:t>
                  </w:r>
                </w:p>
              </w:tc>
              <w:tc>
                <w:tcPr>
                  <w:tcW w:w="1486" w:type="pct"/>
                  <w:noWrap w:val="0"/>
                  <w:vAlign w:val="center"/>
                </w:tcPr>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《地表水环境质量准》</w:t>
                  </w:r>
                </w:p>
                <w:p>
                  <w:pPr>
                    <w:pStyle w:val="35"/>
                    <w:keepNext w:val="0"/>
                    <w:pageBreakBefore w:val="0"/>
                    <w:kinsoku/>
                    <w:wordWrap/>
                    <w:overflowPunct/>
                    <w:topLinePunct w:val="0"/>
                    <w:autoSpaceDE/>
                    <w:autoSpaceDN/>
                    <w:bidi w:val="0"/>
                    <w:adjustRightInd/>
                    <w:snapToGrid/>
                    <w:spacing w:line="320" w:lineRule="exact"/>
                    <w:ind w:left="0" w:right="0"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（GB3838-2002）</w:t>
                  </w:r>
                  <w:r>
                    <w:rPr>
                      <w:rFonts w:hint="default" w:ascii="Times New Roman" w:hAnsi="Times New Roman" w:cs="Times New Roman"/>
                      <w:color w:val="000000" w:themeColor="text1"/>
                      <w:sz w:val="18"/>
                      <w:szCs w:val="18"/>
                      <w:highlight w:val="none"/>
                      <w14:textFill>
                        <w14:solidFill>
                          <w14:schemeClr w14:val="tx1"/>
                        </w14:solidFill>
                      </w14:textFill>
                    </w:rPr>
                    <w:fldChar w:fldCharType="begin"/>
                  </w:r>
                  <w:r>
                    <w:rPr>
                      <w:rFonts w:hint="default" w:ascii="Times New Roman" w:hAnsi="Times New Roman" w:cs="Times New Roman"/>
                      <w:color w:val="000000" w:themeColor="text1"/>
                      <w:sz w:val="18"/>
                      <w:szCs w:val="18"/>
                      <w:highlight w:val="none"/>
                      <w14:textFill>
                        <w14:solidFill>
                          <w14:schemeClr w14:val="tx1"/>
                        </w14:solidFill>
                      </w14:textFill>
                    </w:rPr>
                    <w:instrText xml:space="preserve"> = 4 \* ROMAN \* MERGEFORMAT </w:instrText>
                  </w:r>
                  <w:r>
                    <w:rPr>
                      <w:rFonts w:hint="default" w:ascii="Times New Roman" w:hAnsi="Times New Roman" w:cs="Times New Roman"/>
                      <w:color w:val="000000" w:themeColor="text1"/>
                      <w:sz w:val="18"/>
                      <w:szCs w:val="18"/>
                      <w:highlight w:val="none"/>
                      <w14:textFill>
                        <w14:solidFill>
                          <w14:schemeClr w14:val="tx1"/>
                        </w14:solidFill>
                      </w14:textFill>
                    </w:rPr>
                    <w:fldChar w:fldCharType="separate"/>
                  </w:r>
                  <w:r>
                    <w:rPr>
                      <w:rFonts w:hint="default" w:ascii="Times New Roman" w:hAnsi="Times New Roman" w:cs="Times New Roman"/>
                      <w:color w:val="000000" w:themeColor="text1"/>
                      <w:sz w:val="18"/>
                      <w:szCs w:val="18"/>
                      <w:highlight w:val="none"/>
                      <w14:textFill>
                        <w14:solidFill>
                          <w14:schemeClr w14:val="tx1"/>
                        </w14:solidFill>
                      </w14:textFill>
                    </w:rPr>
                    <w:t>IV</w:t>
                  </w:r>
                  <w:r>
                    <w:rPr>
                      <w:rFonts w:hint="default" w:ascii="Times New Roman" w:hAnsi="Times New Roman" w:cs="Times New Roman"/>
                      <w:color w:val="000000" w:themeColor="text1"/>
                      <w:sz w:val="18"/>
                      <w:szCs w:val="18"/>
                      <w:highlight w:val="none"/>
                      <w14:textFill>
                        <w14:solidFill>
                          <w14:schemeClr w14:val="tx1"/>
                        </w14:solidFill>
                      </w14:textFill>
                    </w:rPr>
                    <w:fldChar w:fldCharType="end"/>
                  </w:r>
                  <w:r>
                    <w:rPr>
                      <w:rFonts w:hint="default" w:ascii="Times New Roman" w:hAnsi="Times New Roman" w:cs="Times New Roman"/>
                      <w:color w:val="000000" w:themeColor="text1"/>
                      <w:sz w:val="18"/>
                      <w:szCs w:val="18"/>
                      <w:highlight w:val="none"/>
                      <w14:textFill>
                        <w14:solidFill>
                          <w14:schemeClr w14:val="tx1"/>
                        </w14:solidFill>
                      </w14:textFill>
                    </w:rPr>
                    <w:t>类</w:t>
                  </w:r>
                </w:p>
              </w:tc>
            </w:tr>
          </w:tbl>
          <w:p>
            <w:pPr>
              <w:autoSpaceDE w:val="0"/>
              <w:autoSpaceDN w:val="0"/>
              <w:adjustRightInd w:val="0"/>
              <w:snapToGrid w:val="0"/>
              <w:spacing w:line="400" w:lineRule="exact"/>
              <w:rPr>
                <w:rFonts w:hint="default" w:ascii="Times New Roman" w:hAnsi="Times New Roman" w:eastAsia="宋体" w:cs="Times New Roman"/>
                <w:color w:val="000000" w:themeColor="text1"/>
                <w:kern w:val="0"/>
                <w:szCs w:val="21"/>
                <w:highlight w:val="cyan"/>
                <w:lang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0" w:type="dxa"/>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污染</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物排</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放控</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制标</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准</w:t>
            </w:r>
          </w:p>
        </w:tc>
        <w:tc>
          <w:tcPr>
            <w:tcW w:w="8190" w:type="dxa"/>
            <w:noWrap w:val="0"/>
            <w:vAlign w:val="center"/>
          </w:tcPr>
          <w:tbl>
            <w:tblPr>
              <w:tblStyle w:val="21"/>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95"/>
              <w:gridCol w:w="2797"/>
              <w:gridCol w:w="1027"/>
              <w:gridCol w:w="788"/>
              <w:gridCol w:w="296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02"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黑体" w:cs="Times New Roman"/>
                      <w:b w:val="0"/>
                      <w:bCs w:val="0"/>
                      <w:color w:val="000000" w:themeColor="text1"/>
                      <w:sz w:val="18"/>
                      <w:szCs w:val="18"/>
                      <w:highlight w:val="none"/>
                      <w14:textFill>
                        <w14:solidFill>
                          <w14:schemeClr w14:val="tx1"/>
                        </w14:solidFill>
                      </w14:textFill>
                    </w:rPr>
                  </w:pPr>
                  <w:r>
                    <w:rPr>
                      <w:rFonts w:hint="default" w:ascii="Times New Roman" w:hAnsi="Times New Roman" w:eastAsia="黑体" w:cs="Times New Roman"/>
                      <w:b w:val="0"/>
                      <w:bCs w:val="0"/>
                      <w:color w:val="000000" w:themeColor="text1"/>
                      <w:sz w:val="18"/>
                      <w:szCs w:val="18"/>
                      <w:highlight w:val="none"/>
                      <w14:textFill>
                        <w14:solidFill>
                          <w14:schemeClr w14:val="tx1"/>
                        </w14:solidFill>
                      </w14:textFill>
                    </w:rPr>
                    <w:t>执行标准名称及级别</w:t>
                  </w:r>
                </w:p>
              </w:tc>
              <w:tc>
                <w:tcPr>
                  <w:tcW w:w="64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黑体" w:cs="Times New Roman"/>
                      <w:b w:val="0"/>
                      <w:bCs w:val="0"/>
                      <w:color w:val="000000" w:themeColor="text1"/>
                      <w:sz w:val="18"/>
                      <w:szCs w:val="18"/>
                      <w:highlight w:val="none"/>
                      <w14:textFill>
                        <w14:solidFill>
                          <w14:schemeClr w14:val="tx1"/>
                        </w14:solidFill>
                      </w14:textFill>
                    </w:rPr>
                  </w:pPr>
                  <w:r>
                    <w:rPr>
                      <w:rFonts w:hint="default" w:ascii="Times New Roman" w:hAnsi="Times New Roman" w:eastAsia="黑体" w:cs="Times New Roman"/>
                      <w:b w:val="0"/>
                      <w:bCs w:val="0"/>
                      <w:color w:val="000000" w:themeColor="text1"/>
                      <w:sz w:val="18"/>
                      <w:szCs w:val="18"/>
                      <w:highlight w:val="none"/>
                      <w14:textFill>
                        <w14:solidFill>
                          <w14:schemeClr w14:val="tx1"/>
                        </w14:solidFill>
                      </w14:textFill>
                    </w:rPr>
                    <w:t>项目</w:t>
                  </w:r>
                </w:p>
              </w:tc>
              <w:tc>
                <w:tcPr>
                  <w:tcW w:w="2353"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黑体" w:cs="Times New Roman"/>
                      <w:b w:val="0"/>
                      <w:bCs w:val="0"/>
                      <w:color w:val="000000" w:themeColor="text1"/>
                      <w:sz w:val="18"/>
                      <w:szCs w:val="18"/>
                      <w:highlight w:val="none"/>
                      <w14:textFill>
                        <w14:solidFill>
                          <w14:schemeClr w14:val="tx1"/>
                        </w14:solidFill>
                      </w14:textFill>
                    </w:rPr>
                  </w:pPr>
                  <w:r>
                    <w:rPr>
                      <w:rFonts w:hint="default" w:ascii="Times New Roman" w:hAnsi="Times New Roman" w:eastAsia="黑体" w:cs="Times New Roman"/>
                      <w:b w:val="0"/>
                      <w:bCs w:val="0"/>
                      <w:color w:val="000000" w:themeColor="text1"/>
                      <w:sz w:val="18"/>
                      <w:szCs w:val="18"/>
                      <w:highlight w:val="none"/>
                      <w14:textFill>
                        <w14:solidFill>
                          <w14:schemeClr w14:val="tx1"/>
                        </w14:solidFill>
                      </w14:textFill>
                    </w:rPr>
                    <w:t>标准限值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废气</w:t>
                  </w:r>
                </w:p>
              </w:tc>
              <w:tc>
                <w:tcPr>
                  <w:tcW w:w="1754" w:type="pct"/>
                  <w:vMerge w:val="restar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《大气污染物综合排放标准》（</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GB16297-1996</w:t>
                  </w:r>
                  <w:r>
                    <w:rPr>
                      <w:rFonts w:hint="default" w:ascii="Times New Roman" w:hAnsi="Times New Roman" w:cs="Times New Roman"/>
                      <w:color w:val="000000" w:themeColor="text1"/>
                      <w:sz w:val="18"/>
                      <w:szCs w:val="18"/>
                      <w:highlight w:val="none"/>
                      <w:lang w:eastAsia="zh-CN"/>
                      <w14:textFill>
                        <w14:solidFill>
                          <w14:schemeClr w14:val="tx1"/>
                        </w14:solidFill>
                      </w14:textFill>
                    </w:rPr>
                    <w:t>）表</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w:t>
                  </w:r>
                </w:p>
              </w:tc>
              <w:tc>
                <w:tcPr>
                  <w:tcW w:w="644" w:type="pct"/>
                  <w:vMerge w:val="restar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颗粒物</w:t>
                  </w:r>
                </w:p>
              </w:tc>
              <w:tc>
                <w:tcPr>
                  <w:tcW w:w="494"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000000" w:themeColor="text1"/>
                      <w:sz w:val="18"/>
                      <w:szCs w:val="18"/>
                      <w:highlight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t>有组织</w:t>
                  </w:r>
                </w:p>
              </w:tc>
              <w:tc>
                <w:tcPr>
                  <w:tcW w:w="1859"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最高允许排放浓度120mg/m</w:t>
                  </w:r>
                  <w:r>
                    <w:rPr>
                      <w:rFonts w:hint="default" w:ascii="Times New Roman" w:hAnsi="Times New Roman" w:cs="Times New Roman"/>
                      <w:color w:val="000000" w:themeColor="text1"/>
                      <w:sz w:val="18"/>
                      <w:szCs w:val="18"/>
                      <w:highlight w:val="none"/>
                      <w:vertAlign w:val="superscript"/>
                      <w:lang w:val="en-US" w:eastAsia="zh-CN"/>
                      <w14:textFill>
                        <w14:solidFill>
                          <w14:schemeClr w14:val="tx1"/>
                        </w14:solidFill>
                      </w14:textFill>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644" w:type="pct"/>
                  <w:vMerge w:val="continue"/>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494"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pPr>
                </w:p>
              </w:tc>
              <w:tc>
                <w:tcPr>
                  <w:tcW w:w="1859"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15m高排气筒最高允许排放速率3.5kg/h</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644" w:type="pct"/>
                  <w:vMerge w:val="continue"/>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49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t>无组织</w:t>
                  </w:r>
                </w:p>
              </w:tc>
              <w:tc>
                <w:tcPr>
                  <w:tcW w:w="1859"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周界外浓度最高点1.0mg/m</w:t>
                  </w:r>
                  <w:r>
                    <w:rPr>
                      <w:rFonts w:hint="default" w:ascii="Times New Roman" w:hAnsi="Times New Roman" w:cs="Times New Roman"/>
                      <w:color w:val="000000" w:themeColor="text1"/>
                      <w:sz w:val="18"/>
                      <w:szCs w:val="18"/>
                      <w:highlight w:val="none"/>
                      <w:vertAlign w:val="superscript"/>
                      <w:lang w:val="en-US" w:eastAsia="zh-CN"/>
                      <w14:textFill>
                        <w14:solidFill>
                          <w14:schemeClr w14:val="tx1"/>
                        </w14:solidFill>
                      </w14:textFill>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644" w:type="pct"/>
                  <w:vMerge w:val="restar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氟化物</w:t>
                  </w:r>
                </w:p>
              </w:tc>
              <w:tc>
                <w:tcPr>
                  <w:tcW w:w="494"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t>有组织</w:t>
                  </w:r>
                </w:p>
              </w:tc>
              <w:tc>
                <w:tcPr>
                  <w:tcW w:w="1859"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最高允许排放浓度9mg/m</w:t>
                  </w:r>
                  <w:r>
                    <w:rPr>
                      <w:rFonts w:hint="default" w:ascii="Times New Roman" w:hAnsi="Times New Roman" w:cs="Times New Roman"/>
                      <w:color w:val="000000" w:themeColor="text1"/>
                      <w:sz w:val="18"/>
                      <w:szCs w:val="18"/>
                      <w:highlight w:val="none"/>
                      <w:vertAlign w:val="superscript"/>
                      <w:lang w:val="en-US" w:eastAsia="zh-CN"/>
                      <w14:textFill>
                        <w14:solidFill>
                          <w14:schemeClr w14:val="tx1"/>
                        </w14:solidFill>
                      </w14:textFill>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644" w:type="pct"/>
                  <w:vMerge w:val="continue"/>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494"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pPr>
                </w:p>
              </w:tc>
              <w:tc>
                <w:tcPr>
                  <w:tcW w:w="1859"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15m高排气筒最高允许排放速率3.5kg/h</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644" w:type="pct"/>
                  <w:vMerge w:val="continue"/>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49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t>无组织</w:t>
                  </w:r>
                </w:p>
              </w:tc>
              <w:tc>
                <w:tcPr>
                  <w:tcW w:w="1859"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周界外浓度最高点0.02mg/m</w:t>
                  </w:r>
                  <w:r>
                    <w:rPr>
                      <w:rFonts w:hint="default" w:ascii="Times New Roman" w:hAnsi="Times New Roman" w:cs="Times New Roman"/>
                      <w:color w:val="000000" w:themeColor="text1"/>
                      <w:sz w:val="18"/>
                      <w:szCs w:val="18"/>
                      <w:highlight w:val="none"/>
                      <w:vertAlign w:val="superscript"/>
                      <w:lang w:val="en-US" w:eastAsia="zh-CN"/>
                      <w14:textFill>
                        <w14:solidFill>
                          <w14:schemeClr w14:val="tx1"/>
                        </w14:solidFill>
                      </w14:textFill>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644" w:type="pct"/>
                  <w:vMerge w:val="restar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硝酸雾（以</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NOx计</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p>
              </w:tc>
              <w:tc>
                <w:tcPr>
                  <w:tcW w:w="494"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t>有组织</w:t>
                  </w:r>
                </w:p>
              </w:tc>
              <w:tc>
                <w:tcPr>
                  <w:tcW w:w="1859"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最高允许排放浓度240mg/m</w:t>
                  </w:r>
                  <w:r>
                    <w:rPr>
                      <w:rFonts w:hint="default" w:ascii="Times New Roman" w:hAnsi="Times New Roman" w:cs="Times New Roman"/>
                      <w:color w:val="000000" w:themeColor="text1"/>
                      <w:sz w:val="18"/>
                      <w:szCs w:val="18"/>
                      <w:highlight w:val="none"/>
                      <w:vertAlign w:val="superscript"/>
                      <w:lang w:val="en-US" w:eastAsia="zh-CN"/>
                      <w14:textFill>
                        <w14:solidFill>
                          <w14:schemeClr w14:val="tx1"/>
                        </w14:solidFill>
                      </w14:textFill>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644" w:type="pct"/>
                  <w:vMerge w:val="continue"/>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494"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pPr>
                </w:p>
              </w:tc>
              <w:tc>
                <w:tcPr>
                  <w:tcW w:w="1859"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15m高排气筒最高允许排放速率0.1kg/h</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644" w:type="pct"/>
                  <w:vMerge w:val="continue"/>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49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t>无组织</w:t>
                  </w:r>
                </w:p>
              </w:tc>
              <w:tc>
                <w:tcPr>
                  <w:tcW w:w="1859" w:type="pc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周界外浓度最高点0.12mg/m</w:t>
                  </w:r>
                  <w:r>
                    <w:rPr>
                      <w:rFonts w:hint="default" w:ascii="Times New Roman" w:hAnsi="Times New Roman" w:cs="Times New Roman"/>
                      <w:color w:val="000000" w:themeColor="text1"/>
                      <w:sz w:val="18"/>
                      <w:szCs w:val="18"/>
                      <w:highlight w:val="none"/>
                      <w:vertAlign w:val="superscript"/>
                      <w:lang w:val="en-US" w:eastAsia="zh-CN"/>
                      <w14:textFill>
                        <w14:solidFill>
                          <w14:schemeClr w14:val="tx1"/>
                        </w14:solidFill>
                      </w14:textFill>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restart"/>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eastAsia="zh-CN"/>
                      <w14:textFill>
                        <w14:solidFill>
                          <w14:schemeClr w14:val="tx1"/>
                        </w14:solidFill>
                      </w14:textFill>
                    </w:rPr>
                    <w:t>《工业炉窑大气污染物排放标准》（</w:t>
                  </w: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DB41/1066-2020</w:t>
                  </w:r>
                  <w:r>
                    <w:rPr>
                      <w:rFonts w:hint="default" w:ascii="Times New Roman" w:hAnsi="Times New Roman" w:cs="Times New Roman"/>
                      <w:b/>
                      <w:bCs/>
                      <w:color w:val="000000" w:themeColor="text1"/>
                      <w:sz w:val="18"/>
                      <w:szCs w:val="18"/>
                      <w:highlight w:val="none"/>
                      <w:u w:val="single"/>
                      <w:lang w:eastAsia="zh-CN"/>
                      <w14:textFill>
                        <w14:solidFill>
                          <w14:schemeClr w14:val="tx1"/>
                        </w14:solidFill>
                      </w14:textFill>
                    </w:rPr>
                    <w:t>）表</w:t>
                  </w: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1</w:t>
                  </w:r>
                </w:p>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（其他炉窑）和表2</w:t>
                  </w:r>
                </w:p>
              </w:tc>
              <w:tc>
                <w:tcPr>
                  <w:tcW w:w="64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bCs/>
                      <w:color w:val="000000" w:themeColor="text1"/>
                      <w:sz w:val="18"/>
                      <w:szCs w:val="18"/>
                      <w:highlight w:val="none"/>
                      <w:u w:val="single"/>
                      <w:lang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eastAsia="zh-CN"/>
                      <w14:textFill>
                        <w14:solidFill>
                          <w14:schemeClr w14:val="tx1"/>
                        </w14:solidFill>
                      </w14:textFill>
                    </w:rPr>
                    <w:t>颗粒物</w:t>
                  </w:r>
                </w:p>
              </w:tc>
              <w:tc>
                <w:tcPr>
                  <w:tcW w:w="494"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宋体" w:cs="Times New Roman"/>
                      <w:b/>
                      <w:bCs/>
                      <w:color w:val="000000" w:themeColor="text1"/>
                      <w:sz w:val="18"/>
                      <w:szCs w:val="18"/>
                      <w:highlight w:val="none"/>
                      <w:u w:val="single"/>
                      <w:lang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eastAsia="zh-CN"/>
                      <w14:textFill>
                        <w14:solidFill>
                          <w14:schemeClr w14:val="tx1"/>
                        </w14:solidFill>
                      </w14:textFill>
                    </w:rPr>
                    <w:t>有组织</w:t>
                  </w:r>
                </w:p>
              </w:tc>
              <w:tc>
                <w:tcPr>
                  <w:tcW w:w="1859" w:type="pct"/>
                  <w:tcBorders>
                    <w:tl2br w:val="nil"/>
                    <w:tr2bl w:val="nil"/>
                  </w:tcBorders>
                  <w:noWrap w:val="0"/>
                  <w:vAlign w:val="center"/>
                </w:tcPr>
                <w:p>
                  <w:pPr>
                    <w:pStyle w:val="20"/>
                    <w:keepNext w:val="0"/>
                    <w:keepLines w:val="0"/>
                    <w:pageBreakBefore w:val="0"/>
                    <w:widowControl w:val="0"/>
                    <w:kinsoku/>
                    <w:wordWrap/>
                    <w:overflowPunct/>
                    <w:topLinePunct w:val="0"/>
                    <w:autoSpaceDE/>
                    <w:autoSpaceDN/>
                    <w:bidi w:val="0"/>
                    <w:adjustRightInd/>
                    <w:snapToGrid/>
                    <w:spacing w:after="0" w:line="320" w:lineRule="exact"/>
                    <w:ind w:left="0" w:leftChars="0" w:right="0" w:rightChars="0" w:firstLine="0" w:firstLineChars="0"/>
                    <w:jc w:val="center"/>
                    <w:textAlignment w:val="auto"/>
                    <w:rPr>
                      <w:rFonts w:hint="default" w:ascii="Times New Roman" w:hAnsi="Times New Roman" w:eastAsia="宋体" w:cs="Times New Roman"/>
                      <w:b/>
                      <w:bCs/>
                      <w:color w:val="000000" w:themeColor="text1"/>
                      <w:sz w:val="18"/>
                      <w:szCs w:val="18"/>
                      <w:highlight w:val="none"/>
                      <w:u w:val="singl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30mg/m</w:t>
                  </w:r>
                  <w:r>
                    <w:rPr>
                      <w:rFonts w:hint="default" w:ascii="Times New Roman" w:hAnsi="Times New Roman" w:cs="Times New Roman"/>
                      <w:b/>
                      <w:bCs/>
                      <w:color w:val="000000" w:themeColor="text1"/>
                      <w:sz w:val="18"/>
                      <w:szCs w:val="18"/>
                      <w:highlight w:val="none"/>
                      <w:u w:val="singl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sz w:val="18"/>
                      <w:szCs w:val="18"/>
                      <w:highlight w:val="none"/>
                      <w:u w:val="single"/>
                      <w:vertAlign w:val="baseline"/>
                      <w:lang w:val="en-US" w:eastAsia="zh-CN"/>
                      <w14:textFill>
                        <w14:solidFill>
                          <w14:schemeClr w14:val="tx1"/>
                        </w14:solidFill>
                      </w14:textFill>
                    </w:rPr>
                    <w:t>（基准含氧量9%）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bCs/>
                      <w:color w:val="000000" w:themeColor="text1"/>
                      <w:sz w:val="18"/>
                      <w:szCs w:val="18"/>
                      <w:highlight w:val="none"/>
                      <w:u w:val="single"/>
                      <w14:textFill>
                        <w14:solidFill>
                          <w14:schemeClr w14:val="tx1"/>
                        </w14:solidFill>
                      </w14:textFill>
                    </w:rPr>
                  </w:pPr>
                </w:p>
              </w:tc>
              <w:tc>
                <w:tcPr>
                  <w:tcW w:w="64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SO</w:t>
                  </w:r>
                  <w:r>
                    <w:rPr>
                      <w:rFonts w:hint="default" w:ascii="Times New Roman" w:hAnsi="Times New Roman" w:cs="Times New Roman"/>
                      <w:b/>
                      <w:bCs/>
                      <w:color w:val="000000" w:themeColor="text1"/>
                      <w:sz w:val="18"/>
                      <w:szCs w:val="18"/>
                      <w:highlight w:val="none"/>
                      <w:u w:val="single"/>
                      <w:vertAlign w:val="subscript"/>
                      <w:lang w:val="en-US" w:eastAsia="zh-CN"/>
                      <w14:textFill>
                        <w14:solidFill>
                          <w14:schemeClr w14:val="tx1"/>
                        </w14:solidFill>
                      </w14:textFill>
                    </w:rPr>
                    <w:t>2</w:t>
                  </w:r>
                </w:p>
              </w:tc>
              <w:tc>
                <w:tcPr>
                  <w:tcW w:w="494"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宋体" w:cs="Times New Roman"/>
                      <w:b/>
                      <w:bCs/>
                      <w:color w:val="000000" w:themeColor="text1"/>
                      <w:sz w:val="18"/>
                      <w:szCs w:val="18"/>
                      <w:highlight w:val="none"/>
                      <w:u w:val="single"/>
                      <w:lang w:eastAsia="zh-CN"/>
                      <w14:textFill>
                        <w14:solidFill>
                          <w14:schemeClr w14:val="tx1"/>
                        </w14:solidFill>
                      </w14:textFill>
                    </w:rPr>
                  </w:pPr>
                </w:p>
              </w:tc>
              <w:tc>
                <w:tcPr>
                  <w:tcW w:w="1859" w:type="pct"/>
                  <w:tcBorders>
                    <w:tl2br w:val="nil"/>
                    <w:tr2bl w:val="nil"/>
                  </w:tcBorders>
                  <w:noWrap w:val="0"/>
                  <w:vAlign w:val="center"/>
                </w:tcPr>
                <w:p>
                  <w:pPr>
                    <w:pStyle w:val="20"/>
                    <w:keepNext w:val="0"/>
                    <w:keepLines w:val="0"/>
                    <w:pageBreakBefore w:val="0"/>
                    <w:widowControl w:val="0"/>
                    <w:kinsoku/>
                    <w:wordWrap/>
                    <w:overflowPunct/>
                    <w:topLinePunct w:val="0"/>
                    <w:autoSpaceDE/>
                    <w:autoSpaceDN/>
                    <w:bidi w:val="0"/>
                    <w:adjustRightInd/>
                    <w:snapToGrid/>
                    <w:spacing w:after="0" w:line="320" w:lineRule="exact"/>
                    <w:ind w:left="0" w:leftChars="0" w:right="0" w:rightChars="0" w:firstLine="0" w:firstLineChars="0"/>
                    <w:jc w:val="center"/>
                    <w:textAlignment w:val="auto"/>
                    <w:rPr>
                      <w:rFonts w:hint="default" w:ascii="Times New Roman" w:hAnsi="Times New Roman" w:eastAsia="宋体"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200mg/m</w:t>
                  </w:r>
                  <w:r>
                    <w:rPr>
                      <w:rFonts w:hint="default" w:ascii="Times New Roman" w:hAnsi="Times New Roman" w:cs="Times New Roman"/>
                      <w:b/>
                      <w:bCs/>
                      <w:color w:val="000000" w:themeColor="text1"/>
                      <w:sz w:val="18"/>
                      <w:szCs w:val="18"/>
                      <w:highlight w:val="none"/>
                      <w:u w:val="singl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sz w:val="18"/>
                      <w:szCs w:val="18"/>
                      <w:highlight w:val="none"/>
                      <w:u w:val="single"/>
                      <w:vertAlign w:val="baseline"/>
                      <w:lang w:val="en-US" w:eastAsia="zh-CN"/>
                      <w14:textFill>
                        <w14:solidFill>
                          <w14:schemeClr w14:val="tx1"/>
                        </w14:solidFill>
                      </w14:textFill>
                    </w:rPr>
                    <w:t>（基准含氧量9%）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bCs/>
                      <w:color w:val="000000" w:themeColor="text1"/>
                      <w:sz w:val="18"/>
                      <w:szCs w:val="18"/>
                      <w:highlight w:val="none"/>
                      <w:u w:val="single"/>
                      <w14:textFill>
                        <w14:solidFill>
                          <w14:schemeClr w14:val="tx1"/>
                        </w14:solidFill>
                      </w14:textFill>
                    </w:rPr>
                  </w:pPr>
                </w:p>
              </w:tc>
              <w:tc>
                <w:tcPr>
                  <w:tcW w:w="64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NO</w:t>
                  </w:r>
                  <w:r>
                    <w:rPr>
                      <w:rFonts w:hint="default" w:ascii="Times New Roman" w:hAnsi="Times New Roman" w:cs="Times New Roman"/>
                      <w:b/>
                      <w:bCs/>
                      <w:color w:val="000000" w:themeColor="text1"/>
                      <w:sz w:val="18"/>
                      <w:szCs w:val="18"/>
                      <w:highlight w:val="none"/>
                      <w:u w:val="single"/>
                      <w:vertAlign w:val="subscript"/>
                      <w:lang w:val="en-US" w:eastAsia="zh-CN"/>
                      <w14:textFill>
                        <w14:solidFill>
                          <w14:schemeClr w14:val="tx1"/>
                        </w14:solidFill>
                      </w14:textFill>
                    </w:rPr>
                    <w:t>x</w:t>
                  </w:r>
                </w:p>
              </w:tc>
              <w:tc>
                <w:tcPr>
                  <w:tcW w:w="494"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宋体" w:cs="Times New Roman"/>
                      <w:b/>
                      <w:bCs/>
                      <w:color w:val="000000" w:themeColor="text1"/>
                      <w:sz w:val="18"/>
                      <w:szCs w:val="18"/>
                      <w:highlight w:val="none"/>
                      <w:u w:val="single"/>
                      <w:lang w:eastAsia="zh-CN"/>
                      <w14:textFill>
                        <w14:solidFill>
                          <w14:schemeClr w14:val="tx1"/>
                        </w14:solidFill>
                      </w14:textFill>
                    </w:rPr>
                  </w:pPr>
                </w:p>
              </w:tc>
              <w:tc>
                <w:tcPr>
                  <w:tcW w:w="1859" w:type="pct"/>
                  <w:tcBorders>
                    <w:tl2br w:val="nil"/>
                    <w:tr2bl w:val="nil"/>
                  </w:tcBorders>
                  <w:noWrap w:val="0"/>
                  <w:vAlign w:val="center"/>
                </w:tcPr>
                <w:p>
                  <w:pPr>
                    <w:pStyle w:val="20"/>
                    <w:keepNext w:val="0"/>
                    <w:keepLines w:val="0"/>
                    <w:pageBreakBefore w:val="0"/>
                    <w:widowControl w:val="0"/>
                    <w:kinsoku/>
                    <w:wordWrap/>
                    <w:overflowPunct/>
                    <w:topLinePunct w:val="0"/>
                    <w:autoSpaceDE/>
                    <w:autoSpaceDN/>
                    <w:bidi w:val="0"/>
                    <w:adjustRightInd/>
                    <w:snapToGrid/>
                    <w:spacing w:after="0" w:line="320" w:lineRule="exact"/>
                    <w:ind w:left="0" w:leftChars="0" w:right="0" w:rightChars="0" w:firstLine="0" w:firstLineChars="0"/>
                    <w:jc w:val="center"/>
                    <w:textAlignment w:val="auto"/>
                    <w:rPr>
                      <w:rFonts w:hint="default" w:ascii="Times New Roman" w:hAnsi="Times New Roman" w:cs="Times New Roman"/>
                      <w:b/>
                      <w:bCs/>
                      <w:color w:val="000000" w:themeColor="text1"/>
                      <w:sz w:val="18"/>
                      <w:szCs w:val="18"/>
                      <w:highlight w:val="none"/>
                      <w:u w:val="singl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vertAlign w:val="baseline"/>
                      <w:lang w:val="en-US" w:eastAsia="zh-CN"/>
                      <w14:textFill>
                        <w14:solidFill>
                          <w14:schemeClr w14:val="tx1"/>
                        </w14:solidFill>
                      </w14:textFill>
                    </w:rPr>
                    <w:t>300</w:t>
                  </w: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mg/m</w:t>
                  </w:r>
                  <w:r>
                    <w:rPr>
                      <w:rFonts w:hint="default" w:ascii="Times New Roman" w:hAnsi="Times New Roman" w:cs="Times New Roman"/>
                      <w:b/>
                      <w:bCs/>
                      <w:color w:val="000000" w:themeColor="text1"/>
                      <w:sz w:val="18"/>
                      <w:szCs w:val="18"/>
                      <w:highlight w:val="none"/>
                      <w:u w:val="singl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sz w:val="18"/>
                      <w:szCs w:val="18"/>
                      <w:highlight w:val="none"/>
                      <w:u w:val="single"/>
                      <w:vertAlign w:val="baseline"/>
                      <w:lang w:val="en-US" w:eastAsia="zh-CN"/>
                      <w14:textFill>
                        <w14:solidFill>
                          <w14:schemeClr w14:val="tx1"/>
                        </w14:solidFill>
                      </w14:textFill>
                    </w:rPr>
                    <w:t>（基准含氧量9%）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bCs/>
                      <w:color w:val="000000" w:themeColor="text1"/>
                      <w:sz w:val="18"/>
                      <w:szCs w:val="18"/>
                      <w:highlight w:val="none"/>
                      <w:u w:val="single"/>
                      <w14:textFill>
                        <w14:solidFill>
                          <w14:schemeClr w14:val="tx1"/>
                        </w14:solidFill>
                      </w14:textFill>
                    </w:rPr>
                  </w:pPr>
                </w:p>
              </w:tc>
              <w:tc>
                <w:tcPr>
                  <w:tcW w:w="64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氨</w:t>
                  </w:r>
                  <w:r>
                    <w:rPr>
                      <w:rFonts w:hint="eastAsia" w:cs="Times New Roman"/>
                      <w:b/>
                      <w:bCs/>
                      <w:color w:val="000000" w:themeColor="text1"/>
                      <w:sz w:val="18"/>
                      <w:szCs w:val="18"/>
                      <w:highlight w:val="none"/>
                      <w:u w:val="single"/>
                      <w:lang w:val="en-US" w:eastAsia="zh-CN"/>
                      <w14:textFill>
                        <w14:solidFill>
                          <w14:schemeClr w14:val="tx1"/>
                        </w14:solidFill>
                      </w14:textFill>
                    </w:rPr>
                    <w:t>逃逸</w:t>
                  </w:r>
                </w:p>
              </w:tc>
              <w:tc>
                <w:tcPr>
                  <w:tcW w:w="494"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宋体" w:cs="Times New Roman"/>
                      <w:b/>
                      <w:bCs/>
                      <w:color w:val="000000" w:themeColor="text1"/>
                      <w:sz w:val="18"/>
                      <w:szCs w:val="18"/>
                      <w:highlight w:val="none"/>
                      <w:u w:val="single"/>
                      <w:lang w:eastAsia="zh-CN"/>
                      <w14:textFill>
                        <w14:solidFill>
                          <w14:schemeClr w14:val="tx1"/>
                        </w14:solidFill>
                      </w14:textFill>
                    </w:rPr>
                  </w:pPr>
                </w:p>
              </w:tc>
              <w:tc>
                <w:tcPr>
                  <w:tcW w:w="1859" w:type="pct"/>
                  <w:tcBorders>
                    <w:tl2br w:val="nil"/>
                    <w:tr2bl w:val="nil"/>
                  </w:tcBorders>
                  <w:noWrap w:val="0"/>
                  <w:vAlign w:val="center"/>
                </w:tcPr>
                <w:p>
                  <w:pPr>
                    <w:pStyle w:val="20"/>
                    <w:keepNext w:val="0"/>
                    <w:keepLines w:val="0"/>
                    <w:pageBreakBefore w:val="0"/>
                    <w:widowControl w:val="0"/>
                    <w:kinsoku/>
                    <w:wordWrap/>
                    <w:overflowPunct/>
                    <w:topLinePunct w:val="0"/>
                    <w:autoSpaceDE/>
                    <w:autoSpaceDN/>
                    <w:bidi w:val="0"/>
                    <w:adjustRightInd/>
                    <w:snapToGrid/>
                    <w:spacing w:after="0" w:line="320" w:lineRule="exact"/>
                    <w:ind w:left="0" w:leftChars="0" w:right="0" w:rightChars="0" w:firstLine="0" w:firstLineChars="0"/>
                    <w:jc w:val="center"/>
                    <w:textAlignment w:val="auto"/>
                    <w:rPr>
                      <w:rFonts w:hint="default" w:ascii="Times New Roman" w:hAnsi="Times New Roman" w:cs="Times New Roman"/>
                      <w:b/>
                      <w:bCs/>
                      <w:color w:val="000000" w:themeColor="text1"/>
                      <w:sz w:val="18"/>
                      <w:szCs w:val="18"/>
                      <w:highlight w:val="none"/>
                      <w:u w:val="singl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vertAlign w:val="baseline"/>
                      <w:lang w:val="en-US" w:eastAsia="zh-CN"/>
                      <w14:textFill>
                        <w14:solidFill>
                          <w14:schemeClr w14:val="tx1"/>
                        </w14:solidFill>
                      </w14:textFill>
                    </w:rPr>
                    <w:t>8</w:t>
                  </w: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mg/m</w:t>
                  </w:r>
                  <w:r>
                    <w:rPr>
                      <w:rFonts w:hint="default" w:ascii="Times New Roman" w:hAnsi="Times New Roman" w:cs="Times New Roman"/>
                      <w:b/>
                      <w:bCs/>
                      <w:color w:val="000000" w:themeColor="text1"/>
                      <w:sz w:val="18"/>
                      <w:szCs w:val="18"/>
                      <w:highlight w:val="none"/>
                      <w:u w:val="singl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sz w:val="18"/>
                      <w:szCs w:val="18"/>
                      <w:highlight w:val="none"/>
                      <w:u w:val="single"/>
                      <w:vertAlign w:val="baseline"/>
                      <w:lang w:val="en-US" w:eastAsia="zh-CN"/>
                      <w14:textFill>
                        <w14:solidFill>
                          <w14:schemeClr w14:val="tx1"/>
                        </w14:solidFill>
                      </w14:textFill>
                    </w:rPr>
                    <w:t>（基准含氧量9%）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restart"/>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bCs/>
                      <w:color w:val="000000" w:themeColor="text1"/>
                      <w:sz w:val="18"/>
                      <w:szCs w:val="18"/>
                      <w:highlight w:val="none"/>
                      <w:u w:val="single"/>
                      <w:lang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eastAsia="zh-CN"/>
                      <w14:textFill>
                        <w14:solidFill>
                          <w14:schemeClr w14:val="tx1"/>
                        </w14:solidFill>
                      </w14:textFill>
                    </w:rPr>
                    <w:t>《河南省重污染天气通用行业</w:t>
                  </w:r>
                </w:p>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bCs/>
                      <w:color w:val="000000" w:themeColor="text1"/>
                      <w:sz w:val="18"/>
                      <w:szCs w:val="18"/>
                      <w:highlight w:val="none"/>
                      <w:u w:val="single"/>
                      <w:lang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eastAsia="zh-CN"/>
                      <w14:textFill>
                        <w14:solidFill>
                          <w14:schemeClr w14:val="tx1"/>
                        </w14:solidFill>
                      </w14:textFill>
                    </w:rPr>
                    <w:t>应急减排措施制定技术指南》（2021 年修订版）中附录</w:t>
                  </w: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2-</w:t>
                  </w:r>
                  <w:r>
                    <w:rPr>
                      <w:rFonts w:hint="default" w:ascii="Times New Roman" w:hAnsi="Times New Roman" w:cs="Times New Roman"/>
                      <w:b/>
                      <w:bCs/>
                      <w:color w:val="000000" w:themeColor="text1"/>
                      <w:sz w:val="18"/>
                      <w:szCs w:val="18"/>
                      <w:highlight w:val="none"/>
                      <w:u w:val="single"/>
                      <w:lang w:eastAsia="zh-CN"/>
                      <w14:textFill>
                        <w14:solidFill>
                          <w14:schemeClr w14:val="tx1"/>
                        </w14:solidFill>
                      </w14:textFill>
                    </w:rPr>
                    <w:t>河南省重点行业绩效分级排放限值（通用行业</w:t>
                  </w: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-其他炉窑</w:t>
                  </w:r>
                  <w:r>
                    <w:rPr>
                      <w:rFonts w:hint="default" w:ascii="Times New Roman" w:hAnsi="Times New Roman" w:cs="Times New Roman"/>
                      <w:b/>
                      <w:bCs/>
                      <w:color w:val="000000" w:themeColor="text1"/>
                      <w:sz w:val="18"/>
                      <w:szCs w:val="18"/>
                      <w:highlight w:val="none"/>
                      <w:u w:val="single"/>
                      <w:lang w:eastAsia="zh-CN"/>
                      <w14:textFill>
                        <w14:solidFill>
                          <w14:schemeClr w14:val="tx1"/>
                        </w14:solidFill>
                      </w14:textFill>
                    </w:rPr>
                    <w:t>）</w:t>
                  </w:r>
                </w:p>
              </w:tc>
              <w:tc>
                <w:tcPr>
                  <w:tcW w:w="64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eastAsia="zh-CN"/>
                      <w14:textFill>
                        <w14:solidFill>
                          <w14:schemeClr w14:val="tx1"/>
                        </w14:solidFill>
                      </w14:textFill>
                    </w:rPr>
                    <w:t>颗粒物</w:t>
                  </w:r>
                </w:p>
              </w:tc>
              <w:tc>
                <w:tcPr>
                  <w:tcW w:w="494"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宋体" w:cs="Times New Roman"/>
                      <w:b/>
                      <w:bCs/>
                      <w:color w:val="000000" w:themeColor="text1"/>
                      <w:sz w:val="18"/>
                      <w:szCs w:val="18"/>
                      <w:highlight w:val="none"/>
                      <w:u w:val="single"/>
                      <w:lang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eastAsia="zh-CN"/>
                      <w14:textFill>
                        <w14:solidFill>
                          <w14:schemeClr w14:val="tx1"/>
                        </w14:solidFill>
                      </w14:textFill>
                    </w:rPr>
                    <w:t>有组织</w:t>
                  </w:r>
                </w:p>
              </w:tc>
              <w:tc>
                <w:tcPr>
                  <w:tcW w:w="1859" w:type="pct"/>
                  <w:tcBorders>
                    <w:tl2br w:val="nil"/>
                    <w:tr2bl w:val="nil"/>
                  </w:tcBorders>
                  <w:noWrap w:val="0"/>
                  <w:vAlign w:val="center"/>
                </w:tcPr>
                <w:p>
                  <w:pPr>
                    <w:pStyle w:val="20"/>
                    <w:keepNext w:val="0"/>
                    <w:keepLines w:val="0"/>
                    <w:pageBreakBefore w:val="0"/>
                    <w:widowControl w:val="0"/>
                    <w:kinsoku/>
                    <w:wordWrap/>
                    <w:overflowPunct/>
                    <w:topLinePunct w:val="0"/>
                    <w:autoSpaceDE/>
                    <w:autoSpaceDN/>
                    <w:bidi w:val="0"/>
                    <w:adjustRightInd/>
                    <w:snapToGrid/>
                    <w:spacing w:after="0" w:line="320" w:lineRule="exact"/>
                    <w:ind w:left="0" w:leftChars="0" w:right="0" w:rightChars="0" w:firstLine="0" w:firstLineChars="0"/>
                    <w:jc w:val="center"/>
                    <w:textAlignment w:val="auto"/>
                    <w:rPr>
                      <w:rFonts w:hint="default" w:ascii="Times New Roman" w:hAnsi="Times New Roman" w:eastAsia="宋体" w:cs="Times New Roman"/>
                      <w:b/>
                      <w:bCs/>
                      <w:color w:val="000000" w:themeColor="text1"/>
                      <w:kern w:val="0"/>
                      <w:sz w:val="18"/>
                      <w:szCs w:val="18"/>
                      <w:highlight w:val="none"/>
                      <w:u w:val="single"/>
                      <w:vertAlign w:val="baselin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10mg/m</w:t>
                  </w:r>
                  <w:r>
                    <w:rPr>
                      <w:rFonts w:hint="default" w:ascii="Times New Roman" w:hAnsi="Times New Roman" w:cs="Times New Roman"/>
                      <w:b/>
                      <w:bCs/>
                      <w:color w:val="000000" w:themeColor="text1"/>
                      <w:sz w:val="18"/>
                      <w:szCs w:val="18"/>
                      <w:highlight w:val="none"/>
                      <w:u w:val="singl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sz w:val="18"/>
                      <w:szCs w:val="18"/>
                      <w:highlight w:val="none"/>
                      <w:u w:val="single"/>
                      <w:vertAlign w:val="baseline"/>
                      <w:lang w:val="en-US" w:eastAsia="zh-CN"/>
                      <w14:textFill>
                        <w14:solidFill>
                          <w14:schemeClr w14:val="tx1"/>
                        </w14:solidFill>
                      </w14:textFill>
                    </w:rPr>
                    <w:t>（基准含氧量9%）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bCs/>
                      <w:color w:val="000000" w:themeColor="text1"/>
                      <w:sz w:val="18"/>
                      <w:szCs w:val="18"/>
                      <w:highlight w:val="none"/>
                      <w:u w:val="single"/>
                      <w:lang w:eastAsia="zh-CN"/>
                      <w14:textFill>
                        <w14:solidFill>
                          <w14:schemeClr w14:val="tx1"/>
                        </w14:solidFill>
                      </w14:textFill>
                    </w:rPr>
                  </w:pPr>
                </w:p>
              </w:tc>
              <w:tc>
                <w:tcPr>
                  <w:tcW w:w="64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SO</w:t>
                  </w:r>
                  <w:r>
                    <w:rPr>
                      <w:rFonts w:hint="default" w:ascii="Times New Roman" w:hAnsi="Times New Roman" w:cs="Times New Roman"/>
                      <w:b/>
                      <w:bCs/>
                      <w:color w:val="000000" w:themeColor="text1"/>
                      <w:sz w:val="18"/>
                      <w:szCs w:val="18"/>
                      <w:highlight w:val="none"/>
                      <w:u w:val="single"/>
                      <w:vertAlign w:val="subscript"/>
                      <w:lang w:val="en-US" w:eastAsia="zh-CN"/>
                      <w14:textFill>
                        <w14:solidFill>
                          <w14:schemeClr w14:val="tx1"/>
                        </w14:solidFill>
                      </w14:textFill>
                    </w:rPr>
                    <w:t>2</w:t>
                  </w:r>
                </w:p>
              </w:tc>
              <w:tc>
                <w:tcPr>
                  <w:tcW w:w="494"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宋体" w:cs="Times New Roman"/>
                      <w:b/>
                      <w:bCs/>
                      <w:color w:val="000000" w:themeColor="text1"/>
                      <w:sz w:val="18"/>
                      <w:szCs w:val="18"/>
                      <w:highlight w:val="none"/>
                      <w:u w:val="single"/>
                      <w:lang w:eastAsia="zh-CN"/>
                      <w14:textFill>
                        <w14:solidFill>
                          <w14:schemeClr w14:val="tx1"/>
                        </w14:solidFill>
                      </w14:textFill>
                    </w:rPr>
                  </w:pPr>
                </w:p>
              </w:tc>
              <w:tc>
                <w:tcPr>
                  <w:tcW w:w="1859" w:type="pct"/>
                  <w:tcBorders>
                    <w:tl2br w:val="nil"/>
                    <w:tr2bl w:val="nil"/>
                  </w:tcBorders>
                  <w:noWrap w:val="0"/>
                  <w:vAlign w:val="center"/>
                </w:tcPr>
                <w:p>
                  <w:pPr>
                    <w:pStyle w:val="20"/>
                    <w:keepNext w:val="0"/>
                    <w:keepLines w:val="0"/>
                    <w:pageBreakBefore w:val="0"/>
                    <w:widowControl w:val="0"/>
                    <w:kinsoku/>
                    <w:wordWrap/>
                    <w:overflowPunct/>
                    <w:topLinePunct w:val="0"/>
                    <w:autoSpaceDE/>
                    <w:autoSpaceDN/>
                    <w:bidi w:val="0"/>
                    <w:adjustRightInd/>
                    <w:snapToGrid/>
                    <w:spacing w:after="0" w:line="320" w:lineRule="exact"/>
                    <w:ind w:left="0" w:leftChars="0" w:right="0" w:rightChars="0" w:firstLine="0" w:firstLineChars="0"/>
                    <w:jc w:val="center"/>
                    <w:textAlignment w:val="auto"/>
                    <w:rPr>
                      <w:rFonts w:hint="default" w:ascii="Times New Roman" w:hAnsi="Times New Roman" w:eastAsia="宋体" w:cs="Times New Roman"/>
                      <w:b/>
                      <w:bCs/>
                      <w:color w:val="000000" w:themeColor="text1"/>
                      <w:kern w:val="0"/>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50mg/m</w:t>
                  </w:r>
                  <w:r>
                    <w:rPr>
                      <w:rFonts w:hint="default" w:ascii="Times New Roman" w:hAnsi="Times New Roman" w:cs="Times New Roman"/>
                      <w:b/>
                      <w:bCs/>
                      <w:color w:val="000000" w:themeColor="text1"/>
                      <w:sz w:val="18"/>
                      <w:szCs w:val="18"/>
                      <w:highlight w:val="none"/>
                      <w:u w:val="singl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sz w:val="18"/>
                      <w:szCs w:val="18"/>
                      <w:highlight w:val="none"/>
                      <w:u w:val="single"/>
                      <w:vertAlign w:val="baseline"/>
                      <w:lang w:val="en-US" w:eastAsia="zh-CN"/>
                      <w14:textFill>
                        <w14:solidFill>
                          <w14:schemeClr w14:val="tx1"/>
                        </w14:solidFill>
                      </w14:textFill>
                    </w:rPr>
                    <w:t>（基准含氧量9%）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bCs/>
                      <w:color w:val="000000" w:themeColor="text1"/>
                      <w:sz w:val="18"/>
                      <w:szCs w:val="18"/>
                      <w:highlight w:val="none"/>
                      <w:u w:val="single"/>
                      <w:lang w:eastAsia="zh-CN"/>
                      <w14:textFill>
                        <w14:solidFill>
                          <w14:schemeClr w14:val="tx1"/>
                        </w14:solidFill>
                      </w14:textFill>
                    </w:rPr>
                  </w:pPr>
                </w:p>
              </w:tc>
              <w:tc>
                <w:tcPr>
                  <w:tcW w:w="64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NO</w:t>
                  </w:r>
                  <w:r>
                    <w:rPr>
                      <w:rFonts w:hint="default" w:ascii="Times New Roman" w:hAnsi="Times New Roman" w:cs="Times New Roman"/>
                      <w:b/>
                      <w:bCs/>
                      <w:color w:val="000000" w:themeColor="text1"/>
                      <w:sz w:val="18"/>
                      <w:szCs w:val="18"/>
                      <w:highlight w:val="none"/>
                      <w:u w:val="single"/>
                      <w:vertAlign w:val="subscript"/>
                      <w:lang w:val="en-US" w:eastAsia="zh-CN"/>
                      <w14:textFill>
                        <w14:solidFill>
                          <w14:schemeClr w14:val="tx1"/>
                        </w14:solidFill>
                      </w14:textFill>
                    </w:rPr>
                    <w:t>x</w:t>
                  </w:r>
                </w:p>
              </w:tc>
              <w:tc>
                <w:tcPr>
                  <w:tcW w:w="494"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宋体" w:cs="Times New Roman"/>
                      <w:b/>
                      <w:bCs/>
                      <w:color w:val="000000" w:themeColor="text1"/>
                      <w:sz w:val="18"/>
                      <w:szCs w:val="18"/>
                      <w:highlight w:val="none"/>
                      <w:u w:val="single"/>
                      <w:lang w:eastAsia="zh-CN"/>
                      <w14:textFill>
                        <w14:solidFill>
                          <w14:schemeClr w14:val="tx1"/>
                        </w14:solidFill>
                      </w14:textFill>
                    </w:rPr>
                  </w:pPr>
                </w:p>
              </w:tc>
              <w:tc>
                <w:tcPr>
                  <w:tcW w:w="1859" w:type="pct"/>
                  <w:tcBorders>
                    <w:tl2br w:val="nil"/>
                    <w:tr2bl w:val="nil"/>
                  </w:tcBorders>
                  <w:noWrap w:val="0"/>
                  <w:vAlign w:val="center"/>
                </w:tcPr>
                <w:p>
                  <w:pPr>
                    <w:pStyle w:val="20"/>
                    <w:keepNext w:val="0"/>
                    <w:keepLines w:val="0"/>
                    <w:pageBreakBefore w:val="0"/>
                    <w:widowControl w:val="0"/>
                    <w:kinsoku/>
                    <w:wordWrap/>
                    <w:overflowPunct/>
                    <w:topLinePunct w:val="0"/>
                    <w:autoSpaceDE/>
                    <w:autoSpaceDN/>
                    <w:bidi w:val="0"/>
                    <w:adjustRightInd/>
                    <w:snapToGrid/>
                    <w:spacing w:after="0" w:line="320" w:lineRule="exact"/>
                    <w:ind w:left="0" w:leftChars="0" w:right="0" w:rightChars="0" w:firstLine="0" w:firstLineChars="0"/>
                    <w:jc w:val="center"/>
                    <w:textAlignment w:val="auto"/>
                    <w:rPr>
                      <w:rFonts w:hint="default" w:ascii="Times New Roman" w:hAnsi="Times New Roman" w:eastAsia="宋体" w:cs="Times New Roman"/>
                      <w:b/>
                      <w:bCs/>
                      <w:color w:val="000000" w:themeColor="text1"/>
                      <w:kern w:val="0"/>
                      <w:sz w:val="18"/>
                      <w:szCs w:val="18"/>
                      <w:highlight w:val="none"/>
                      <w:u w:val="single"/>
                      <w:vertAlign w:val="baselin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vertAlign w:val="baseline"/>
                      <w:lang w:val="en-US" w:eastAsia="zh-CN"/>
                      <w14:textFill>
                        <w14:solidFill>
                          <w14:schemeClr w14:val="tx1"/>
                        </w14:solidFill>
                      </w14:textFill>
                    </w:rPr>
                    <w:t>100</w:t>
                  </w: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mg/m</w:t>
                  </w:r>
                  <w:r>
                    <w:rPr>
                      <w:rFonts w:hint="default" w:ascii="Times New Roman" w:hAnsi="Times New Roman" w:cs="Times New Roman"/>
                      <w:b/>
                      <w:bCs/>
                      <w:color w:val="000000" w:themeColor="text1"/>
                      <w:sz w:val="18"/>
                      <w:szCs w:val="18"/>
                      <w:highlight w:val="none"/>
                      <w:u w:val="singl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sz w:val="18"/>
                      <w:szCs w:val="18"/>
                      <w:highlight w:val="none"/>
                      <w:u w:val="single"/>
                      <w:vertAlign w:val="baseline"/>
                      <w:lang w:val="en-US" w:eastAsia="zh-CN"/>
                      <w14:textFill>
                        <w14:solidFill>
                          <w14:schemeClr w14:val="tx1"/>
                        </w14:solidFill>
                      </w14:textFill>
                    </w:rPr>
                    <w:t>（基准含氧量9%）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bCs/>
                      <w:color w:val="000000" w:themeColor="text1"/>
                      <w:sz w:val="18"/>
                      <w:szCs w:val="18"/>
                      <w:highlight w:val="none"/>
                      <w:u w:val="single"/>
                      <w:lang w:eastAsia="zh-CN"/>
                      <w14:textFill>
                        <w14:solidFill>
                          <w14:schemeClr w14:val="tx1"/>
                        </w14:solidFill>
                      </w14:textFill>
                    </w:rPr>
                  </w:pPr>
                </w:p>
              </w:tc>
              <w:tc>
                <w:tcPr>
                  <w:tcW w:w="64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氨</w:t>
                  </w:r>
                  <w:r>
                    <w:rPr>
                      <w:rFonts w:hint="eastAsia" w:cs="Times New Roman"/>
                      <w:b/>
                      <w:bCs/>
                      <w:color w:val="000000" w:themeColor="text1"/>
                      <w:sz w:val="18"/>
                      <w:szCs w:val="18"/>
                      <w:highlight w:val="none"/>
                      <w:u w:val="single"/>
                      <w:lang w:val="en-US" w:eastAsia="zh-CN"/>
                      <w14:textFill>
                        <w14:solidFill>
                          <w14:schemeClr w14:val="tx1"/>
                        </w14:solidFill>
                      </w14:textFill>
                    </w:rPr>
                    <w:t>逃逸</w:t>
                  </w:r>
                </w:p>
              </w:tc>
              <w:tc>
                <w:tcPr>
                  <w:tcW w:w="494"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宋体" w:cs="Times New Roman"/>
                      <w:b/>
                      <w:bCs/>
                      <w:color w:val="000000" w:themeColor="text1"/>
                      <w:sz w:val="18"/>
                      <w:szCs w:val="18"/>
                      <w:highlight w:val="none"/>
                      <w:u w:val="single"/>
                      <w:lang w:eastAsia="zh-CN"/>
                      <w14:textFill>
                        <w14:solidFill>
                          <w14:schemeClr w14:val="tx1"/>
                        </w14:solidFill>
                      </w14:textFill>
                    </w:rPr>
                  </w:pPr>
                </w:p>
              </w:tc>
              <w:tc>
                <w:tcPr>
                  <w:tcW w:w="1859" w:type="pct"/>
                  <w:tcBorders>
                    <w:tl2br w:val="nil"/>
                    <w:tr2bl w:val="nil"/>
                  </w:tcBorders>
                  <w:noWrap w:val="0"/>
                  <w:vAlign w:val="center"/>
                </w:tcPr>
                <w:p>
                  <w:pPr>
                    <w:pStyle w:val="20"/>
                    <w:keepNext w:val="0"/>
                    <w:keepLines w:val="0"/>
                    <w:pageBreakBefore w:val="0"/>
                    <w:widowControl w:val="0"/>
                    <w:kinsoku/>
                    <w:wordWrap/>
                    <w:overflowPunct/>
                    <w:topLinePunct w:val="0"/>
                    <w:autoSpaceDE/>
                    <w:autoSpaceDN/>
                    <w:bidi w:val="0"/>
                    <w:adjustRightInd/>
                    <w:snapToGrid/>
                    <w:spacing w:after="0" w:line="320" w:lineRule="exact"/>
                    <w:ind w:left="0" w:leftChars="0" w:right="0" w:rightChars="0" w:firstLine="0" w:firstLineChars="0"/>
                    <w:jc w:val="center"/>
                    <w:textAlignment w:val="auto"/>
                    <w:rPr>
                      <w:rFonts w:hint="default" w:ascii="Times New Roman" w:hAnsi="Times New Roman" w:cs="Times New Roman"/>
                      <w:b/>
                      <w:bCs/>
                      <w:color w:val="000000" w:themeColor="text1"/>
                      <w:sz w:val="18"/>
                      <w:szCs w:val="18"/>
                      <w:highlight w:val="none"/>
                      <w:u w:val="singl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vertAlign w:val="baseline"/>
                      <w:lang w:val="en-US" w:eastAsia="zh-CN"/>
                      <w14:textFill>
                        <w14:solidFill>
                          <w14:schemeClr w14:val="tx1"/>
                        </w14:solidFill>
                      </w14:textFill>
                    </w:rPr>
                    <w:t>8</w:t>
                  </w: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mg/m</w:t>
                  </w:r>
                  <w:r>
                    <w:rPr>
                      <w:rFonts w:hint="default" w:ascii="Times New Roman" w:hAnsi="Times New Roman" w:cs="Times New Roman"/>
                      <w:b/>
                      <w:bCs/>
                      <w:color w:val="000000" w:themeColor="text1"/>
                      <w:sz w:val="18"/>
                      <w:szCs w:val="18"/>
                      <w:highlight w:val="none"/>
                      <w:u w:val="singl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sz w:val="18"/>
                      <w:szCs w:val="18"/>
                      <w:highlight w:val="none"/>
                      <w:u w:val="single"/>
                      <w:vertAlign w:val="baseline"/>
                      <w:lang w:val="en-US" w:eastAsia="zh-CN"/>
                      <w14:textFill>
                        <w14:solidFill>
                          <w14:schemeClr w14:val="tx1"/>
                        </w14:solidFill>
                      </w14:textFill>
                    </w:rPr>
                    <w:t>（基准含氧量9%）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restart"/>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新乡市生态环境局关于进一步规范工业企业颗粒物排限值的通知</w:t>
                  </w:r>
                </w:p>
              </w:tc>
              <w:tc>
                <w:tcPr>
                  <w:tcW w:w="644" w:type="pct"/>
                  <w:vMerge w:val="restar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zh-CN"/>
                      <w14:textFill>
                        <w14:solidFill>
                          <w14:schemeClr w14:val="tx1"/>
                        </w14:solidFill>
                      </w14:textFill>
                    </w:rPr>
                    <w:t>颗粒物</w:t>
                  </w:r>
                </w:p>
              </w:tc>
              <w:tc>
                <w:tcPr>
                  <w:tcW w:w="494"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val="zh-CN"/>
                      <w14:textFill>
                        <w14:solidFill>
                          <w14:schemeClr w14:val="tx1"/>
                        </w14:solidFill>
                      </w14:textFill>
                    </w:rPr>
                    <w:t>有组织</w:t>
                  </w:r>
                </w:p>
              </w:tc>
              <w:tc>
                <w:tcPr>
                  <w:tcW w:w="1859"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其他工业企业：10</w:t>
                  </w:r>
                  <w:r>
                    <w:rPr>
                      <w:rFonts w:hint="default" w:ascii="Times New Roman" w:hAnsi="Times New Roman" w:cs="Times New Roman"/>
                      <w:color w:val="000000" w:themeColor="text1"/>
                      <w:sz w:val="18"/>
                      <w:szCs w:val="18"/>
                      <w:highlight w:val="none"/>
                      <w14:textFill>
                        <w14:solidFill>
                          <w14:schemeClr w14:val="tx1"/>
                        </w14:solidFill>
                      </w14:textFill>
                    </w:rPr>
                    <w:t>mg/</w:t>
                  </w:r>
                  <w:r>
                    <w:rPr>
                      <w:rFonts w:hint="default" w:ascii="Times New Roman" w:hAnsi="Times New Roman" w:eastAsia="宋体" w:cs="Times New Roman"/>
                      <w:b w:val="0"/>
                      <w:bCs/>
                      <w:color w:val="000000" w:themeColor="text1"/>
                      <w:sz w:val="18"/>
                      <w:szCs w:val="18"/>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18"/>
                      <w:szCs w:val="18"/>
                      <w:highlight w:val="none"/>
                      <w:vertAlign w:val="superscript"/>
                      <w:lang w:val="en-US" w:eastAsia="zh-CN"/>
                      <w14:textFill>
                        <w14:solidFill>
                          <w14:schemeClr w14:val="tx1"/>
                        </w14:solidFill>
                      </w14:textFill>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644" w:type="pct"/>
                  <w:vMerge w:val="continue"/>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cyan"/>
                      <w14:textFill>
                        <w14:solidFill>
                          <w14:schemeClr w14:val="tx1"/>
                        </w14:solidFill>
                      </w14:textFill>
                    </w:rPr>
                  </w:pPr>
                </w:p>
              </w:tc>
              <w:tc>
                <w:tcPr>
                  <w:tcW w:w="494"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cyan"/>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val="zh-CN"/>
                      <w14:textFill>
                        <w14:solidFill>
                          <w14:schemeClr w14:val="tx1"/>
                        </w14:solidFill>
                      </w14:textFill>
                    </w:rPr>
                    <w:t>无组织</w:t>
                  </w:r>
                </w:p>
              </w:tc>
              <w:tc>
                <w:tcPr>
                  <w:tcW w:w="1859"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cyan"/>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0.5</w:t>
                  </w:r>
                  <w:r>
                    <w:rPr>
                      <w:rFonts w:hint="default" w:ascii="Times New Roman" w:hAnsi="Times New Roman" w:cs="Times New Roman"/>
                      <w:color w:val="000000" w:themeColor="text1"/>
                      <w:sz w:val="18"/>
                      <w:szCs w:val="18"/>
                      <w:highlight w:val="none"/>
                      <w14:textFill>
                        <w14:solidFill>
                          <w14:schemeClr w14:val="tx1"/>
                        </w14:solidFill>
                      </w14:textFill>
                    </w:rPr>
                    <w:t>mg/</w:t>
                  </w:r>
                  <w:r>
                    <w:rPr>
                      <w:rFonts w:hint="default" w:ascii="Times New Roman" w:hAnsi="Times New Roman" w:eastAsia="宋体" w:cs="Times New Roman"/>
                      <w:b w:val="0"/>
                      <w:bCs/>
                      <w:color w:val="000000" w:themeColor="text1"/>
                      <w:sz w:val="18"/>
                      <w:szCs w:val="18"/>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18"/>
                      <w:szCs w:val="18"/>
                      <w:highlight w:val="none"/>
                      <w:vertAlign w:val="superscript"/>
                      <w:lang w:val="en-US" w:eastAsia="zh-CN"/>
                      <w14:textFill>
                        <w14:solidFill>
                          <w14:schemeClr w14:val="tx1"/>
                        </w14:solidFill>
                      </w14:textFill>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废水</w:t>
                  </w:r>
                </w:p>
              </w:tc>
              <w:tc>
                <w:tcPr>
                  <w:tcW w:w="1754" w:type="pct"/>
                  <w:vMerge w:val="restart"/>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新乡县综合污水处理厂收水标准</w:t>
                  </w:r>
                </w:p>
              </w:tc>
              <w:tc>
                <w:tcPr>
                  <w:tcW w:w="644" w:type="pct"/>
                  <w:tcBorders>
                    <w:tl2br w:val="nil"/>
                    <w:tr2bl w:val="nil"/>
                  </w:tcBorders>
                  <w:noWrap w:val="0"/>
                  <w:vAlign w:val="center"/>
                </w:tcPr>
                <w:p>
                  <w:pPr>
                    <w:pStyle w:val="62"/>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cya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COD</w:t>
                  </w:r>
                </w:p>
              </w:tc>
              <w:tc>
                <w:tcPr>
                  <w:tcW w:w="2353" w:type="pct"/>
                  <w:gridSpan w:val="2"/>
                  <w:tcBorders>
                    <w:tl2br w:val="nil"/>
                    <w:tr2bl w:val="nil"/>
                  </w:tcBorders>
                  <w:noWrap w:val="0"/>
                  <w:vAlign w:val="center"/>
                </w:tcPr>
                <w:p>
                  <w:pPr>
                    <w:pStyle w:val="62"/>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400mg/L</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cyan"/>
                      <w:lang w:eastAsia="zh-CN"/>
                      <w14:textFill>
                        <w14:solidFill>
                          <w14:schemeClr w14:val="tx1"/>
                        </w14:solidFill>
                      </w14:textFill>
                    </w:rPr>
                  </w:pPr>
                </w:p>
              </w:tc>
              <w:tc>
                <w:tcPr>
                  <w:tcW w:w="644" w:type="pct"/>
                  <w:tcBorders>
                    <w:tl2br w:val="nil"/>
                    <w:tr2bl w:val="nil"/>
                  </w:tcBorders>
                  <w:noWrap w:val="0"/>
                  <w:vAlign w:val="center"/>
                </w:tcPr>
                <w:p>
                  <w:pPr>
                    <w:pStyle w:val="62"/>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cya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SS</w:t>
                  </w:r>
                </w:p>
              </w:tc>
              <w:tc>
                <w:tcPr>
                  <w:tcW w:w="2353" w:type="pct"/>
                  <w:gridSpan w:val="2"/>
                  <w:tcBorders>
                    <w:tl2br w:val="nil"/>
                    <w:tr2bl w:val="nil"/>
                  </w:tcBorders>
                  <w:noWrap w:val="0"/>
                  <w:vAlign w:val="center"/>
                </w:tcPr>
                <w:p>
                  <w:pPr>
                    <w:pStyle w:val="62"/>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180mg/L</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cyan"/>
                      <w:lang w:eastAsia="zh-CN"/>
                      <w14:textFill>
                        <w14:solidFill>
                          <w14:schemeClr w14:val="tx1"/>
                        </w14:solidFill>
                      </w14:textFill>
                    </w:rPr>
                  </w:pPr>
                </w:p>
              </w:tc>
              <w:tc>
                <w:tcPr>
                  <w:tcW w:w="644" w:type="pct"/>
                  <w:tcBorders>
                    <w:tl2br w:val="nil"/>
                    <w:tr2bl w:val="nil"/>
                  </w:tcBorders>
                  <w:noWrap w:val="0"/>
                  <w:vAlign w:val="center"/>
                </w:tcPr>
                <w:p>
                  <w:pPr>
                    <w:pStyle w:val="62"/>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cya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NH</w:t>
                  </w:r>
                  <w:r>
                    <w:rPr>
                      <w:rFonts w:hint="default" w:ascii="Times New Roman" w:hAnsi="Times New Roman" w:cs="Times New Roman"/>
                      <w:color w:val="000000" w:themeColor="text1"/>
                      <w:sz w:val="18"/>
                      <w:szCs w:val="18"/>
                      <w:vertAlign w:val="subscript"/>
                      <w14:textFill>
                        <w14:solidFill>
                          <w14:schemeClr w14:val="tx1"/>
                        </w14:solidFill>
                      </w14:textFill>
                    </w:rPr>
                    <w:t>3</w:t>
                  </w:r>
                  <w:r>
                    <w:rPr>
                      <w:rFonts w:hint="default" w:ascii="Times New Roman" w:hAnsi="Times New Roman" w:cs="Times New Roman"/>
                      <w:color w:val="000000" w:themeColor="text1"/>
                      <w:sz w:val="18"/>
                      <w:szCs w:val="18"/>
                      <w14:textFill>
                        <w14:solidFill>
                          <w14:schemeClr w14:val="tx1"/>
                        </w14:solidFill>
                      </w14:textFill>
                    </w:rPr>
                    <w:t>-N</w:t>
                  </w:r>
                </w:p>
              </w:tc>
              <w:tc>
                <w:tcPr>
                  <w:tcW w:w="2353" w:type="pct"/>
                  <w:gridSpan w:val="2"/>
                  <w:tcBorders>
                    <w:tl2br w:val="nil"/>
                    <w:tr2bl w:val="nil"/>
                  </w:tcBorders>
                  <w:noWrap w:val="0"/>
                  <w:vAlign w:val="center"/>
                </w:tcPr>
                <w:p>
                  <w:pPr>
                    <w:pStyle w:val="62"/>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59mg/L</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cyan"/>
                      <w:lang w:eastAsia="zh-CN"/>
                      <w14:textFill>
                        <w14:solidFill>
                          <w14:schemeClr w14:val="tx1"/>
                        </w14:solidFill>
                      </w14:textFill>
                    </w:rPr>
                  </w:pPr>
                </w:p>
              </w:tc>
              <w:tc>
                <w:tcPr>
                  <w:tcW w:w="644" w:type="pct"/>
                  <w:tcBorders>
                    <w:tl2br w:val="nil"/>
                    <w:tr2bl w:val="nil"/>
                  </w:tcBorders>
                  <w:noWrap w:val="0"/>
                  <w:vAlign w:val="center"/>
                </w:tcPr>
                <w:p>
                  <w:pPr>
                    <w:pStyle w:val="62"/>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cya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TP</w:t>
                  </w:r>
                </w:p>
              </w:tc>
              <w:tc>
                <w:tcPr>
                  <w:tcW w:w="2353" w:type="pct"/>
                  <w:gridSpan w:val="2"/>
                  <w:tcBorders>
                    <w:tl2br w:val="nil"/>
                    <w:tr2bl w:val="nil"/>
                  </w:tcBorders>
                  <w:noWrap w:val="0"/>
                  <w:vAlign w:val="center"/>
                </w:tcPr>
                <w:p>
                  <w:pPr>
                    <w:pStyle w:val="62"/>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4mg/ L</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cyan"/>
                      <w:lang w:eastAsia="zh-CN"/>
                      <w14:textFill>
                        <w14:solidFill>
                          <w14:schemeClr w14:val="tx1"/>
                        </w14:solidFill>
                      </w14:textFill>
                    </w:rPr>
                  </w:pPr>
                </w:p>
              </w:tc>
              <w:tc>
                <w:tcPr>
                  <w:tcW w:w="644" w:type="pct"/>
                  <w:tcBorders>
                    <w:tl2br w:val="nil"/>
                    <w:tr2bl w:val="nil"/>
                  </w:tcBorders>
                  <w:noWrap w:val="0"/>
                  <w:vAlign w:val="center"/>
                </w:tcPr>
                <w:p>
                  <w:pPr>
                    <w:pStyle w:val="62"/>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cya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TN</w:t>
                  </w:r>
                </w:p>
              </w:tc>
              <w:tc>
                <w:tcPr>
                  <w:tcW w:w="2353" w:type="pct"/>
                  <w:gridSpan w:val="2"/>
                  <w:tcBorders>
                    <w:tl2br w:val="nil"/>
                    <w:tr2bl w:val="nil"/>
                  </w:tcBorders>
                  <w:noWrap w:val="0"/>
                  <w:vAlign w:val="center"/>
                </w:tcPr>
                <w:p>
                  <w:pPr>
                    <w:pStyle w:val="62"/>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70mg/L</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restart"/>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000000" w:themeColor="text1"/>
                      <w:sz w:val="18"/>
                      <w:szCs w:val="18"/>
                      <w:highlight w:val="cyan"/>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t>《污水综合排放标准》（</w:t>
                  </w: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GB8978-1996</w:t>
                  </w:r>
                  <w:r>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t>）表</w:t>
                  </w: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4</w:t>
                  </w:r>
                  <w:r>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t>三级标准</w:t>
                  </w:r>
                </w:p>
              </w:tc>
              <w:tc>
                <w:tcPr>
                  <w:tcW w:w="64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cya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COD</w:t>
                  </w:r>
                </w:p>
              </w:tc>
              <w:tc>
                <w:tcPr>
                  <w:tcW w:w="2353"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500</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mg/L</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000000" w:themeColor="text1"/>
                      <w:sz w:val="18"/>
                      <w:szCs w:val="18"/>
                      <w:highlight w:val="cyan"/>
                      <w:lang w:eastAsia="zh-CN"/>
                      <w14:textFill>
                        <w14:solidFill>
                          <w14:schemeClr w14:val="tx1"/>
                        </w14:solidFill>
                      </w14:textFill>
                    </w:rPr>
                  </w:pPr>
                </w:p>
              </w:tc>
              <w:tc>
                <w:tcPr>
                  <w:tcW w:w="64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cya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BOD</w:t>
                  </w:r>
                  <w:r>
                    <w:rPr>
                      <w:rFonts w:hint="default" w:ascii="Times New Roman" w:hAnsi="Times New Roman" w:cs="Times New Roman"/>
                      <w:b w:val="0"/>
                      <w:bCs w:val="0"/>
                      <w:color w:val="000000" w:themeColor="text1"/>
                      <w:sz w:val="18"/>
                      <w:szCs w:val="18"/>
                      <w:highlight w:val="none"/>
                      <w:vertAlign w:val="subscript"/>
                      <w:lang w:val="en-US" w:eastAsia="zh-CN"/>
                      <w14:textFill>
                        <w14:solidFill>
                          <w14:schemeClr w14:val="tx1"/>
                        </w14:solidFill>
                      </w14:textFill>
                    </w:rPr>
                    <w:t>5</w:t>
                  </w:r>
                </w:p>
              </w:tc>
              <w:tc>
                <w:tcPr>
                  <w:tcW w:w="2353"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300</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mg/L</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000000" w:themeColor="text1"/>
                      <w:sz w:val="18"/>
                      <w:szCs w:val="18"/>
                      <w:highlight w:val="cyan"/>
                      <w:lang w:eastAsia="zh-CN"/>
                      <w14:textFill>
                        <w14:solidFill>
                          <w14:schemeClr w14:val="tx1"/>
                        </w14:solidFill>
                      </w14:textFill>
                    </w:rPr>
                  </w:pPr>
                </w:p>
              </w:tc>
              <w:tc>
                <w:tcPr>
                  <w:tcW w:w="64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cya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SS</w:t>
                  </w:r>
                </w:p>
              </w:tc>
              <w:tc>
                <w:tcPr>
                  <w:tcW w:w="2353"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400</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mg/L</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restart"/>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000000" w:themeColor="text1"/>
                      <w:sz w:val="18"/>
                      <w:szCs w:val="18"/>
                      <w:highlight w:val="cyan"/>
                      <w:lang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《城市污水再生利用 工业用水水质》（GB/T19923-2005）洗涤用水</w:t>
                  </w:r>
                </w:p>
              </w:tc>
              <w:tc>
                <w:tcPr>
                  <w:tcW w:w="64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SS</w:t>
                  </w:r>
                </w:p>
              </w:tc>
              <w:tc>
                <w:tcPr>
                  <w:tcW w:w="2353"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mg/L</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p>
              </w:tc>
              <w:tc>
                <w:tcPr>
                  <w:tcW w:w="1754" w:type="pct"/>
                  <w:vMerge w:val="continue"/>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p>
              </w:tc>
              <w:tc>
                <w:tcPr>
                  <w:tcW w:w="64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铁</w:t>
                  </w:r>
                </w:p>
              </w:tc>
              <w:tc>
                <w:tcPr>
                  <w:tcW w:w="2353"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0.3</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mg/L</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247" w:type="pct"/>
                  <w:vMerge w:val="restart"/>
                  <w:tcBorders>
                    <w:right w:val="single" w:color="000000" w:sz="4" w:space="0"/>
                    <w:tl2br w:val="nil"/>
                    <w:tr2bl w:val="nil"/>
                  </w:tcBorders>
                  <w:noWrap w:val="0"/>
                  <w:vAlign w:val="center"/>
                </w:tcPr>
                <w:p>
                  <w:pPr>
                    <w:keepNext w:val="0"/>
                    <w:keepLines w:val="0"/>
                    <w:pageBreakBefore w:val="0"/>
                    <w:widowControl w:val="0"/>
                    <w:tabs>
                      <w:tab w:val="left" w:pos="600"/>
                    </w:tabs>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000000" w:themeColor="text1"/>
                      <w:sz w:val="18"/>
                      <w:szCs w:val="18"/>
                      <w:highlight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t>噪声</w:t>
                  </w:r>
                </w:p>
              </w:tc>
              <w:tc>
                <w:tcPr>
                  <w:tcW w:w="1754" w:type="pct"/>
                  <w:vMerge w:val="restart"/>
                  <w:tcBorders>
                    <w:left w:val="single" w:color="000000" w:sz="4" w:space="0"/>
                    <w:tl2br w:val="nil"/>
                    <w:tr2bl w:val="nil"/>
                  </w:tcBorders>
                  <w:noWrap w:val="0"/>
                  <w:vAlign w:val="center"/>
                </w:tcPr>
                <w:p>
                  <w:pPr>
                    <w:keepNext w:val="0"/>
                    <w:keepLines w:val="0"/>
                    <w:pageBreakBefore w:val="0"/>
                    <w:widowControl w:val="0"/>
                    <w:tabs>
                      <w:tab w:val="left" w:pos="600"/>
                    </w:tabs>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val="0"/>
                      <w:color w:val="000000" w:themeColor="text1"/>
                      <w:sz w:val="18"/>
                      <w:szCs w:val="18"/>
                      <w:highlight w:val="none"/>
                      <w14:textFill>
                        <w14:solidFill>
                          <w14:schemeClr w14:val="tx1"/>
                        </w14:solidFill>
                      </w14:textFill>
                    </w:rPr>
                    <w:t>《工业企业厂界环境噪声排放标准》（GB12348-2008）</w:t>
                  </w: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18"/>
                      <w:szCs w:val="18"/>
                      <w:highlight w:val="none"/>
                      <w14:textFill>
                        <w14:solidFill>
                          <w14:schemeClr w14:val="tx1"/>
                        </w14:solidFill>
                      </w14:textFill>
                    </w:rPr>
                    <w:t>类</w:t>
                  </w:r>
                </w:p>
              </w:tc>
              <w:tc>
                <w:tcPr>
                  <w:tcW w:w="644"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val="0"/>
                      <w:color w:val="000000" w:themeColor="text1"/>
                      <w:sz w:val="18"/>
                      <w:szCs w:val="18"/>
                      <w:highlight w:val="none"/>
                      <w14:textFill>
                        <w14:solidFill>
                          <w14:schemeClr w14:val="tx1"/>
                        </w14:solidFill>
                      </w14:textFill>
                    </w:rPr>
                    <w:t>厂界噪声</w:t>
                  </w:r>
                </w:p>
              </w:tc>
              <w:tc>
                <w:tcPr>
                  <w:tcW w:w="2353"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val="0"/>
                      <w:color w:val="000000" w:themeColor="text1"/>
                      <w:sz w:val="18"/>
                      <w:szCs w:val="18"/>
                      <w:highlight w:val="none"/>
                      <w14:textFill>
                        <w14:solidFill>
                          <w14:schemeClr w14:val="tx1"/>
                        </w14:solidFill>
                      </w14:textFill>
                    </w:rPr>
                    <w:t>昼间</w:t>
                  </w:r>
                  <w:r>
                    <w:rPr>
                      <w:rFonts w:hint="default" w:ascii="Times New Roman" w:hAnsi="Times New Roman" w:eastAsia="宋体" w:cs="Times New Roman"/>
                      <w:b w:val="0"/>
                      <w:bCs w:val="0"/>
                      <w:color w:val="000000" w:themeColor="text1"/>
                      <w:sz w:val="18"/>
                      <w:szCs w:val="18"/>
                      <w:highlight w:val="none"/>
                      <w:lang w:val="en-US" w:eastAsia="zh-CN"/>
                      <w14:textFill>
                        <w14:solidFill>
                          <w14:schemeClr w14:val="tx1"/>
                        </w14:solidFill>
                      </w14:textFill>
                    </w:rPr>
                    <w:t>6</w:t>
                  </w: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0</w:t>
                  </w:r>
                  <w:r>
                    <w:rPr>
                      <w:rFonts w:hint="default" w:ascii="Times New Roman" w:hAnsi="Times New Roman" w:eastAsia="宋体" w:cs="Times New Roman"/>
                      <w:b w:val="0"/>
                      <w:bCs w:val="0"/>
                      <w:color w:val="000000" w:themeColor="text1"/>
                      <w:sz w:val="18"/>
                      <w:szCs w:val="18"/>
                      <w:highlight w:val="none"/>
                      <w14:textFill>
                        <w14:solidFill>
                          <w14:schemeClr w14:val="tx1"/>
                        </w14:solidFill>
                      </w14:textFill>
                    </w:rPr>
                    <w:t>dB(A)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247" w:type="pct"/>
                  <w:vMerge w:val="continue"/>
                  <w:tcBorders>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000000" w:themeColor="text1"/>
                      <w:sz w:val="18"/>
                      <w:szCs w:val="18"/>
                      <w:highlight w:val="none"/>
                      <w14:textFill>
                        <w14:solidFill>
                          <w14:schemeClr w14:val="tx1"/>
                        </w14:solidFill>
                      </w14:textFill>
                    </w:rPr>
                  </w:pPr>
                </w:p>
              </w:tc>
              <w:tc>
                <w:tcPr>
                  <w:tcW w:w="1754" w:type="pct"/>
                  <w:vMerge w:val="continue"/>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000000" w:themeColor="text1"/>
                      <w:sz w:val="18"/>
                      <w:szCs w:val="18"/>
                      <w:highlight w:val="none"/>
                      <w14:textFill>
                        <w14:solidFill>
                          <w14:schemeClr w14:val="tx1"/>
                        </w14:solidFill>
                      </w14:textFill>
                    </w:rPr>
                  </w:pPr>
                </w:p>
              </w:tc>
              <w:tc>
                <w:tcPr>
                  <w:tcW w:w="644"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000000" w:themeColor="text1"/>
                      <w:sz w:val="18"/>
                      <w:szCs w:val="18"/>
                      <w:highlight w:val="none"/>
                      <w14:textFill>
                        <w14:solidFill>
                          <w14:schemeClr w14:val="tx1"/>
                        </w14:solidFill>
                      </w14:textFill>
                    </w:rPr>
                  </w:pPr>
                </w:p>
              </w:tc>
              <w:tc>
                <w:tcPr>
                  <w:tcW w:w="2353" w:type="pct"/>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val="0"/>
                      <w:color w:val="000000" w:themeColor="text1"/>
                      <w:sz w:val="18"/>
                      <w:szCs w:val="18"/>
                      <w:highlight w:val="none"/>
                      <w14:textFill>
                        <w14:solidFill>
                          <w14:schemeClr w14:val="tx1"/>
                        </w14:solidFill>
                      </w14:textFill>
                    </w:rPr>
                    <w:t>夜间5</w:t>
                  </w: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0</w:t>
                  </w:r>
                  <w:r>
                    <w:rPr>
                      <w:rFonts w:hint="default" w:ascii="Times New Roman" w:hAnsi="Times New Roman" w:eastAsia="宋体" w:cs="Times New Roman"/>
                      <w:b w:val="0"/>
                      <w:bCs w:val="0"/>
                      <w:color w:val="000000" w:themeColor="text1"/>
                      <w:sz w:val="18"/>
                      <w:szCs w:val="18"/>
                      <w:highlight w:val="none"/>
                      <w14:textFill>
                        <w14:solidFill>
                          <w14:schemeClr w14:val="tx1"/>
                        </w14:solidFill>
                      </w14:textFill>
                    </w:rPr>
                    <w:t>dB(A)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restart"/>
                  <w:tcBorders>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18"/>
                      <w:szCs w:val="18"/>
                      <w:highlight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t>固废</w:t>
                  </w:r>
                </w:p>
              </w:tc>
              <w:tc>
                <w:tcPr>
                  <w:tcW w:w="4752" w:type="pct"/>
                  <w:gridSpan w:val="4"/>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val="0"/>
                      <w:color w:val="000000" w:themeColor="text1"/>
                      <w:sz w:val="18"/>
                      <w:szCs w:val="18"/>
                      <w:highlight w:val="none"/>
                      <w:lang w:eastAsia="zh-CN"/>
                      <w14:textFill>
                        <w14:solidFill>
                          <w14:schemeClr w14:val="tx1"/>
                        </w14:solidFill>
                      </w14:textFill>
                    </w:rPr>
                    <w:t>《中华人民共和国固体废物污染环境防治法》（2020年修订）、《一般工业固体废物贮存和填埋污染控制标准》（</w:t>
                  </w:r>
                  <w:r>
                    <w:rPr>
                      <w:rFonts w:hint="default" w:ascii="Times New Roman" w:hAnsi="Times New Roman" w:eastAsia="宋体" w:cs="Times New Roman"/>
                      <w:b w:val="0"/>
                      <w:bCs w:val="0"/>
                      <w:color w:val="000000" w:themeColor="text1"/>
                      <w:sz w:val="18"/>
                      <w:szCs w:val="18"/>
                      <w:highlight w:val="none"/>
                      <w:lang w:val="en-US" w:eastAsia="zh-CN"/>
                      <w14:textFill>
                        <w14:solidFill>
                          <w14:schemeClr w14:val="tx1"/>
                        </w14:solidFill>
                      </w14:textFill>
                    </w:rPr>
                    <w:t>GB18599-2020</w:t>
                  </w:r>
                  <w:r>
                    <w:rPr>
                      <w:rFonts w:hint="default" w:ascii="Times New Roman" w:hAnsi="Times New Roman" w:eastAsia="宋体" w:cs="Times New Roman"/>
                      <w:b w:val="0"/>
                      <w:bCs w:val="0"/>
                      <w:color w:val="000000" w:themeColor="text1"/>
                      <w:sz w:val="18"/>
                      <w:szCs w:val="18"/>
                      <w:highlight w:val="none"/>
                      <w:lang w:eastAsia="zh-CN"/>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7" w:type="pct"/>
                  <w:vMerge w:val="continue"/>
                  <w:tcBorders>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18"/>
                      <w:szCs w:val="18"/>
                      <w:highlight w:val="cyan"/>
                      <w14:textFill>
                        <w14:solidFill>
                          <w14:schemeClr w14:val="tx1"/>
                        </w14:solidFill>
                      </w14:textFill>
                    </w:rPr>
                  </w:pPr>
                </w:p>
              </w:tc>
              <w:tc>
                <w:tcPr>
                  <w:tcW w:w="4752" w:type="pct"/>
                  <w:gridSpan w:val="4"/>
                  <w:tcBorders>
                    <w:lef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《危险废物贮存污染控制标准》（GB18597-2001）及其2013年修改单</w:t>
                  </w:r>
                </w:p>
              </w:tc>
            </w:tr>
          </w:tbl>
          <w:p>
            <w:pPr>
              <w:autoSpaceDE w:val="0"/>
              <w:autoSpaceDN w:val="0"/>
              <w:adjustRightInd w:val="0"/>
              <w:snapToGrid w:val="0"/>
              <w:spacing w:line="400" w:lineRule="exact"/>
              <w:rPr>
                <w:rFonts w:hint="default" w:ascii="Times New Roman" w:hAnsi="Times New Roman" w:eastAsia="宋体" w:cs="Times New Roman"/>
                <w:color w:val="000000" w:themeColor="text1"/>
                <w:kern w:val="0"/>
                <w:szCs w:val="21"/>
                <w:highlight w:val="cyan"/>
                <w:lang w:eastAsia="zh-CN"/>
                <w14:textFill>
                  <w14:solidFill>
                    <w14:schemeClr w14:val="tx1"/>
                  </w14:solidFill>
                </w14:textFill>
              </w:rPr>
            </w:pPr>
            <w:r>
              <w:rPr>
                <w:rFonts w:hint="default" w:ascii="Times New Roman" w:hAnsi="Times New Roman" w:cs="Times New Roman"/>
                <w:color w:val="000000" w:themeColor="text1"/>
                <w:kern w:val="0"/>
                <w:szCs w:val="21"/>
                <w:highlight w:val="none"/>
                <w:lang w:eastAsia="zh-CN"/>
                <w14:textFill>
                  <w14:solidFill>
                    <w14:schemeClr w14:val="tx1"/>
                  </w14:solidFill>
                </w14:textFill>
              </w:rPr>
              <w:t xml:space="preserve"> </w:t>
            </w:r>
            <w:r>
              <w:rPr>
                <w:rFonts w:hint="default" w:ascii="Times New Roman" w:hAnsi="Times New Roman" w:cs="Times New Roman"/>
                <w:color w:val="000000" w:themeColor="text1"/>
                <w:kern w:val="0"/>
                <w:szCs w:val="21"/>
                <w:highlight w:val="none"/>
                <w:lang w:eastAsia="zh-CN"/>
                <w14:textFill>
                  <w14:solidFill>
                    <w14:schemeClr w14:val="tx1"/>
                  </w14:solidFill>
                </w14:textFill>
              </w:rPr>
              <w:br w:type="textWrapping"/>
            </w:r>
            <w:r>
              <w:rPr>
                <w:rFonts w:hint="default" w:ascii="Times New Roman" w:hAnsi="Times New Roman" w:cs="Times New Roman"/>
                <w:color w:val="000000" w:themeColor="text1"/>
                <w:kern w:val="0"/>
                <w:szCs w:val="21"/>
                <w:highlight w:val="none"/>
                <w:lang w:eastAsia="zh-CN"/>
                <w14:textFill>
                  <w14:solidFill>
                    <w14:schemeClr w14:val="tx1"/>
                  </w14:solidFill>
                </w14:textFill>
              </w:rPr>
              <w:br w:type="textWrapping"/>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总量</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控制</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指标</w:t>
            </w:r>
          </w:p>
        </w:tc>
        <w:tc>
          <w:tcPr>
            <w:tcW w:w="8190" w:type="dxa"/>
            <w:noWrap w:val="0"/>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根据《新乡市生态环境局关于转发&lt;河南省生态环境厅关于印发建设项目主要污染物排放总量指标管理工作内部规程的通知&gt;的通知》，建设项目环境影响评价文件中应明确建设项目主要污染物排放总量指标及替代方案，拟建工程总量控制（考核）因子为：废气中的</w:t>
            </w:r>
            <w:r>
              <w:rPr>
                <w:rFonts w:hint="eastAsia" w:cs="Times New Roman"/>
                <w:color w:val="000000" w:themeColor="text1"/>
                <w:sz w:val="21"/>
                <w:szCs w:val="21"/>
                <w:highlight w:val="none"/>
                <w:lang w:eastAsia="zh-CN"/>
                <w14:textFill>
                  <w14:solidFill>
                    <w14:schemeClr w14:val="tx1"/>
                  </w14:solidFill>
                </w14:textFill>
              </w:rPr>
              <w:t>颗粒物、</w:t>
            </w:r>
            <w:r>
              <w:rPr>
                <w:rFonts w:hint="default" w:ascii="Times New Roman" w:hAnsi="Times New Roman" w:cs="Times New Roman"/>
                <w:color w:val="000000" w:themeColor="text1"/>
                <w:sz w:val="21"/>
                <w:szCs w:val="21"/>
                <w:highlight w:val="none"/>
                <w14:textFill>
                  <w14:solidFill>
                    <w14:schemeClr w14:val="tx1"/>
                  </w14:solidFill>
                </w14:textFill>
              </w:rPr>
              <w:t>SO</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、NOx；废水中COD、氨氮。</w:t>
            </w:r>
          </w:p>
          <w:p>
            <w:pPr>
              <w:keepNext w:val="0"/>
              <w:keepLines w:val="0"/>
              <w:pageBreakBefore w:val="0"/>
              <w:widowControl w:val="0"/>
              <w:numPr>
                <w:ilvl w:val="0"/>
                <w:numId w:val="13"/>
              </w:numPr>
              <w:kinsoku/>
              <w:wordWrap/>
              <w:overflowPunct/>
              <w:topLinePunct w:val="0"/>
              <w:autoSpaceDE w:val="0"/>
              <w:autoSpaceDN w:val="0"/>
              <w:bidi w:val="0"/>
              <w:adjustRightInd/>
              <w:snapToGrid/>
              <w:spacing w:line="360" w:lineRule="auto"/>
              <w:ind w:firstLine="420" w:firstLineChars="200"/>
              <w:textAlignment w:val="auto"/>
              <w:rPr>
                <w:rFonts w:hint="default" w:ascii="Times New Roman" w:hAnsi="Times New Roman" w:cs="Times New Roman"/>
                <w:color w:val="000000" w:themeColor="text1"/>
                <w:kern w:val="0"/>
                <w:szCs w:val="21"/>
                <w:highlight w:val="none"/>
                <w:lang w:eastAsia="zh-CN"/>
                <w14:textFill>
                  <w14:solidFill>
                    <w14:schemeClr w14:val="tx1"/>
                  </w14:solidFill>
                </w14:textFill>
              </w:rPr>
            </w:pPr>
            <w:r>
              <w:rPr>
                <w:rFonts w:hint="default" w:ascii="Times New Roman" w:hAnsi="Times New Roman" w:cs="Times New Roman"/>
                <w:color w:val="000000" w:themeColor="text1"/>
                <w:kern w:val="0"/>
                <w:szCs w:val="21"/>
                <w:highlight w:val="none"/>
                <w:lang w:eastAsia="zh-CN"/>
                <w14:textFill>
                  <w14:solidFill>
                    <w14:schemeClr w14:val="tx1"/>
                  </w14:solidFill>
                </w14:textFill>
              </w:rPr>
              <w:t>现有工程总量控制指标</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textAlignment w:val="auto"/>
              <w:rPr>
                <w:rFonts w:hint="default" w:ascii="Times New Roman" w:hAnsi="Times New Roman" w:cs="Times New Roman"/>
                <w:color w:val="000000" w:themeColor="text1"/>
                <w:kern w:val="0"/>
                <w:szCs w:val="21"/>
                <w:highlight w:val="none"/>
                <w:lang w:eastAsia="zh-CN"/>
                <w14:textFill>
                  <w14:solidFill>
                    <w14:schemeClr w14:val="tx1"/>
                  </w14:solidFill>
                </w14:textFill>
              </w:rPr>
            </w:pPr>
            <w:r>
              <w:rPr>
                <w:rFonts w:hint="default" w:ascii="Times New Roman" w:hAnsi="Times New Roman" w:cs="Times New Roman"/>
                <w:color w:val="000000" w:themeColor="text1"/>
                <w:kern w:val="0"/>
                <w:szCs w:val="21"/>
                <w:highlight w:val="none"/>
                <w:lang w:eastAsia="zh-CN"/>
                <w14:textFill>
                  <w14:solidFill>
                    <w14:schemeClr w14:val="tx1"/>
                  </w14:solidFill>
                </w14:textFill>
              </w:rPr>
              <w:t>现有工程废水污染物排放量为COD0.0</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154</w:t>
            </w:r>
            <w:r>
              <w:rPr>
                <w:rFonts w:hint="default" w:ascii="Times New Roman" w:hAnsi="Times New Roman" w:cs="Times New Roman"/>
                <w:color w:val="000000" w:themeColor="text1"/>
                <w:kern w:val="0"/>
                <w:szCs w:val="21"/>
                <w:highlight w:val="none"/>
                <w:lang w:eastAsia="zh-CN"/>
                <w14:textFill>
                  <w14:solidFill>
                    <w14:schemeClr w14:val="tx1"/>
                  </w14:solidFill>
                </w14:textFill>
              </w:rPr>
              <w:t>t/a、NH</w:t>
            </w:r>
            <w:r>
              <w:rPr>
                <w:rFonts w:hint="default" w:ascii="Times New Roman" w:hAnsi="Times New Roman" w:cs="Times New Roman"/>
                <w:color w:val="000000" w:themeColor="text1"/>
                <w:kern w:val="0"/>
                <w:szCs w:val="21"/>
                <w:highlight w:val="none"/>
                <w:vertAlign w:val="subscript"/>
                <w:lang w:eastAsia="zh-CN"/>
                <w14:textFill>
                  <w14:solidFill>
                    <w14:schemeClr w14:val="tx1"/>
                  </w14:solidFill>
                </w14:textFill>
              </w:rPr>
              <w:t>3</w:t>
            </w:r>
            <w:r>
              <w:rPr>
                <w:rFonts w:hint="default" w:ascii="Times New Roman" w:hAnsi="Times New Roman" w:cs="Times New Roman"/>
                <w:color w:val="000000" w:themeColor="text1"/>
                <w:kern w:val="0"/>
                <w:szCs w:val="21"/>
                <w:highlight w:val="none"/>
                <w:lang w:eastAsia="zh-CN"/>
                <w14:textFill>
                  <w14:solidFill>
                    <w14:schemeClr w14:val="tx1"/>
                  </w14:solidFill>
                </w14:textFill>
              </w:rPr>
              <w:t>-N0.00</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08</w:t>
            </w:r>
            <w:r>
              <w:rPr>
                <w:rFonts w:hint="default" w:ascii="Times New Roman" w:hAnsi="Times New Roman" w:cs="Times New Roman"/>
                <w:color w:val="000000" w:themeColor="text1"/>
                <w:kern w:val="0"/>
                <w:szCs w:val="21"/>
                <w:highlight w:val="none"/>
                <w:lang w:eastAsia="zh-CN"/>
                <w14:textFill>
                  <w14:solidFill>
                    <w14:schemeClr w14:val="tx1"/>
                  </w14:solidFill>
                </w14:textFill>
              </w:rPr>
              <w:t>t/a。</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textAlignment w:val="auto"/>
              <w:rPr>
                <w:rFonts w:hint="default" w:ascii="Times New Roman" w:hAnsi="Times New Roman"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0"/>
                <w:szCs w:val="21"/>
                <w:highlight w:val="none"/>
                <w:lang w:eastAsia="zh-CN"/>
                <w14:textFill>
                  <w14:solidFill>
                    <w14:schemeClr w14:val="tx1"/>
                  </w14:solidFill>
                </w14:textFill>
              </w:rPr>
              <w:t>现有废气污染物排放量为颗粒物</w:t>
            </w: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24.3951</w:t>
            </w:r>
            <w:r>
              <w:rPr>
                <w:rFonts w:hint="default" w:ascii="Times New Roman" w:hAnsi="Times New Roman" w:cs="Times New Roman"/>
                <w:color w:val="000000" w:themeColor="text1"/>
                <w:kern w:val="0"/>
                <w:szCs w:val="21"/>
                <w:highlight w:val="none"/>
                <w:lang w:eastAsia="zh-CN"/>
                <w14:textFill>
                  <w14:solidFill>
                    <w14:schemeClr w14:val="tx1"/>
                  </w14:solidFill>
                </w14:textFill>
              </w:rPr>
              <w:t>t/a</w:t>
            </w:r>
            <w:r>
              <w:rPr>
                <w:rFonts w:hint="eastAsia" w:ascii="Times New Roman" w:hAnsi="Times New Roman" w:cs="Times New Roman"/>
                <w:color w:val="000000" w:themeColor="text1"/>
                <w:kern w:val="0"/>
                <w:szCs w:val="21"/>
                <w:highlight w:val="none"/>
                <w:lang w:eastAsia="zh-CN"/>
                <w14:textFill>
                  <w14:solidFill>
                    <w14:schemeClr w14:val="tx1"/>
                  </w14:solidFill>
                </w14:textFill>
              </w:rPr>
              <w:t>（有组织</w:t>
            </w: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23.</w:t>
            </w:r>
            <w:r>
              <w:rPr>
                <w:rFonts w:hint="eastAsia" w:cs="Times New Roman"/>
                <w:color w:val="000000" w:themeColor="text1"/>
                <w:kern w:val="0"/>
                <w:szCs w:val="21"/>
                <w:highlight w:val="none"/>
                <w:lang w:val="en-US" w:eastAsia="zh-CN"/>
                <w14:textFill>
                  <w14:solidFill>
                    <w14:schemeClr w14:val="tx1"/>
                  </w14:solidFill>
                </w14:textFill>
              </w:rPr>
              <w:t>9103</w:t>
            </w: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t/a</w:t>
            </w:r>
            <w:r>
              <w:rPr>
                <w:rFonts w:hint="eastAsia" w:ascii="Times New Roman" w:hAnsi="Times New Roman" w:cs="Times New Roman"/>
                <w:color w:val="000000" w:themeColor="text1"/>
                <w:kern w:val="0"/>
                <w:szCs w:val="21"/>
                <w:highlight w:val="none"/>
                <w:lang w:eastAsia="zh-CN"/>
                <w14:textFill>
                  <w14:solidFill>
                    <w14:schemeClr w14:val="tx1"/>
                  </w14:solidFill>
                </w14:textFill>
              </w:rPr>
              <w:t>，无组织</w:t>
            </w:r>
            <w:r>
              <w:rPr>
                <w:rFonts w:hint="eastAsia" w:cs="Times New Roman"/>
                <w:color w:val="000000" w:themeColor="text1"/>
                <w:kern w:val="0"/>
                <w:szCs w:val="21"/>
                <w:highlight w:val="none"/>
                <w:lang w:val="en-US" w:eastAsia="zh-CN"/>
                <w14:textFill>
                  <w14:solidFill>
                    <w14:schemeClr w14:val="tx1"/>
                  </w14:solidFill>
                </w14:textFill>
              </w:rPr>
              <w:t>0.4848</w:t>
            </w: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t/a</w:t>
            </w:r>
            <w:r>
              <w:rPr>
                <w:rFonts w:hint="eastAsia" w:ascii="Times New Roman" w:hAnsi="Times New Roman" w:cs="Times New Roman"/>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SO</w:t>
            </w:r>
            <w:r>
              <w:rPr>
                <w:rFonts w:hint="default" w:ascii="Times New Roman" w:hAnsi="Times New Roman" w:cs="Times New Roman"/>
                <w:color w:val="000000" w:themeColor="text1"/>
                <w:kern w:val="0"/>
                <w:szCs w:val="21"/>
                <w:highlight w:val="none"/>
                <w:vertAlign w:val="subscript"/>
                <w:lang w:val="en-US" w:eastAsia="zh-CN"/>
                <w14:textFill>
                  <w14:solidFill>
                    <w14:schemeClr w14:val="tx1"/>
                  </w14:solidFill>
                </w14:textFill>
              </w:rPr>
              <w:t>2</w:t>
            </w: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0.1392</w:t>
            </w:r>
            <w:r>
              <w:rPr>
                <w:rFonts w:hint="default" w:ascii="Times New Roman" w:hAnsi="Times New Roman" w:cs="Times New Roman"/>
                <w:color w:val="000000" w:themeColor="text1"/>
                <w:kern w:val="0"/>
                <w:szCs w:val="21"/>
                <w:highlight w:val="none"/>
                <w:lang w:eastAsia="zh-CN"/>
                <w14:textFill>
                  <w14:solidFill>
                    <w14:schemeClr w14:val="tx1"/>
                  </w14:solidFill>
                </w14:textFill>
              </w:rPr>
              <w:t>t/a</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、NOx</w:t>
            </w: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0.3132</w:t>
            </w:r>
            <w:r>
              <w:rPr>
                <w:rFonts w:hint="default" w:ascii="Times New Roman" w:hAnsi="Times New Roman" w:cs="Times New Roman"/>
                <w:color w:val="000000" w:themeColor="text1"/>
                <w:kern w:val="0"/>
                <w:szCs w:val="21"/>
                <w:highlight w:val="none"/>
                <w:lang w:eastAsia="zh-CN"/>
                <w14:textFill>
                  <w14:solidFill>
                    <w14:schemeClr w14:val="tx1"/>
                  </w14:solidFill>
                </w14:textFill>
              </w:rPr>
              <w:t>t/a。现有工程切割、焊接工序产生颗粒物均在车间内已无组织形式排放，无法满足当前环保要求，本次评价要求企业对切割、焊接工序废气设置密闭间收集后，通过</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1套脉冲袋式除尘器进行处理，</w:t>
            </w: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经处理后</w:t>
            </w:r>
            <w:r>
              <w:rPr>
                <w:rFonts w:hint="default" w:ascii="Times New Roman" w:hAnsi="Times New Roman" w:cs="Times New Roman"/>
                <w:color w:val="000000" w:themeColor="text1"/>
                <w:kern w:val="0"/>
                <w:szCs w:val="21"/>
                <w:highlight w:val="none"/>
                <w:lang w:eastAsia="zh-CN"/>
                <w14:textFill>
                  <w14:solidFill>
                    <w14:schemeClr w14:val="tx1"/>
                  </w14:solidFill>
                </w14:textFill>
              </w:rPr>
              <w:t>现有工程颗粒物排放量为</w:t>
            </w:r>
            <w:r>
              <w:rPr>
                <w:rFonts w:hint="eastAsia" w:cs="Times New Roman"/>
                <w:color w:val="000000" w:themeColor="text1"/>
                <w:kern w:val="0"/>
                <w:szCs w:val="21"/>
                <w:highlight w:val="none"/>
                <w:lang w:val="en-US" w:eastAsia="zh-CN"/>
                <w14:textFill>
                  <w14:solidFill>
                    <w14:schemeClr w14:val="tx1"/>
                  </w14:solidFill>
                </w14:textFill>
              </w:rPr>
              <w:t>0.2046</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t/a</w:t>
            </w: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w:t>
            </w:r>
            <w:r>
              <w:rPr>
                <w:rFonts w:hint="eastAsia" w:ascii="Times New Roman" w:hAnsi="Times New Roman" w:cs="Times New Roman"/>
                <w:color w:val="000000" w:themeColor="text1"/>
                <w:kern w:val="0"/>
                <w:szCs w:val="21"/>
                <w:highlight w:val="none"/>
                <w:lang w:eastAsia="zh-CN"/>
                <w14:textFill>
                  <w14:solidFill>
                    <w14:schemeClr w14:val="tx1"/>
                  </w14:solidFill>
                </w14:textFill>
              </w:rPr>
              <w:t>有组织</w:t>
            </w:r>
            <w:r>
              <w:rPr>
                <w:rFonts w:hint="eastAsia" w:cs="Times New Roman"/>
                <w:color w:val="000000" w:themeColor="text1"/>
                <w:kern w:val="0"/>
                <w:szCs w:val="21"/>
                <w:highlight w:val="none"/>
                <w:lang w:val="en-US" w:eastAsia="zh-CN"/>
                <w14:textFill>
                  <w14:solidFill>
                    <w14:schemeClr w14:val="tx1"/>
                  </w14:solidFill>
                </w14:textFill>
              </w:rPr>
              <w:t>0.1803</w:t>
            </w: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t/a</w:t>
            </w:r>
            <w:r>
              <w:rPr>
                <w:rFonts w:hint="eastAsia" w:ascii="Times New Roman" w:hAnsi="Times New Roman" w:cs="Times New Roman"/>
                <w:color w:val="000000" w:themeColor="text1"/>
                <w:kern w:val="0"/>
                <w:szCs w:val="21"/>
                <w:highlight w:val="none"/>
                <w:lang w:eastAsia="zh-CN"/>
                <w14:textFill>
                  <w14:solidFill>
                    <w14:schemeClr w14:val="tx1"/>
                  </w14:solidFill>
                </w14:textFill>
              </w:rPr>
              <w:t>，无组织</w:t>
            </w:r>
            <w:r>
              <w:rPr>
                <w:rFonts w:hint="eastAsia" w:cs="Times New Roman"/>
                <w:color w:val="000000" w:themeColor="text1"/>
                <w:kern w:val="0"/>
                <w:szCs w:val="21"/>
                <w:highlight w:val="none"/>
                <w:lang w:val="en-US" w:eastAsia="zh-CN"/>
                <w14:textFill>
                  <w14:solidFill>
                    <w14:schemeClr w14:val="tx1"/>
                  </w14:solidFill>
                </w14:textFill>
              </w:rPr>
              <w:t>0.0243</w:t>
            </w:r>
            <w:r>
              <w:rPr>
                <w:rFonts w:hint="eastAsia" w:ascii="Times New Roman" w:hAnsi="Times New Roman" w:cs="Times New Roman"/>
                <w:color w:val="000000" w:themeColor="text1"/>
                <w:kern w:val="0"/>
                <w:szCs w:val="21"/>
                <w:highlight w:val="none"/>
                <w:lang w:val="en-US" w:eastAsia="zh-CN"/>
                <w14:textFill>
                  <w14:solidFill>
                    <w14:schemeClr w14:val="tx1"/>
                  </w14:solidFill>
                </w14:textFill>
              </w:rPr>
              <w:t>t/a）</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w:t>
            </w:r>
          </w:p>
          <w:p>
            <w:pPr>
              <w:keepNext w:val="0"/>
              <w:keepLines w:val="0"/>
              <w:pageBreakBefore w:val="0"/>
              <w:widowControl w:val="0"/>
              <w:numPr>
                <w:ilvl w:val="0"/>
                <w:numId w:val="13"/>
              </w:numPr>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本次扩建工程总量控制指标</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本次</w:t>
            </w:r>
            <w:r>
              <w:rPr>
                <w:rFonts w:hint="default" w:ascii="Times New Roman" w:hAnsi="Times New Roman" w:cs="Times New Roman"/>
                <w:color w:val="000000" w:themeColor="text1"/>
                <w:highlight w:val="none"/>
                <w:lang w:eastAsia="zh-CN"/>
                <w14:textFill>
                  <w14:solidFill>
                    <w14:schemeClr w14:val="tx1"/>
                  </w14:solidFill>
                </w14:textFill>
              </w:rPr>
              <w:t>扩建</w:t>
            </w:r>
            <w:r>
              <w:rPr>
                <w:rFonts w:hint="default" w:ascii="Times New Roman" w:hAnsi="Times New Roman" w:cs="Times New Roman"/>
                <w:color w:val="000000" w:themeColor="text1"/>
                <w:highlight w:val="none"/>
                <w14:textFill>
                  <w14:solidFill>
                    <w14:schemeClr w14:val="tx1"/>
                  </w14:solidFill>
                </w14:textFill>
              </w:rPr>
              <w:t>工程</w:t>
            </w:r>
            <w:r>
              <w:rPr>
                <w:rFonts w:hint="eastAsia" w:ascii="Times New Roman" w:hAnsi="Times New Roman" w:cs="Times New Roman"/>
                <w:color w:val="000000" w:themeColor="text1"/>
                <w:highlight w:val="none"/>
                <w:lang w:eastAsia="zh-CN"/>
                <w14:textFill>
                  <w14:solidFill>
                    <w14:schemeClr w14:val="tx1"/>
                  </w14:solidFill>
                </w14:textFill>
              </w:rPr>
              <w:t>新增</w:t>
            </w:r>
            <w:r>
              <w:rPr>
                <w:rFonts w:hint="eastAsia" w:cs="Times New Roman"/>
                <w:color w:val="000000" w:themeColor="text1"/>
                <w:highlight w:val="none"/>
                <w:lang w:eastAsia="zh-CN"/>
                <w14:textFill>
                  <w14:solidFill>
                    <w14:schemeClr w14:val="tx1"/>
                  </w14:solidFill>
                </w14:textFill>
              </w:rPr>
              <w:t>废水</w:t>
            </w:r>
            <w:r>
              <w:rPr>
                <w:rFonts w:hint="default" w:ascii="Times New Roman" w:hAnsi="Times New Roman" w:cs="Times New Roman"/>
                <w:color w:val="000000" w:themeColor="text1"/>
                <w:highlight w:val="none"/>
                <w:lang w:eastAsia="zh-CN"/>
                <w14:textFill>
                  <w14:solidFill>
                    <w14:schemeClr w14:val="tx1"/>
                  </w14:solidFill>
                </w14:textFill>
              </w:rPr>
              <w:t>污染物</w:t>
            </w:r>
            <w:r>
              <w:rPr>
                <w:rFonts w:hint="default" w:ascii="Times New Roman" w:hAnsi="Times New Roman" w:cs="Times New Roman"/>
                <w:color w:val="000000" w:themeColor="text1"/>
                <w:highlight w:val="none"/>
                <w14:textFill>
                  <w14:solidFill>
                    <w14:schemeClr w14:val="tx1"/>
                  </w14:solidFill>
                </w14:textFill>
              </w:rPr>
              <w:t>总量控制指标为：</w:t>
            </w:r>
            <w:r>
              <w:rPr>
                <w:rFonts w:hint="default" w:ascii="Times New Roman" w:hAnsi="Times New Roman" w:cs="Times New Roman"/>
                <w:color w:val="000000" w:themeColor="text1"/>
                <w:highlight w:val="none"/>
                <w:lang w:val="en-US" w:eastAsia="zh-CN"/>
                <w14:textFill>
                  <w14:solidFill>
                    <w14:schemeClr w14:val="tx1"/>
                  </w14:solidFill>
                </w14:textFill>
              </w:rPr>
              <w:t>COD0.0077t/a、NH</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-N0.0004t/a，新增废气污染物总量控制指标为颗粒物</w:t>
            </w:r>
            <w:r>
              <w:rPr>
                <w:rFonts w:hint="eastAsia" w:cs="Times New Roman"/>
                <w:color w:val="000000" w:themeColor="text1"/>
                <w:highlight w:val="none"/>
                <w:lang w:val="en-US" w:eastAsia="zh-CN"/>
                <w14:textFill>
                  <w14:solidFill>
                    <w14:schemeClr w14:val="tx1"/>
                  </w14:solidFill>
                </w14:textFill>
              </w:rPr>
              <w:t>0.2735</w:t>
            </w:r>
            <w:r>
              <w:rPr>
                <w:rFonts w:hint="default" w:ascii="Times New Roman" w:hAnsi="Times New Roman" w:cs="Times New Roman"/>
                <w:color w:val="000000" w:themeColor="text1"/>
                <w:highlight w:val="none"/>
                <w:lang w:val="en-US" w:eastAsia="zh-CN"/>
                <w14:textFill>
                  <w14:solidFill>
                    <w14:schemeClr w14:val="tx1"/>
                  </w14:solidFill>
                </w14:textFill>
              </w:rPr>
              <w:t>t/a、SO</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2</w:t>
            </w:r>
            <w:r>
              <w:rPr>
                <w:rFonts w:hint="eastAsia" w:ascii="Times New Roman" w:hAnsi="Times New Roman" w:cs="Times New Roman"/>
                <w:color w:val="000000" w:themeColor="text1"/>
                <w:highlight w:val="none"/>
                <w:lang w:val="en-US" w:eastAsia="zh-CN"/>
                <w14:textFill>
                  <w14:solidFill>
                    <w14:schemeClr w14:val="tx1"/>
                  </w14:solidFill>
                </w14:textFill>
              </w:rPr>
              <w:t>0.1322</w:t>
            </w:r>
            <w:r>
              <w:rPr>
                <w:rFonts w:hint="default" w:ascii="Times New Roman" w:hAnsi="Times New Roman" w:cs="Times New Roman"/>
                <w:color w:val="000000" w:themeColor="text1"/>
                <w:highlight w:val="none"/>
                <w:lang w:val="en-US" w:eastAsia="zh-CN"/>
                <w14:textFill>
                  <w14:solidFill>
                    <w14:schemeClr w14:val="tx1"/>
                  </w14:solidFill>
                </w14:textFill>
              </w:rPr>
              <w:t>t/a、NO</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x</w:t>
            </w:r>
            <w:r>
              <w:rPr>
                <w:rFonts w:hint="eastAsia" w:ascii="Times New Roman" w:hAnsi="Times New Roman" w:cs="Times New Roman"/>
                <w:color w:val="000000" w:themeColor="text1"/>
                <w:highlight w:val="none"/>
                <w:lang w:val="en-US" w:eastAsia="zh-CN"/>
                <w14:textFill>
                  <w14:solidFill>
                    <w14:schemeClr w14:val="tx1"/>
                  </w14:solidFill>
                </w14:textFill>
              </w:rPr>
              <w:t>0.</w:t>
            </w:r>
            <w:r>
              <w:rPr>
                <w:rFonts w:hint="eastAsia" w:cs="Times New Roman"/>
                <w:color w:val="000000" w:themeColor="text1"/>
                <w:highlight w:val="none"/>
                <w:lang w:val="en-US" w:eastAsia="zh-CN"/>
                <w14:textFill>
                  <w14:solidFill>
                    <w14:schemeClr w14:val="tx1"/>
                  </w14:solidFill>
                </w14:textFill>
              </w:rPr>
              <w:t>6989</w:t>
            </w:r>
            <w:r>
              <w:rPr>
                <w:rFonts w:hint="default" w:ascii="Times New Roman" w:hAnsi="Times New Roman" w:cs="Times New Roman"/>
                <w:color w:val="000000" w:themeColor="text1"/>
                <w:highlight w:val="none"/>
                <w:lang w:val="en-US" w:eastAsia="zh-CN"/>
                <w14:textFill>
                  <w14:solidFill>
                    <w14:schemeClr w14:val="tx1"/>
                  </w14:solidFill>
                </w14:textFill>
              </w:rPr>
              <w:t>t/a。</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bCs/>
                <w:color w:val="000000" w:themeColor="text1"/>
                <w:kern w:val="0"/>
                <w:szCs w:val="21"/>
                <w:lang w:eastAsia="zh-CN"/>
                <w14:textFill>
                  <w14:solidFill>
                    <w14:schemeClr w14:val="tx1"/>
                  </w14:solidFill>
                </w14:textFill>
              </w:rPr>
            </w:pPr>
            <w:r>
              <w:rPr>
                <w:rFonts w:hint="default" w:ascii="Times New Roman" w:hAnsi="Times New Roman" w:cs="Times New Roman"/>
                <w:bCs/>
                <w:color w:val="000000" w:themeColor="text1"/>
                <w:kern w:val="0"/>
                <w:szCs w:val="21"/>
                <w:lang w:eastAsia="zh-CN"/>
                <w14:textFill>
                  <w14:solidFill>
                    <w14:schemeClr w14:val="tx1"/>
                  </w14:solidFill>
                </w14:textFill>
              </w:rPr>
              <w:t>本次扩建</w:t>
            </w:r>
            <w:r>
              <w:rPr>
                <w:rFonts w:hint="eastAsia" w:cs="Times New Roman"/>
                <w:bCs/>
                <w:color w:val="000000" w:themeColor="text1"/>
                <w:kern w:val="0"/>
                <w:szCs w:val="21"/>
                <w:lang w:eastAsia="zh-CN"/>
                <w14:textFill>
                  <w14:solidFill>
                    <w14:schemeClr w14:val="tx1"/>
                  </w14:solidFill>
                </w14:textFill>
              </w:rPr>
              <w:t>后全厂</w:t>
            </w:r>
            <w:r>
              <w:rPr>
                <w:rFonts w:hint="default" w:ascii="Times New Roman" w:hAnsi="Times New Roman" w:cs="Times New Roman"/>
                <w:bCs/>
                <w:color w:val="000000" w:themeColor="text1"/>
                <w:kern w:val="0"/>
                <w:szCs w:val="21"/>
                <w:lang w:eastAsia="zh-CN"/>
                <w14:textFill>
                  <w14:solidFill>
                    <w14:schemeClr w14:val="tx1"/>
                  </w14:solidFill>
                </w14:textFill>
              </w:rPr>
              <w:t>污染物</w:t>
            </w:r>
            <w:r>
              <w:rPr>
                <w:rFonts w:hint="eastAsia" w:cs="Times New Roman"/>
                <w:bCs/>
                <w:color w:val="000000" w:themeColor="text1"/>
                <w:kern w:val="0"/>
                <w:szCs w:val="21"/>
                <w:lang w:eastAsia="zh-CN"/>
                <w14:textFill>
                  <w14:solidFill>
                    <w14:schemeClr w14:val="tx1"/>
                  </w14:solidFill>
                </w14:textFill>
              </w:rPr>
              <w:t>“三笔账”</w:t>
            </w:r>
            <w:r>
              <w:rPr>
                <w:rFonts w:hint="default" w:ascii="Times New Roman" w:hAnsi="Times New Roman" w:cs="Times New Roman"/>
                <w:bCs/>
                <w:color w:val="000000" w:themeColor="text1"/>
                <w:kern w:val="0"/>
                <w:szCs w:val="21"/>
                <w:lang w:eastAsia="zh-CN"/>
                <w14:textFill>
                  <w14:solidFill>
                    <w14:schemeClr w14:val="tx1"/>
                  </w14:solidFill>
                </w14:textFill>
              </w:rPr>
              <w:t>排放情况如下：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扩建前后污染物排放情况</w:t>
            </w:r>
          </w:p>
          <w:tbl>
            <w:tblPr>
              <w:tblStyle w:val="21"/>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28" w:type="dxa"/>
                <w:left w:w="57" w:type="dxa"/>
                <w:bottom w:w="28" w:type="dxa"/>
                <w:right w:w="57" w:type="dxa"/>
              </w:tblCellMar>
            </w:tblPr>
            <w:tblGrid>
              <w:gridCol w:w="590"/>
              <w:gridCol w:w="1828"/>
              <w:gridCol w:w="1110"/>
              <w:gridCol w:w="1110"/>
              <w:gridCol w:w="1110"/>
              <w:gridCol w:w="1110"/>
              <w:gridCol w:w="111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57" w:type="dxa"/>
                  <w:bottom w:w="28" w:type="dxa"/>
                  <w:right w:w="57" w:type="dxa"/>
                </w:tblCellMar>
              </w:tblPrEx>
              <w:trPr>
                <w:trHeight w:val="397" w:hRule="atLeast"/>
                <w:jc w:val="center"/>
              </w:trPr>
              <w:tc>
                <w:tcPr>
                  <w:tcW w:w="370" w:type="pct"/>
                  <w:noWrap w:val="0"/>
                  <w:tcMar>
                    <w:left w:w="28" w:type="dxa"/>
                    <w:right w:w="28" w:type="dxa"/>
                  </w:tcMar>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t>项目</w:t>
                  </w:r>
                </w:p>
              </w:tc>
              <w:tc>
                <w:tcPr>
                  <w:tcW w:w="1146" w:type="pct"/>
                  <w:noWrap w:val="0"/>
                  <w:tcMar>
                    <w:left w:w="28" w:type="dxa"/>
                    <w:right w:w="28" w:type="dxa"/>
                  </w:tcMar>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t>污染物</w:t>
                  </w:r>
                </w:p>
              </w:tc>
              <w:tc>
                <w:tcPr>
                  <w:tcW w:w="696" w:type="pct"/>
                  <w:noWrap w:val="0"/>
                  <w:tcMar>
                    <w:left w:w="28" w:type="dxa"/>
                    <w:right w:w="28" w:type="dxa"/>
                  </w:tcMar>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t>现有工程</w:t>
                  </w:r>
                </w:p>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t>排放量</w:t>
                  </w:r>
                </w:p>
              </w:tc>
              <w:tc>
                <w:tcPr>
                  <w:tcW w:w="696" w:type="pct"/>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t>本次工程</w:t>
                  </w:r>
                </w:p>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t>排放量</w:t>
                  </w:r>
                </w:p>
              </w:tc>
              <w:tc>
                <w:tcPr>
                  <w:tcW w:w="696" w:type="pct"/>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t>以新带老</w:t>
                  </w:r>
                </w:p>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t>削减量</w:t>
                  </w:r>
                </w:p>
              </w:tc>
              <w:tc>
                <w:tcPr>
                  <w:tcW w:w="696" w:type="pct"/>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t>全厂最终</w:t>
                  </w:r>
                </w:p>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t>排放量</w:t>
                  </w:r>
                </w:p>
              </w:tc>
              <w:tc>
                <w:tcPr>
                  <w:tcW w:w="698" w:type="pct"/>
                  <w:noWrap w:val="0"/>
                  <w:tcMar>
                    <w:left w:w="28" w:type="dxa"/>
                    <w:right w:w="28" w:type="dxa"/>
                  </w:tcMar>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t>排放</w:t>
                  </w:r>
                </w:p>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t>增减量</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jc w:val="center"/>
              </w:trPr>
              <w:tc>
                <w:tcPr>
                  <w:tcW w:w="370" w:type="pct"/>
                  <w:vMerge w:val="restart"/>
                  <w:noWrap w:val="0"/>
                  <w:tcMar>
                    <w:left w:w="28" w:type="dxa"/>
                    <w:right w:w="28" w:type="dxa"/>
                  </w:tcMar>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t>废水</w:t>
                  </w:r>
                </w:p>
              </w:tc>
              <w:tc>
                <w:tcPr>
                  <w:tcW w:w="1146" w:type="pct"/>
                  <w:noWrap w:val="0"/>
                  <w:tcMar>
                    <w:left w:w="28" w:type="dxa"/>
                    <w:right w:w="28" w:type="dxa"/>
                  </w:tcMar>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t>COD（t/a）</w:t>
                  </w:r>
                </w:p>
              </w:tc>
              <w:tc>
                <w:tcPr>
                  <w:tcW w:w="696" w:type="pct"/>
                  <w:noWrap w:val="0"/>
                  <w:tcMar>
                    <w:left w:w="28" w:type="dxa"/>
                    <w:right w:w="28" w:type="dxa"/>
                  </w:tcMar>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18"/>
                      <w:szCs w:val="18"/>
                      <w:highlight w:val="none"/>
                      <w:lang w:val="en-US" w:eastAsia="zh-CN" w:bidi="ar-SA"/>
                      <w14:textFill>
                        <w14:solidFill>
                          <w14:schemeClr w14:val="tx1"/>
                        </w14:solidFill>
                      </w14:textFill>
                    </w:rPr>
                    <w:t>0.0154</w:t>
                  </w:r>
                </w:p>
              </w:tc>
              <w:tc>
                <w:tcPr>
                  <w:tcW w:w="696" w:type="pct"/>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18"/>
                      <w:szCs w:val="18"/>
                      <w:highlight w:val="none"/>
                      <w:lang w:val="en-US" w:eastAsia="zh-CN" w:bidi="ar-SA"/>
                      <w14:textFill>
                        <w14:solidFill>
                          <w14:schemeClr w14:val="tx1"/>
                        </w14:solidFill>
                      </w14:textFill>
                    </w:rPr>
                    <w:t>0.0077</w:t>
                  </w:r>
                </w:p>
              </w:tc>
              <w:tc>
                <w:tcPr>
                  <w:tcW w:w="696" w:type="pct"/>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18"/>
                      <w:szCs w:val="18"/>
                      <w:highlight w:val="none"/>
                      <w:lang w:val="en-US" w:eastAsia="zh-CN" w:bidi="ar-SA"/>
                      <w14:textFill>
                        <w14:solidFill>
                          <w14:schemeClr w14:val="tx1"/>
                        </w14:solidFill>
                      </w14:textFill>
                    </w:rPr>
                    <w:t>0</w:t>
                  </w:r>
                </w:p>
              </w:tc>
              <w:tc>
                <w:tcPr>
                  <w:tcW w:w="696" w:type="pct"/>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18"/>
                      <w:szCs w:val="18"/>
                      <w:highlight w:val="none"/>
                      <w:lang w:val="en-US" w:eastAsia="zh-CN" w:bidi="ar-SA"/>
                      <w14:textFill>
                        <w14:solidFill>
                          <w14:schemeClr w14:val="tx1"/>
                        </w14:solidFill>
                      </w14:textFill>
                    </w:rPr>
                    <w:t>0.0231</w:t>
                  </w:r>
                </w:p>
              </w:tc>
              <w:tc>
                <w:tcPr>
                  <w:tcW w:w="698" w:type="pct"/>
                  <w:noWrap w:val="0"/>
                  <w:tcMar>
                    <w:left w:w="28" w:type="dxa"/>
                    <w:right w:w="28" w:type="dxa"/>
                  </w:tcMar>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18"/>
                      <w:szCs w:val="18"/>
                      <w:highlight w:val="none"/>
                      <w:lang w:val="en-US" w:eastAsia="zh-CN" w:bidi="ar-SA"/>
                      <w14:textFill>
                        <w14:solidFill>
                          <w14:schemeClr w14:val="tx1"/>
                        </w14:solidFill>
                      </w14:textFill>
                    </w:rPr>
                    <w:t>+0.0077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57" w:type="dxa"/>
                  <w:bottom w:w="28" w:type="dxa"/>
                  <w:right w:w="57" w:type="dxa"/>
                </w:tblCellMar>
              </w:tblPrEx>
              <w:trPr>
                <w:trHeight w:val="397" w:hRule="atLeast"/>
                <w:jc w:val="center"/>
              </w:trPr>
              <w:tc>
                <w:tcPr>
                  <w:tcW w:w="370" w:type="pct"/>
                  <w:vMerge w:val="continue"/>
                  <w:noWrap w:val="0"/>
                  <w:tcMar>
                    <w:left w:w="28" w:type="dxa"/>
                    <w:right w:w="28" w:type="dxa"/>
                  </w:tcMar>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pPr>
                </w:p>
              </w:tc>
              <w:tc>
                <w:tcPr>
                  <w:tcW w:w="1146" w:type="pct"/>
                  <w:noWrap w:val="0"/>
                  <w:tcMar>
                    <w:left w:w="28" w:type="dxa"/>
                    <w:right w:w="28" w:type="dxa"/>
                  </w:tcMar>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t>NH</w:t>
                  </w:r>
                  <w:r>
                    <w:rPr>
                      <w:rFonts w:hint="default" w:ascii="Times New Roman" w:hAnsi="Times New Roman" w:cs="Times New Roman"/>
                      <w:bCs/>
                      <w:color w:val="000000" w:themeColor="text1"/>
                      <w:sz w:val="18"/>
                      <w:szCs w:val="18"/>
                      <w:highlight w:val="none"/>
                      <w:vertAlign w:val="subscript"/>
                      <w:lang w:val="en-US" w:eastAsia="zh-CN"/>
                      <w14:textFill>
                        <w14:solidFill>
                          <w14:schemeClr w14:val="tx1"/>
                        </w14:solidFill>
                      </w14:textFill>
                    </w:rPr>
                    <w:t>3</w:t>
                  </w:r>
                  <w:r>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t>-N</w:t>
                  </w:r>
                  <w: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t>（t/a）</w:t>
                  </w:r>
                </w:p>
              </w:tc>
              <w:tc>
                <w:tcPr>
                  <w:tcW w:w="696" w:type="pct"/>
                  <w:noWrap w:val="0"/>
                  <w:tcMar>
                    <w:left w:w="28" w:type="dxa"/>
                    <w:right w:w="28" w:type="dxa"/>
                  </w:tcMar>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18"/>
                      <w:szCs w:val="18"/>
                      <w:highlight w:val="none"/>
                      <w:lang w:val="en-US" w:eastAsia="zh-CN" w:bidi="ar-SA"/>
                      <w14:textFill>
                        <w14:solidFill>
                          <w14:schemeClr w14:val="tx1"/>
                        </w14:solidFill>
                      </w14:textFill>
                    </w:rPr>
                    <w:t>0.0008</w:t>
                  </w:r>
                </w:p>
              </w:tc>
              <w:tc>
                <w:tcPr>
                  <w:tcW w:w="696" w:type="pct"/>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18"/>
                      <w:szCs w:val="18"/>
                      <w:highlight w:val="none"/>
                      <w:lang w:val="en-US" w:eastAsia="zh-CN" w:bidi="ar-SA"/>
                      <w14:textFill>
                        <w14:solidFill>
                          <w14:schemeClr w14:val="tx1"/>
                        </w14:solidFill>
                      </w14:textFill>
                    </w:rPr>
                    <w:t>0.0004</w:t>
                  </w:r>
                </w:p>
              </w:tc>
              <w:tc>
                <w:tcPr>
                  <w:tcW w:w="696" w:type="pct"/>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18"/>
                      <w:szCs w:val="18"/>
                      <w:highlight w:val="none"/>
                      <w:lang w:val="en-US" w:eastAsia="zh-CN" w:bidi="ar-SA"/>
                      <w14:textFill>
                        <w14:solidFill>
                          <w14:schemeClr w14:val="tx1"/>
                        </w14:solidFill>
                      </w14:textFill>
                    </w:rPr>
                    <w:t>0</w:t>
                  </w:r>
                </w:p>
              </w:tc>
              <w:tc>
                <w:tcPr>
                  <w:tcW w:w="696" w:type="pct"/>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18"/>
                      <w:szCs w:val="18"/>
                      <w:highlight w:val="none"/>
                      <w:lang w:val="en-US" w:eastAsia="zh-CN" w:bidi="ar-SA"/>
                      <w14:textFill>
                        <w14:solidFill>
                          <w14:schemeClr w14:val="tx1"/>
                        </w14:solidFill>
                      </w14:textFill>
                    </w:rPr>
                    <w:t>0.0012</w:t>
                  </w:r>
                </w:p>
              </w:tc>
              <w:tc>
                <w:tcPr>
                  <w:tcW w:w="698" w:type="pct"/>
                  <w:noWrap w:val="0"/>
                  <w:tcMar>
                    <w:left w:w="28" w:type="dxa"/>
                    <w:right w:w="28" w:type="dxa"/>
                  </w:tcMar>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18"/>
                      <w:szCs w:val="18"/>
                      <w:highlight w:val="none"/>
                      <w:lang w:val="en-US" w:eastAsia="zh-CN" w:bidi="ar-SA"/>
                      <w14:textFill>
                        <w14:solidFill>
                          <w14:schemeClr w14:val="tx1"/>
                        </w14:solidFill>
                      </w14:textFill>
                    </w:rPr>
                    <w:t>+0.0004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57" w:type="dxa"/>
                  <w:bottom w:w="28" w:type="dxa"/>
                  <w:right w:w="57" w:type="dxa"/>
                </w:tblCellMar>
              </w:tblPrEx>
              <w:trPr>
                <w:trHeight w:val="397" w:hRule="atLeast"/>
                <w:jc w:val="center"/>
              </w:trPr>
              <w:tc>
                <w:tcPr>
                  <w:tcW w:w="370" w:type="pct"/>
                  <w:vMerge w:val="restart"/>
                  <w:noWrap w:val="0"/>
                  <w:tcMar>
                    <w:left w:w="28" w:type="dxa"/>
                    <w:right w:w="28" w:type="dxa"/>
                  </w:tcMar>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t>废气</w:t>
                  </w:r>
                </w:p>
              </w:tc>
              <w:tc>
                <w:tcPr>
                  <w:tcW w:w="1146" w:type="pct"/>
                  <w:noWrap w:val="0"/>
                  <w:tcMar>
                    <w:left w:w="28" w:type="dxa"/>
                    <w:right w:w="28" w:type="dxa"/>
                  </w:tcMar>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t>颗粒物（t/a）</w:t>
                  </w:r>
                </w:p>
              </w:tc>
              <w:tc>
                <w:tcPr>
                  <w:tcW w:w="696" w:type="pct"/>
                  <w:noWrap w:val="0"/>
                  <w:tcMar>
                    <w:left w:w="28" w:type="dxa"/>
                    <w:right w:w="28" w:type="dxa"/>
                  </w:tcMar>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val="0"/>
                      <w:color w:val="000000" w:themeColor="text1"/>
                      <w:kern w:val="2"/>
                      <w:sz w:val="18"/>
                      <w:szCs w:val="18"/>
                      <w:highlight w:val="none"/>
                      <w:u w:val="single"/>
                      <w:lang w:val="en-US" w:eastAsia="zh-CN" w:bidi="ar-SA"/>
                      <w14:textFill>
                        <w14:solidFill>
                          <w14:schemeClr w14:val="tx1"/>
                        </w14:solidFill>
                      </w14:textFill>
                    </w:rPr>
                  </w:pPr>
                  <w:r>
                    <w:rPr>
                      <w:rFonts w:hint="eastAsia" w:cs="Times New Roman"/>
                      <w:b/>
                      <w:bCs w:val="0"/>
                      <w:color w:val="000000" w:themeColor="text1"/>
                      <w:kern w:val="2"/>
                      <w:sz w:val="18"/>
                      <w:szCs w:val="18"/>
                      <w:highlight w:val="none"/>
                      <w:u w:val="single"/>
                      <w:lang w:val="en-US" w:eastAsia="zh-CN" w:bidi="ar-SA"/>
                      <w14:textFill>
                        <w14:solidFill>
                          <w14:schemeClr w14:val="tx1"/>
                        </w14:solidFill>
                      </w14:textFill>
                    </w:rPr>
                    <w:t>0.2046</w:t>
                  </w:r>
                </w:p>
              </w:tc>
              <w:tc>
                <w:tcPr>
                  <w:tcW w:w="696" w:type="pct"/>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eastAsia" w:ascii="Times New Roman" w:cs="Times New Roman"/>
                      <w:bCs/>
                      <w:color w:val="000000" w:themeColor="text1"/>
                      <w:kern w:val="2"/>
                      <w:sz w:val="18"/>
                      <w:szCs w:val="18"/>
                      <w:highlight w:val="none"/>
                      <w:lang w:val="en-US" w:eastAsia="zh-CN" w:bidi="ar-SA"/>
                      <w14:textFill>
                        <w14:solidFill>
                          <w14:schemeClr w14:val="tx1"/>
                        </w14:solidFill>
                      </w14:textFill>
                    </w:rPr>
                    <w:t>0.2735</w:t>
                  </w:r>
                </w:p>
              </w:tc>
              <w:tc>
                <w:tcPr>
                  <w:tcW w:w="696" w:type="pct"/>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val="0"/>
                      <w:color w:val="000000" w:themeColor="text1"/>
                      <w:kern w:val="2"/>
                      <w:sz w:val="18"/>
                      <w:szCs w:val="18"/>
                      <w:highlight w:val="none"/>
                      <w:u w:val="single"/>
                      <w:lang w:val="en-US" w:eastAsia="zh-CN" w:bidi="ar-SA"/>
                      <w14:textFill>
                        <w14:solidFill>
                          <w14:schemeClr w14:val="tx1"/>
                        </w14:solidFill>
                      </w14:textFill>
                    </w:rPr>
                  </w:pPr>
                  <w:r>
                    <w:rPr>
                      <w:rFonts w:hint="eastAsia" w:ascii="Times New Roman" w:hAnsi="Times New Roman" w:cs="Times New Roman"/>
                      <w:b/>
                      <w:bCs w:val="0"/>
                      <w:color w:val="000000" w:themeColor="text1"/>
                      <w:kern w:val="2"/>
                      <w:sz w:val="18"/>
                      <w:szCs w:val="18"/>
                      <w:highlight w:val="none"/>
                      <w:u w:val="single"/>
                      <w:lang w:val="en-US" w:eastAsia="zh-CN" w:bidi="ar-SA"/>
                      <w14:textFill>
                        <w14:solidFill>
                          <w14:schemeClr w14:val="tx1"/>
                        </w14:solidFill>
                      </w14:textFill>
                    </w:rPr>
                    <w:t>0</w:t>
                  </w:r>
                </w:p>
              </w:tc>
              <w:tc>
                <w:tcPr>
                  <w:tcW w:w="696" w:type="pct"/>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eastAsia" w:ascii="Times New Roman" w:cs="Times New Roman"/>
                      <w:bCs/>
                      <w:color w:val="000000" w:themeColor="text1"/>
                      <w:kern w:val="2"/>
                      <w:sz w:val="18"/>
                      <w:szCs w:val="18"/>
                      <w:highlight w:val="none"/>
                      <w:lang w:val="en-US" w:eastAsia="zh-CN" w:bidi="ar-SA"/>
                      <w14:textFill>
                        <w14:solidFill>
                          <w14:schemeClr w14:val="tx1"/>
                        </w14:solidFill>
                      </w14:textFill>
                    </w:rPr>
                    <w:t>0.4781</w:t>
                  </w:r>
                </w:p>
              </w:tc>
              <w:tc>
                <w:tcPr>
                  <w:tcW w:w="698" w:type="pct"/>
                  <w:noWrap w:val="0"/>
                  <w:tcMar>
                    <w:left w:w="28" w:type="dxa"/>
                    <w:right w:w="28" w:type="dxa"/>
                  </w:tcMar>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eastAsia" w:ascii="Times New Roman" w:cs="Times New Roman"/>
                      <w:bCs/>
                      <w:color w:val="000000" w:themeColor="text1"/>
                      <w:kern w:val="2"/>
                      <w:sz w:val="18"/>
                      <w:szCs w:val="18"/>
                      <w:highlight w:val="none"/>
                      <w:lang w:val="en-US" w:eastAsia="zh-CN" w:bidi="ar-SA"/>
                      <w14:textFill>
                        <w14:solidFill>
                          <w14:schemeClr w14:val="tx1"/>
                        </w14:solidFill>
                      </w14:textFill>
                    </w:rPr>
                    <w:t>+</w:t>
                  </w:r>
                  <w:r>
                    <w:rPr>
                      <w:rFonts w:hint="eastAsia"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t>0.</w:t>
                  </w:r>
                  <w:r>
                    <w:rPr>
                      <w:rFonts w:hint="eastAsia" w:ascii="Times New Roman" w:cs="Times New Roman"/>
                      <w:bCs/>
                      <w:color w:val="000000" w:themeColor="text1"/>
                      <w:kern w:val="2"/>
                      <w:sz w:val="18"/>
                      <w:szCs w:val="18"/>
                      <w:highlight w:val="none"/>
                      <w:lang w:val="en-US" w:eastAsia="zh-CN" w:bidi="ar-SA"/>
                      <w14:textFill>
                        <w14:solidFill>
                          <w14:schemeClr w14:val="tx1"/>
                        </w14:solidFill>
                      </w14:textFill>
                    </w:rPr>
                    <w:t>2735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57" w:type="dxa"/>
                  <w:bottom w:w="28" w:type="dxa"/>
                  <w:right w:w="57" w:type="dxa"/>
                </w:tblCellMar>
              </w:tblPrEx>
              <w:trPr>
                <w:trHeight w:val="397" w:hRule="atLeast"/>
                <w:jc w:val="center"/>
              </w:trPr>
              <w:tc>
                <w:tcPr>
                  <w:tcW w:w="370" w:type="pct"/>
                  <w:vMerge w:val="continue"/>
                  <w:noWrap w:val="0"/>
                  <w:tcMar>
                    <w:left w:w="28" w:type="dxa"/>
                    <w:right w:w="28" w:type="dxa"/>
                  </w:tcMar>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pPr>
                </w:p>
              </w:tc>
              <w:tc>
                <w:tcPr>
                  <w:tcW w:w="1146" w:type="pct"/>
                  <w:noWrap w:val="0"/>
                  <w:tcMar>
                    <w:left w:w="28" w:type="dxa"/>
                    <w:right w:w="28" w:type="dxa"/>
                  </w:tcMar>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t>SO</w:t>
                  </w:r>
                  <w:r>
                    <w:rPr>
                      <w:rFonts w:hint="default" w:ascii="Times New Roman" w:hAnsi="Times New Roman" w:cs="Times New Roman"/>
                      <w:bCs/>
                      <w:color w:val="000000" w:themeColor="text1"/>
                      <w:sz w:val="18"/>
                      <w:szCs w:val="18"/>
                      <w:highlight w:val="none"/>
                      <w:vertAlign w:val="subscript"/>
                      <w:lang w:val="en-US" w:eastAsia="zh-CN"/>
                      <w14:textFill>
                        <w14:solidFill>
                          <w14:schemeClr w14:val="tx1"/>
                        </w14:solidFill>
                      </w14:textFill>
                    </w:rPr>
                    <w:t>2</w:t>
                  </w:r>
                  <w: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t>（t/a）</w:t>
                  </w:r>
                </w:p>
              </w:tc>
              <w:tc>
                <w:tcPr>
                  <w:tcW w:w="696" w:type="pct"/>
                  <w:noWrap w:val="0"/>
                  <w:tcMar>
                    <w:left w:w="28" w:type="dxa"/>
                    <w:right w:w="28" w:type="dxa"/>
                  </w:tcMar>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val="0"/>
                      <w:color w:val="000000" w:themeColor="text1"/>
                      <w:kern w:val="2"/>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val="0"/>
                      <w:color w:val="000000" w:themeColor="text1"/>
                      <w:kern w:val="2"/>
                      <w:sz w:val="18"/>
                      <w:szCs w:val="18"/>
                      <w:highlight w:val="none"/>
                      <w:u w:val="single"/>
                      <w:lang w:val="en-US" w:eastAsia="zh-CN" w:bidi="ar-SA"/>
                      <w14:textFill>
                        <w14:solidFill>
                          <w14:schemeClr w14:val="tx1"/>
                        </w14:solidFill>
                      </w14:textFill>
                    </w:rPr>
                    <w:t>0.1392</w:t>
                  </w:r>
                </w:p>
              </w:tc>
              <w:tc>
                <w:tcPr>
                  <w:tcW w:w="696" w:type="pct"/>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t>0.1322</w:t>
                  </w:r>
                </w:p>
              </w:tc>
              <w:tc>
                <w:tcPr>
                  <w:tcW w:w="696" w:type="pct"/>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val="0"/>
                      <w:color w:val="000000" w:themeColor="text1"/>
                      <w:kern w:val="2"/>
                      <w:sz w:val="18"/>
                      <w:szCs w:val="18"/>
                      <w:highlight w:val="none"/>
                      <w:u w:val="single"/>
                      <w:lang w:val="en-US" w:eastAsia="zh-CN" w:bidi="ar-SA"/>
                      <w14:textFill>
                        <w14:solidFill>
                          <w14:schemeClr w14:val="tx1"/>
                        </w14:solidFill>
                      </w14:textFill>
                    </w:rPr>
                  </w:pPr>
                  <w:r>
                    <w:rPr>
                      <w:rFonts w:hint="eastAsia" w:ascii="Times New Roman" w:hAnsi="Times New Roman" w:cs="Times New Roman"/>
                      <w:b/>
                      <w:bCs w:val="0"/>
                      <w:color w:val="000000" w:themeColor="text1"/>
                      <w:kern w:val="2"/>
                      <w:sz w:val="18"/>
                      <w:szCs w:val="18"/>
                      <w:highlight w:val="none"/>
                      <w:u w:val="single"/>
                      <w:lang w:val="en-US" w:eastAsia="zh-CN" w:bidi="ar-SA"/>
                      <w14:textFill>
                        <w14:solidFill>
                          <w14:schemeClr w14:val="tx1"/>
                        </w14:solidFill>
                      </w14:textFill>
                    </w:rPr>
                    <w:t>0</w:t>
                  </w:r>
                </w:p>
              </w:tc>
              <w:tc>
                <w:tcPr>
                  <w:tcW w:w="696" w:type="pct"/>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t>0.2714</w:t>
                  </w:r>
                </w:p>
              </w:tc>
              <w:tc>
                <w:tcPr>
                  <w:tcW w:w="698" w:type="pct"/>
                  <w:noWrap w:val="0"/>
                  <w:tcMar>
                    <w:left w:w="28" w:type="dxa"/>
                    <w:right w:w="28" w:type="dxa"/>
                  </w:tcMar>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eastAsia" w:ascii="Times New Roman" w:cs="Times New Roman"/>
                      <w:bCs/>
                      <w:color w:val="000000" w:themeColor="text1"/>
                      <w:kern w:val="2"/>
                      <w:sz w:val="18"/>
                      <w:szCs w:val="18"/>
                      <w:highlight w:val="none"/>
                      <w:lang w:val="en-US" w:eastAsia="zh-CN" w:bidi="ar-SA"/>
                      <w14:textFill>
                        <w14:solidFill>
                          <w14:schemeClr w14:val="tx1"/>
                        </w14:solidFill>
                      </w14:textFill>
                    </w:rPr>
                    <w:t>+</w:t>
                  </w:r>
                  <w:r>
                    <w:rPr>
                      <w:rFonts w:hint="eastAsia"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t>0.1322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57" w:type="dxa"/>
                  <w:bottom w:w="28" w:type="dxa"/>
                  <w:right w:w="57" w:type="dxa"/>
                </w:tblCellMar>
              </w:tblPrEx>
              <w:trPr>
                <w:trHeight w:val="397" w:hRule="atLeast"/>
                <w:jc w:val="center"/>
              </w:trPr>
              <w:tc>
                <w:tcPr>
                  <w:tcW w:w="370" w:type="pct"/>
                  <w:vMerge w:val="continue"/>
                  <w:noWrap w:val="0"/>
                  <w:tcMar>
                    <w:left w:w="28" w:type="dxa"/>
                    <w:right w:w="28" w:type="dxa"/>
                  </w:tcMar>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pPr>
                </w:p>
              </w:tc>
              <w:tc>
                <w:tcPr>
                  <w:tcW w:w="1146" w:type="pct"/>
                  <w:noWrap w:val="0"/>
                  <w:tcMar>
                    <w:left w:w="28" w:type="dxa"/>
                    <w:right w:w="28" w:type="dxa"/>
                  </w:tcMar>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Cs/>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t>NOx</w:t>
                  </w:r>
                  <w:r>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t>（t/a）</w:t>
                  </w:r>
                </w:p>
              </w:tc>
              <w:tc>
                <w:tcPr>
                  <w:tcW w:w="696" w:type="pct"/>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val="0"/>
                      <w:color w:val="000000" w:themeColor="text1"/>
                      <w:kern w:val="2"/>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val="0"/>
                      <w:color w:val="000000" w:themeColor="text1"/>
                      <w:sz w:val="18"/>
                      <w:szCs w:val="18"/>
                      <w:highlight w:val="none"/>
                      <w:u w:val="single"/>
                      <w:lang w:val="en-US" w:eastAsia="zh-CN"/>
                      <w14:textFill>
                        <w14:solidFill>
                          <w14:schemeClr w14:val="tx1"/>
                        </w14:solidFill>
                      </w14:textFill>
                    </w:rPr>
                    <w:t>0.3132</w:t>
                  </w:r>
                </w:p>
              </w:tc>
              <w:tc>
                <w:tcPr>
                  <w:tcW w:w="696" w:type="pct"/>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t>0.6989</w:t>
                  </w:r>
                </w:p>
              </w:tc>
              <w:tc>
                <w:tcPr>
                  <w:tcW w:w="696" w:type="pct"/>
                  <w:noWrap w:val="0"/>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val="0"/>
                      <w:color w:val="000000" w:themeColor="text1"/>
                      <w:kern w:val="2"/>
                      <w:sz w:val="18"/>
                      <w:szCs w:val="18"/>
                      <w:highlight w:val="none"/>
                      <w:u w:val="single"/>
                      <w:lang w:val="en-US" w:eastAsia="zh-CN" w:bidi="ar-SA"/>
                      <w14:textFill>
                        <w14:solidFill>
                          <w14:schemeClr w14:val="tx1"/>
                        </w14:solidFill>
                      </w14:textFill>
                    </w:rPr>
                  </w:pPr>
                  <w:r>
                    <w:rPr>
                      <w:rFonts w:hint="eastAsia" w:ascii="Times New Roman" w:hAnsi="Times New Roman" w:cs="Times New Roman"/>
                      <w:b/>
                      <w:bCs w:val="0"/>
                      <w:color w:val="000000" w:themeColor="text1"/>
                      <w:kern w:val="2"/>
                      <w:sz w:val="18"/>
                      <w:szCs w:val="18"/>
                      <w:highlight w:val="none"/>
                      <w:u w:val="single"/>
                      <w:lang w:val="en-US" w:eastAsia="zh-CN" w:bidi="ar-SA"/>
                      <w14:textFill>
                        <w14:solidFill>
                          <w14:schemeClr w14:val="tx1"/>
                        </w14:solidFill>
                      </w14:textFill>
                    </w:rPr>
                    <w:t>0</w:t>
                  </w:r>
                </w:p>
              </w:tc>
              <w:tc>
                <w:tcPr>
                  <w:tcW w:w="696" w:type="pct"/>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t>1.0121</w:t>
                  </w:r>
                </w:p>
              </w:tc>
              <w:tc>
                <w:tcPr>
                  <w:tcW w:w="698" w:type="pct"/>
                  <w:noWrap w:val="0"/>
                  <w:tcMar>
                    <w:left w:w="28" w:type="dxa"/>
                    <w:right w:w="28" w:type="dxa"/>
                  </w:tcMar>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eastAsia" w:ascii="Times New Roman" w:cs="Times New Roman"/>
                      <w:bCs/>
                      <w:color w:val="000000" w:themeColor="text1"/>
                      <w:kern w:val="2"/>
                      <w:sz w:val="18"/>
                      <w:szCs w:val="18"/>
                      <w:highlight w:val="none"/>
                      <w:lang w:val="en-US" w:eastAsia="zh-CN" w:bidi="ar-SA"/>
                      <w14:textFill>
                        <w14:solidFill>
                          <w14:schemeClr w14:val="tx1"/>
                        </w14:solidFill>
                      </w14:textFill>
                    </w:rPr>
                    <w:t>+</w:t>
                  </w:r>
                  <w:r>
                    <w:rPr>
                      <w:rFonts w:hint="eastAsia"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t>0.6989</w:t>
                  </w:r>
                </w:p>
              </w:tc>
            </w:tr>
          </w:tbl>
          <w:p>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default" w:ascii="Times New Roman" w:hAnsi="Times New Roman" w:eastAsia="宋体" w:cs="Times New Roman"/>
                <w:color w:val="000000" w:themeColor="text1"/>
                <w:kern w:val="0"/>
                <w:szCs w:val="21"/>
                <w:highlight w:val="cyan"/>
                <w:lang w:val="en-US" w:eastAsia="zh-CN"/>
                <w14:textFill>
                  <w14:solidFill>
                    <w14:schemeClr w14:val="tx1"/>
                  </w14:solidFill>
                </w14:textFill>
              </w:rPr>
            </w:pP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 xml:space="preserve"> 该项目新增污染物排放量为：COD0.0077t/a、NH</w:t>
            </w:r>
            <w:r>
              <w:rPr>
                <w:rFonts w:hint="default" w:ascii="Times New Roman" w:hAnsi="Times New Roman" w:cs="Times New Roman"/>
                <w:color w:val="000000" w:themeColor="text1"/>
                <w:kern w:val="0"/>
                <w:szCs w:val="21"/>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-N0.0004t/a、二氧化硫0.1322t/a、氮氧化物0.6989t/a、颗粒物0.2735t/a。COD、氨氮来自平原示范区污水处理厂提标改造产生的减排量剩余量COD10.64186t、氨氮18.3766t；SO</w:t>
            </w:r>
            <w:r>
              <w:rPr>
                <w:rFonts w:hint="default" w:ascii="Times New Roman" w:hAnsi="Times New Roman" w:cs="Times New Roman"/>
                <w:color w:val="000000" w:themeColor="text1"/>
                <w:kern w:val="0"/>
                <w:szCs w:val="21"/>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来自河南众泰纸业有限公司排污许可证注销产生的减排量剩余量1.4t</w:t>
            </w:r>
            <w:r>
              <w:rPr>
                <w:rFonts w:hint="eastAsia" w:cs="Times New Roman"/>
                <w:color w:val="000000" w:themeColor="text1"/>
                <w:kern w:val="0"/>
                <w:szCs w:val="21"/>
                <w:highlight w:val="none"/>
                <w:lang w:val="en-US" w:eastAsia="zh-CN"/>
                <w14:textFill>
                  <w14:solidFill>
                    <w14:schemeClr w14:val="tx1"/>
                  </w14:solidFill>
                </w14:textFill>
              </w:rPr>
              <w:t>，</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氮氧化物来自新乡市恒利源净水剂有限公司排污许可证注销产生的减排量1.35t、河南省科学院应用物理研究所有限公司新乡分公司排污许可证注销产生的减排量0.7902t</w:t>
            </w:r>
            <w:r>
              <w:rPr>
                <w:rFonts w:hint="eastAsia" w:cs="Times New Roman"/>
                <w:color w:val="000000" w:themeColor="text1"/>
                <w:kern w:val="0"/>
                <w:szCs w:val="21"/>
                <w:highlight w:val="none"/>
                <w:lang w:val="en-US" w:eastAsia="zh-CN"/>
                <w14:textFill>
                  <w14:solidFill>
                    <w14:schemeClr w14:val="tx1"/>
                  </w14:solidFill>
                </w14:textFill>
              </w:rPr>
              <w:t>，</w:t>
            </w:r>
            <w:r>
              <w:rPr>
                <w:rFonts w:hint="default" w:ascii="Times New Roman" w:hAnsi="Times New Roman" w:cs="Times New Roman"/>
                <w:color w:val="000000" w:themeColor="text1"/>
                <w:kern w:val="0"/>
                <w:szCs w:val="21"/>
                <w:highlight w:val="none"/>
                <w:lang w:val="en-US" w:eastAsia="zh-CN"/>
                <w14:textFill>
                  <w14:solidFill>
                    <w14:schemeClr w14:val="tx1"/>
                  </w14:solidFill>
                </w14:textFill>
              </w:rPr>
              <w:t>颗粒物来自河南省新乡天泰水泥有限公司无组织排放治理产生的减排量剩余量15.0625t。</w:t>
            </w:r>
            <w:r>
              <w:rPr>
                <w:rFonts w:hint="default" w:ascii="Times New Roman" w:hAnsi="Times New Roman" w:cs="Times New Roman"/>
                <w:color w:val="000000" w:themeColor="text1"/>
                <w:kern w:val="0"/>
                <w:szCs w:val="21"/>
                <w:highlight w:val="cyan"/>
                <w:lang w:val="en-US" w:eastAsia="zh-CN"/>
                <w14:textFill>
                  <w14:solidFill>
                    <w14:schemeClr w14:val="tx1"/>
                  </w14:solidFill>
                </w14:textFill>
              </w:rPr>
              <w:br w:type="textWrapping"/>
            </w:r>
            <w:r>
              <w:rPr>
                <w:rFonts w:hint="default" w:ascii="Times New Roman" w:hAnsi="Times New Roman" w:cs="Times New Roman"/>
                <w:color w:val="000000" w:themeColor="text1"/>
                <w:kern w:val="0"/>
                <w:szCs w:val="21"/>
                <w:highlight w:val="cyan"/>
                <w:lang w:val="en-US" w:eastAsia="zh-CN"/>
                <w14:textFill>
                  <w14:solidFill>
                    <w14:schemeClr w14:val="tx1"/>
                  </w14:solidFill>
                </w14:textFill>
              </w:rPr>
              <w:br w:type="textWrapping"/>
            </w:r>
          </w:p>
        </w:tc>
      </w:tr>
    </w:tbl>
    <w:p>
      <w:pPr>
        <w:pStyle w:val="16"/>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0"/>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pPr>
      <w:r>
        <w:rPr>
          <w:rFonts w:hint="default" w:ascii="Times New Roman" w:hAnsi="Times New Roman" w:eastAsia="黑体" w:cs="Times New Roman"/>
          <w:snapToGrid w:val="0"/>
          <w:color w:val="000000" w:themeColor="text1"/>
          <w:sz w:val="36"/>
          <w:szCs w:val="36"/>
          <w:highlight w:val="cyan"/>
          <w14:textFill>
            <w14:solidFill>
              <w14:schemeClr w14:val="tx1"/>
            </w14:solidFill>
          </w14:textFill>
        </w:rPr>
        <w:br w:type="page"/>
      </w:r>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t>四、主要环境影响和保护措施</w:t>
      </w:r>
    </w:p>
    <w:tbl>
      <w:tblPr>
        <w:tblStyle w:val="2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816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746" w:type="dxa"/>
            <w:noWrap w:val="0"/>
            <w:tcMar>
              <w:left w:w="28" w:type="dxa"/>
              <w:right w:w="28" w:type="dxa"/>
            </w:tcMar>
            <w:vAlign w:val="center"/>
          </w:tcPr>
          <w:p>
            <w:pPr>
              <w:pStyle w:val="16"/>
              <w:keepNext w:val="0"/>
              <w:keepLines w:val="0"/>
              <w:pageBreakBefore w:val="0"/>
              <w:kinsoku/>
              <w:wordWrap/>
              <w:overflowPunct/>
              <w:topLinePunct w:val="0"/>
              <w:autoSpaceDE/>
              <w:autoSpaceDN/>
              <w:bidi w:val="0"/>
              <w:adjustRightInd/>
              <w:snapToGrid/>
              <w:spacing w:before="0" w:beforeAutospacing="0" w:after="0" w:afterAutospacing="0"/>
              <w:ind w:firstLine="0" w:firstLineChars="0"/>
              <w:jc w:val="center"/>
              <w:textAlignment w:val="auto"/>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施工</w:t>
            </w:r>
          </w:p>
          <w:p>
            <w:pPr>
              <w:pStyle w:val="16"/>
              <w:keepNext w:val="0"/>
              <w:keepLines w:val="0"/>
              <w:pageBreakBefore w:val="0"/>
              <w:kinsoku/>
              <w:wordWrap/>
              <w:overflowPunct/>
              <w:topLinePunct w:val="0"/>
              <w:autoSpaceDE/>
              <w:autoSpaceDN/>
              <w:bidi w:val="0"/>
              <w:adjustRightInd/>
              <w:snapToGrid/>
              <w:spacing w:before="0" w:beforeAutospacing="0" w:after="0" w:afterAutospacing="0"/>
              <w:ind w:firstLine="0" w:firstLineChars="0"/>
              <w:jc w:val="center"/>
              <w:textAlignment w:val="auto"/>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期环</w:t>
            </w:r>
          </w:p>
          <w:p>
            <w:pPr>
              <w:pStyle w:val="16"/>
              <w:keepNext w:val="0"/>
              <w:keepLines w:val="0"/>
              <w:pageBreakBefore w:val="0"/>
              <w:kinsoku/>
              <w:wordWrap/>
              <w:overflowPunct/>
              <w:topLinePunct w:val="0"/>
              <w:autoSpaceDE/>
              <w:autoSpaceDN/>
              <w:bidi w:val="0"/>
              <w:adjustRightInd/>
              <w:snapToGrid/>
              <w:spacing w:before="0" w:beforeAutospacing="0" w:after="0" w:afterAutospacing="0"/>
              <w:ind w:firstLine="0" w:firstLineChars="0"/>
              <w:jc w:val="center"/>
              <w:textAlignment w:val="auto"/>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境保</w:t>
            </w:r>
          </w:p>
          <w:p>
            <w:pPr>
              <w:pStyle w:val="16"/>
              <w:keepNext w:val="0"/>
              <w:keepLines w:val="0"/>
              <w:pageBreakBefore w:val="0"/>
              <w:kinsoku/>
              <w:wordWrap/>
              <w:overflowPunct/>
              <w:topLinePunct w:val="0"/>
              <w:autoSpaceDE/>
              <w:autoSpaceDN/>
              <w:bidi w:val="0"/>
              <w:adjustRightInd/>
              <w:snapToGrid/>
              <w:spacing w:before="0" w:beforeAutospacing="0" w:after="0" w:afterAutospacing="0"/>
              <w:ind w:firstLine="0" w:firstLineChars="0"/>
              <w:jc w:val="center"/>
              <w:textAlignment w:val="auto"/>
              <w:rPr>
                <w:rFonts w:hint="default" w:ascii="Times New Roman" w:hAnsi="Times New Roman" w:cs="Times New Roman"/>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护措</w:t>
            </w:r>
          </w:p>
          <w:p>
            <w:pPr>
              <w:pStyle w:val="16"/>
              <w:keepNext w:val="0"/>
              <w:keepLines w:val="0"/>
              <w:pageBreakBefore w:val="0"/>
              <w:kinsoku/>
              <w:wordWrap/>
              <w:overflowPunct/>
              <w:topLinePunct w:val="0"/>
              <w:autoSpaceDE/>
              <w:autoSpaceDN/>
              <w:bidi w:val="0"/>
              <w:adjustRightInd/>
              <w:snapToGrid/>
              <w:spacing w:before="0" w:beforeAutospacing="0" w:after="0" w:afterAutospacing="0"/>
              <w:ind w:firstLine="0" w:firstLineChars="0"/>
              <w:jc w:val="center"/>
              <w:textAlignment w:val="auto"/>
              <w:rPr>
                <w:rFonts w:hint="default" w:ascii="Times New Roman" w:hAnsi="Times New Roman" w:cs="Times New Roman"/>
                <w:bCs/>
                <w:color w:val="000000" w:themeColor="text1"/>
                <w:kern w:val="2"/>
                <w:sz w:val="21"/>
                <w:szCs w:val="21"/>
                <w:highlight w:val="none"/>
                <w14:textFill>
                  <w14:solidFill>
                    <w14:schemeClr w14:val="tx1"/>
                  </w14:solidFill>
                </w14:textFill>
              </w:rPr>
            </w:pPr>
            <w:r>
              <w:rPr>
                <w:rFonts w:hint="default" w:ascii="Times New Roman" w:hAnsi="Times New Roman" w:cs="Times New Roman"/>
                <w:color w:val="000000" w:themeColor="text1"/>
                <w:kern w:val="2"/>
                <w:sz w:val="21"/>
                <w:szCs w:val="21"/>
                <w:highlight w:val="none"/>
                <w14:textFill>
                  <w14:solidFill>
                    <w14:schemeClr w14:val="tx1"/>
                  </w14:solidFill>
                </w14:textFill>
              </w:rPr>
              <w:t>施</w:t>
            </w:r>
          </w:p>
        </w:tc>
        <w:tc>
          <w:tcPr>
            <w:tcW w:w="8162" w:type="dxa"/>
            <w:noWrap w:val="0"/>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项目利用现有的车间、办公房等配套设施进行建设。项目</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后续不再进行大规模土建等施工工程，主要为未安装设备的安装调试以及厂房后续的装修过程产生的施工扬尘、废水、噪声和固废，具体施工期污染防治措施如下：</w:t>
            </w:r>
          </w:p>
          <w:p>
            <w:pPr>
              <w:pStyle w:val="20"/>
              <w:keepNext w:val="0"/>
              <w:keepLines w:val="0"/>
              <w:pageBreakBefore w:val="0"/>
              <w:widowControl w:val="0"/>
              <w:numPr>
                <w:ilvl w:val="0"/>
                <w:numId w:val="14"/>
              </w:numPr>
              <w:kinsoku/>
              <w:wordWrap/>
              <w:overflowPunct/>
              <w:topLinePunct w:val="0"/>
              <w:autoSpaceDE/>
              <w:autoSpaceDN/>
              <w:bidi w:val="0"/>
              <w:adjustRightInd/>
              <w:snapToGrid/>
              <w:spacing w:after="0" w:line="360" w:lineRule="auto"/>
              <w:ind w:left="0" w:leftChars="0" w:firstLine="422" w:firstLineChars="200"/>
              <w:textAlignment w:val="auto"/>
              <w:rPr>
                <w:rFonts w:hint="default" w:ascii="Times New Roman" w:hAnsi="Times New Roman" w:cs="Times New Roman"/>
                <w:b/>
                <w:bCs/>
                <w:color w:val="000000" w:themeColor="text1"/>
                <w:sz w:val="21"/>
                <w:szCs w:val="21"/>
                <w:lang w:val="en-US" w:eastAsia="zh-CN"/>
                <w14:textFill>
                  <w14:solidFill>
                    <w14:schemeClr w14:val="tx1"/>
                  </w14:solidFill>
                </w14:textFill>
              </w:rPr>
            </w:pPr>
            <w:r>
              <w:rPr>
                <w:rFonts w:hint="default" w:ascii="Times New Roman" w:hAnsi="Times New Roman" w:cs="Times New Roman"/>
                <w:b/>
                <w:bCs/>
                <w:color w:val="000000" w:themeColor="text1"/>
                <w:sz w:val="21"/>
                <w:szCs w:val="21"/>
                <w:lang w:val="en-US" w:eastAsia="zh-CN"/>
                <w14:textFill>
                  <w14:solidFill>
                    <w14:schemeClr w14:val="tx1"/>
                  </w14:solidFill>
                </w14:textFill>
              </w:rPr>
              <w:t>施工废气</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施工期扬尘主要包括厂房装修废气和施工运输车辆尾气。</w:t>
            </w:r>
          </w:p>
          <w:p>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0" w:leftChars="0" w:firstLine="420" w:firstLineChars="200"/>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厂房装修废气</w:t>
            </w:r>
          </w:p>
          <w:p>
            <w:pPr>
              <w:pStyle w:val="2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厂房装修废气主要为装修用的人造板材、墙纸、涂料油漆等会在室内长期释放出大量的甲醛、挥发性有机物等有害污染。装修阶段的废气排放周期短，且作业点分散，评价要求建设单位施工过程优先使用环保材料进行装修，并勤开窗通风。建设单位在施工装修期间采取了上述措施后，其产生的废气能够得到有效控制，不会对周围的大气环境造成明显的影响。</w:t>
            </w:r>
          </w:p>
          <w:p>
            <w:pPr>
              <w:pStyle w:val="20"/>
              <w:keepNext w:val="0"/>
              <w:keepLines w:val="0"/>
              <w:pageBreakBefore w:val="0"/>
              <w:widowControl w:val="0"/>
              <w:numPr>
                <w:ilvl w:val="0"/>
                <w:numId w:val="15"/>
              </w:numPr>
              <w:kinsoku/>
              <w:wordWrap/>
              <w:overflowPunct/>
              <w:topLinePunct w:val="0"/>
              <w:autoSpaceDE/>
              <w:autoSpaceDN/>
              <w:bidi w:val="0"/>
              <w:adjustRightInd/>
              <w:snapToGrid/>
              <w:spacing w:after="0" w:line="360" w:lineRule="auto"/>
              <w:ind w:left="0" w:leftChars="0" w:firstLine="420" w:firstLineChars="200"/>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施工运输车辆尾气</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本项目施工阶段生产设备、施工原材料等运输车辆运行将产生车辆尾气，考虑其排放量不大，对周边环境空气质量影响范围及程度较小，只要建设单位做好施工现场的交通组织，避免因施工造成的交通阻塞，也可减少运输车辆怠速产生的废气排放。</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2" w:firstLineChars="200"/>
              <w:textAlignment w:val="auto"/>
              <w:rPr>
                <w:rFonts w:hint="default" w:ascii="Times New Roman" w:hAnsi="Times New Roman" w:cs="Times New Roman"/>
                <w:b/>
                <w:bCs/>
                <w:color w:val="000000" w:themeColor="text1"/>
                <w:sz w:val="21"/>
                <w:szCs w:val="21"/>
                <w:lang w:val="en-US" w:eastAsia="zh-CN"/>
                <w14:textFill>
                  <w14:solidFill>
                    <w14:schemeClr w14:val="tx1"/>
                  </w14:solidFill>
                </w14:textFill>
              </w:rPr>
            </w:pPr>
            <w:r>
              <w:rPr>
                <w:rFonts w:hint="default" w:ascii="Times New Roman" w:hAnsi="Times New Roman" w:cs="Times New Roman"/>
                <w:b/>
                <w:bCs/>
                <w:color w:val="000000" w:themeColor="text1"/>
                <w:sz w:val="21"/>
                <w:szCs w:val="21"/>
                <w:lang w:val="en-US" w:eastAsia="zh-CN"/>
                <w14:textFill>
                  <w14:solidFill>
                    <w14:schemeClr w14:val="tx1"/>
                  </w14:solidFill>
                </w14:textFill>
              </w:rPr>
              <w:t>2、废水</w:t>
            </w:r>
          </w:p>
          <w:p>
            <w:pPr>
              <w:pStyle w:val="2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施工期间废水主要为施工人员生活污水，根据工程施工实际情况，项目施工期间无需设置施工营地，且施工范围较小，施工人员较少，因此产生的施工生活污水量较少，经化粪池进行处理后，通过区域市政污水管网排入新乡县综合污水处理厂进一步处理。不会对周围地表水体噪声影响。</w:t>
            </w:r>
          </w:p>
          <w:p>
            <w:pPr>
              <w:pStyle w:val="2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2" w:firstLineChars="200"/>
              <w:textAlignment w:val="auto"/>
              <w:rPr>
                <w:rFonts w:hint="default" w:ascii="Times New Roman" w:hAnsi="Times New Roman" w:cs="Times New Roman"/>
                <w:b/>
                <w:bCs/>
                <w:color w:val="000000" w:themeColor="text1"/>
                <w:sz w:val="21"/>
                <w:szCs w:val="21"/>
                <w:lang w:val="en-US" w:eastAsia="zh-CN"/>
                <w14:textFill>
                  <w14:solidFill>
                    <w14:schemeClr w14:val="tx1"/>
                  </w14:solidFill>
                </w14:textFill>
              </w:rPr>
            </w:pPr>
            <w:r>
              <w:rPr>
                <w:rFonts w:hint="default" w:ascii="Times New Roman" w:hAnsi="Times New Roman" w:cs="Times New Roman"/>
                <w:b/>
                <w:bCs/>
                <w:color w:val="000000" w:themeColor="text1"/>
                <w:sz w:val="21"/>
                <w:szCs w:val="21"/>
                <w:lang w:val="en-US" w:eastAsia="zh-CN"/>
                <w14:textFill>
                  <w14:solidFill>
                    <w14:schemeClr w14:val="tx1"/>
                  </w14:solidFill>
                </w14:textFill>
              </w:rPr>
              <w:t>3、噪声</w:t>
            </w:r>
          </w:p>
          <w:p>
            <w:pPr>
              <w:keepNext w:val="0"/>
              <w:keepLines w:val="0"/>
              <w:pageBreakBefore w:val="0"/>
              <w:widowControl w:val="0"/>
              <w:numPr>
                <w:ilvl w:val="0"/>
                <w:numId w:val="0"/>
              </w:numPr>
              <w:kinsoku/>
              <w:wordWrap/>
              <w:overflowPunct/>
              <w:topLinePunct w:val="0"/>
              <w:bidi w:val="0"/>
              <w:adjustRightInd/>
              <w:snapToGrid/>
              <w:spacing w:line="360" w:lineRule="auto"/>
              <w:ind w:left="0" w:leftChars="0" w:firstLine="420" w:firstLineChars="200"/>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工程在施工时拟采取以下措施：尽量采用低噪声设备，合理安排施工时间，避免夜间施工，对运输车辆加强管理，压缩施工期的汽车数量及行车密度，控制汽车鸣笛等方式。</w:t>
            </w:r>
          </w:p>
          <w:p>
            <w:pPr>
              <w:keepNext w:val="0"/>
              <w:keepLines w:val="0"/>
              <w:pageBreakBefore w:val="0"/>
              <w:widowControl w:val="0"/>
              <w:numPr>
                <w:ilvl w:val="0"/>
                <w:numId w:val="0"/>
              </w:numPr>
              <w:kinsoku/>
              <w:wordWrap/>
              <w:overflowPunct/>
              <w:topLinePunct w:val="0"/>
              <w:bidi w:val="0"/>
              <w:adjustRightInd/>
              <w:snapToGrid/>
              <w:spacing w:line="360" w:lineRule="auto"/>
              <w:ind w:left="0" w:leftChars="0" w:firstLine="420" w:firstLineChars="200"/>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另外，项目所在地50m范围内没有声环境敏感点，因此项目的施工对声环境不会造成很大影响。在确保采取有效措施对场址施工噪声进行控制后，本项目昼间和夜间的施工噪声对周围环境影响不明显。</w:t>
            </w:r>
          </w:p>
          <w:p>
            <w:pPr>
              <w:keepNext w:val="0"/>
              <w:keepLines w:val="0"/>
              <w:pageBreakBefore w:val="0"/>
              <w:widowControl w:val="0"/>
              <w:numPr>
                <w:ilvl w:val="0"/>
                <w:numId w:val="0"/>
              </w:numPr>
              <w:kinsoku/>
              <w:wordWrap/>
              <w:overflowPunct/>
              <w:topLinePunct w:val="0"/>
              <w:bidi w:val="0"/>
              <w:adjustRightInd/>
              <w:snapToGrid/>
              <w:spacing w:line="360" w:lineRule="auto"/>
              <w:ind w:left="0" w:leftChars="0" w:firstLine="420" w:firstLineChars="200"/>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项目施工期噪声影响是暂时的，在采取相应的管理措施后可减至最低，并将随着施工期的结束而消失。</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2" w:firstLineChars="200"/>
              <w:textAlignment w:val="auto"/>
              <w:rPr>
                <w:rFonts w:hint="default" w:ascii="Times New Roman" w:hAnsi="Times New Roman" w:cs="Times New Roman"/>
                <w:b/>
                <w:bCs/>
                <w:color w:val="000000" w:themeColor="text1"/>
                <w:sz w:val="21"/>
                <w:szCs w:val="21"/>
                <w:lang w:val="en-US" w:eastAsia="zh-CN"/>
                <w14:textFill>
                  <w14:solidFill>
                    <w14:schemeClr w14:val="tx1"/>
                  </w14:solidFill>
                </w14:textFill>
              </w:rPr>
            </w:pPr>
            <w:r>
              <w:rPr>
                <w:rFonts w:hint="default" w:ascii="Times New Roman" w:hAnsi="Times New Roman" w:cs="Times New Roman"/>
                <w:b/>
                <w:bCs/>
                <w:color w:val="000000" w:themeColor="text1"/>
                <w:sz w:val="21"/>
                <w:szCs w:val="21"/>
                <w:lang w:val="en-US" w:eastAsia="zh-CN"/>
                <w14:textFill>
                  <w14:solidFill>
                    <w14:schemeClr w14:val="tx1"/>
                  </w14:solidFill>
                </w14:textFill>
              </w:rPr>
              <w:t>4、固废</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eastAsia="宋体" w:cs="Times New Roman"/>
                <w:bCs/>
                <w:color w:val="000000" w:themeColor="text1"/>
                <w:spacing w:val="-10"/>
                <w:szCs w:val="21"/>
                <w:highlight w:val="cyan"/>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施工期间固废主要废包装材料、废装修材料和生活垃圾，其中废包装材料以塑料薄膜、纸板等为主，废装修材料</w:t>
            </w:r>
            <w:r>
              <w:rPr>
                <w:rFonts w:hint="eastAsia" w:cs="Times New Roman"/>
                <w:color w:val="000000" w:themeColor="text1"/>
                <w:sz w:val="21"/>
                <w:szCs w:val="21"/>
                <w:lang w:val="en-US" w:eastAsia="zh-CN"/>
                <w14:textFill>
                  <w14:solidFill>
                    <w14:schemeClr w14:val="tx1"/>
                  </w14:solidFill>
                </w14:textFill>
              </w:rPr>
              <w:t>以</w:t>
            </w:r>
            <w:r>
              <w:rPr>
                <w:rFonts w:hint="default" w:ascii="Times New Roman" w:hAnsi="Times New Roman" w:cs="Times New Roman"/>
                <w:color w:val="000000" w:themeColor="text1"/>
                <w:sz w:val="21"/>
                <w:szCs w:val="21"/>
                <w:lang w:val="en-US" w:eastAsia="zh-CN"/>
                <w14:textFill>
                  <w14:solidFill>
                    <w14:schemeClr w14:val="tx1"/>
                  </w14:solidFill>
                </w14:textFill>
              </w:rPr>
              <w:t>彩钢板、亚克力板为主，经收集后直接外售至废品回收站，实现资源化利用；生活垃圾经袋装收集后暂存于垃圾收集站，统一交由环卫部门清运处理。采取上述治理措施后，各项固体废物可实现无害化处置或资源化利用，不会对环境造成二次污染。</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746" w:type="dxa"/>
            <w:noWrap w:val="0"/>
            <w:tcMar>
              <w:left w:w="28" w:type="dxa"/>
              <w:right w:w="28" w:type="dxa"/>
            </w:tcMar>
            <w:vAlign w:val="center"/>
          </w:tcPr>
          <w:p>
            <w:pPr>
              <w:keepNext w:val="0"/>
              <w:keepLines w:val="0"/>
              <w:pageBreakBefore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运营</w:t>
            </w:r>
          </w:p>
          <w:p>
            <w:pPr>
              <w:keepNext w:val="0"/>
              <w:keepLines w:val="0"/>
              <w:pageBreakBefore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期环</w:t>
            </w:r>
          </w:p>
          <w:p>
            <w:pPr>
              <w:keepNext w:val="0"/>
              <w:keepLines w:val="0"/>
              <w:pageBreakBefore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境影</w:t>
            </w:r>
          </w:p>
          <w:p>
            <w:pPr>
              <w:keepNext w:val="0"/>
              <w:keepLines w:val="0"/>
              <w:pageBreakBefore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响和</w:t>
            </w:r>
          </w:p>
          <w:p>
            <w:pPr>
              <w:keepNext w:val="0"/>
              <w:keepLines w:val="0"/>
              <w:pageBreakBefore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保护</w:t>
            </w:r>
          </w:p>
          <w:p>
            <w:pPr>
              <w:keepNext w:val="0"/>
              <w:keepLines w:val="0"/>
              <w:pageBreakBefore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措施</w:t>
            </w:r>
          </w:p>
        </w:tc>
        <w:tc>
          <w:tcPr>
            <w:tcW w:w="8162" w:type="dxa"/>
            <w:noWrap w:val="0"/>
            <w:vAlign w:val="center"/>
          </w:tcPr>
          <w:p>
            <w:pPr>
              <w:keepLines w:val="0"/>
              <w:pageBreakBefore w:val="0"/>
              <w:widowControl w:val="0"/>
              <w:numPr>
                <w:ilvl w:val="0"/>
                <w:numId w:val="0"/>
              </w:numPr>
              <w:kinsoku/>
              <w:wordWrap/>
              <w:topLinePunct w:val="0"/>
              <w:autoSpaceDE w:val="0"/>
              <w:autoSpaceDN w:val="0"/>
              <w:bidi w:val="0"/>
              <w:adjustRightInd/>
              <w:snapToGrid/>
              <w:spacing w:line="360" w:lineRule="auto"/>
              <w:ind w:leftChars="0" w:firstLine="422" w:firstLineChars="200"/>
              <w:textAlignment w:val="auto"/>
              <w:rPr>
                <w:rFonts w:hint="default" w:ascii="Times New Roman" w:hAnsi="Times New Roman" w:cs="Times New Roman"/>
                <w:b/>
                <w:color w:val="000000" w:themeColor="text1"/>
                <w:kern w:val="0"/>
                <w:szCs w:val="21"/>
                <w:highlight w:val="none"/>
                <w14:textFill>
                  <w14:solidFill>
                    <w14:schemeClr w14:val="tx1"/>
                  </w14:solidFill>
                </w14:textFill>
              </w:rPr>
            </w:pPr>
            <w:r>
              <w:rPr>
                <w:rFonts w:hint="default" w:ascii="Times New Roman" w:hAnsi="Times New Roman" w:cs="Times New Roman"/>
                <w:b/>
                <w:color w:val="000000" w:themeColor="text1"/>
                <w:kern w:val="0"/>
                <w:szCs w:val="21"/>
                <w:highlight w:val="none"/>
                <w:lang w:val="en-US" w:eastAsia="zh-CN"/>
                <w14:textFill>
                  <w14:solidFill>
                    <w14:schemeClr w14:val="tx1"/>
                  </w14:solidFill>
                </w14:textFill>
              </w:rPr>
              <w:t>1、</w:t>
            </w:r>
            <w:r>
              <w:rPr>
                <w:rFonts w:hint="default" w:ascii="Times New Roman" w:hAnsi="Times New Roman" w:cs="Times New Roman"/>
                <w:b/>
                <w:color w:val="000000" w:themeColor="text1"/>
                <w:kern w:val="0"/>
                <w:szCs w:val="21"/>
                <w:highlight w:val="none"/>
                <w14:textFill>
                  <w14:solidFill>
                    <w14:schemeClr w14:val="tx1"/>
                  </w14:solidFill>
                </w14:textFill>
              </w:rPr>
              <w:t>废气</w:t>
            </w:r>
          </w:p>
          <w:p>
            <w:pPr>
              <w:pStyle w:val="20"/>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本次废气主要为切割工序颗粒物、打磨工序粉尘、焊接工序焊接烟尘和加热炉燃气废气，</w:t>
            </w:r>
            <w:r>
              <w:rPr>
                <w:rFonts w:hint="default" w:ascii="Times New Roman" w:hAnsi="Times New Roman" w:cs="Times New Roman"/>
                <w:bCs/>
                <w:color w:val="000000" w:themeColor="text1"/>
                <w:kern w:val="0"/>
                <w:sz w:val="21"/>
                <w:szCs w:val="21"/>
                <w:highlight w:val="none"/>
                <w14:textFill>
                  <w14:solidFill>
                    <w14:schemeClr w14:val="tx1"/>
                  </w14:solidFill>
                </w14:textFill>
              </w:rPr>
              <w:t>本次评价废气污染物源强的确定方法主</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要根据</w:t>
            </w:r>
            <w:r>
              <w:rPr>
                <w:rFonts w:hint="default" w:ascii="Times New Roman" w:hAnsi="Times New Roman" w:cs="Times New Roman"/>
                <w:b w:val="0"/>
                <w:bCs/>
                <w:color w:val="000000" w:themeColor="text1"/>
                <w:kern w:val="0"/>
                <w:sz w:val="21"/>
                <w:szCs w:val="21"/>
                <w:highlight w:val="none"/>
                <w:lang w:eastAsia="zh-CN"/>
                <w14:textFill>
                  <w14:solidFill>
                    <w14:schemeClr w14:val="tx1"/>
                  </w14:solidFill>
                </w14:textFill>
              </w:rPr>
              <w:t>《工业污染源产排污系数手册》、</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《废气处理工程技术手册》</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及建设单位提供的相关设计资料确定。</w:t>
            </w:r>
          </w:p>
          <w:p>
            <w:pPr>
              <w:keepLines w:val="0"/>
              <w:pageBreakBefore w:val="0"/>
              <w:widowControl w:val="0"/>
              <w:numPr>
                <w:ilvl w:val="0"/>
                <w:numId w:val="16"/>
              </w:numPr>
              <w:kinsoku/>
              <w:wordWrap/>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工艺废气污染源强</w:t>
            </w:r>
            <w:r>
              <w:rPr>
                <w:rFonts w:hint="default" w:ascii="Times New Roman" w:hAnsi="Times New Roman" w:cs="Times New Roman"/>
                <w:b/>
                <w:bCs/>
                <w:color w:val="000000" w:themeColor="text1"/>
                <w:kern w:val="0"/>
                <w:sz w:val="21"/>
                <w:szCs w:val="21"/>
                <w:highlight w:val="none"/>
                <w:lang w:eastAsia="zh-CN"/>
                <w14:textFill>
                  <w14:solidFill>
                    <w14:schemeClr w14:val="tx1"/>
                  </w14:solidFill>
                </w14:textFill>
              </w:rPr>
              <w:t>核算</w:t>
            </w:r>
          </w:p>
          <w:p>
            <w:pPr>
              <w:keepLines w:val="0"/>
              <w:pageBreakBefore w:val="0"/>
              <w:widowControl w:val="0"/>
              <w:numPr>
                <w:ilvl w:val="0"/>
                <w:numId w:val="0"/>
              </w:numPr>
              <w:kinsoku/>
              <w:wordWrap/>
              <w:topLinePunct w:val="0"/>
              <w:autoSpaceDE w:val="0"/>
              <w:autoSpaceDN w:val="0"/>
              <w:bidi w:val="0"/>
              <w:adjustRightInd/>
              <w:snapToGrid/>
              <w:spacing w:line="360" w:lineRule="auto"/>
              <w:ind w:leftChars="200"/>
              <w:textAlignment w:val="auto"/>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fldChar w:fldCharType="begin"/>
            </w: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instrText xml:space="preserve"> = 1 \* GB3 \* MERGEFORMAT </w:instrText>
            </w: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fldChar w:fldCharType="separate"/>
            </w:r>
            <w:r>
              <w:rPr>
                <w:rFonts w:hint="default" w:ascii="Times New Roman" w:hAnsi="Times New Roman" w:cs="Times New Roman"/>
                <w:b/>
                <w:bCs/>
                <w:color w:val="000000" w:themeColor="text1"/>
                <w:kern w:val="0"/>
                <w:sz w:val="21"/>
                <w:szCs w:val="21"/>
                <w:highlight w:val="none"/>
                <w14:textFill>
                  <w14:solidFill>
                    <w14:schemeClr w14:val="tx1"/>
                  </w14:solidFill>
                </w14:textFill>
              </w:rPr>
              <w:t>①</w:t>
            </w: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fldChar w:fldCharType="end"/>
            </w: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下料工序颗粒物</w:t>
            </w:r>
          </w:p>
          <w:p>
            <w:pPr>
              <w:pStyle w:val="2"/>
              <w:keepLines w:val="0"/>
              <w:pageBreakBefore w:val="0"/>
              <w:widowControl w:val="0"/>
              <w:kinsoku/>
              <w:wordWrap/>
              <w:topLinePunct w:val="0"/>
              <w:bidi w:val="0"/>
              <w:adjustRightInd/>
              <w:snapToGrid/>
              <w:spacing w:before="0" w:after="0" w:line="360" w:lineRule="auto"/>
              <w:ind w:left="0" w:leftChars="0" w:firstLine="422" w:firstLineChars="200"/>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源强产生情况：</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工程碳钢板和不锈钢板等原料在使用切割机（砂轮切割方式）、等离子切割机、磁力切割机（火焰切割方式）等设备下料工序会产生一定量颗粒物</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，排污系数参考《排放源统计调查产排污核算方法和系数手册》中33金属制品业中04下料核算环节产污系数，切割工序颗粒物产生情况如下：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切割工序颗粒物源强产生情况汇总</w:t>
            </w:r>
          </w:p>
          <w:tbl>
            <w:tblPr>
              <w:tblStyle w:val="22"/>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60"/>
              <w:gridCol w:w="1335"/>
              <w:gridCol w:w="1335"/>
              <w:gridCol w:w="1827"/>
              <w:gridCol w:w="198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19" w:type="pct"/>
                  <w:tcBorders>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切割设备</w:t>
                  </w:r>
                </w:p>
              </w:tc>
              <w:tc>
                <w:tcPr>
                  <w:tcW w:w="840" w:type="pct"/>
                  <w:tcBorders>
                    <w:right w:val="single" w:color="000000" w:sz="4" w:space="0"/>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切割方式</w:t>
                  </w:r>
                </w:p>
              </w:tc>
              <w:tc>
                <w:tcPr>
                  <w:tcW w:w="840" w:type="pct"/>
                  <w:tcBorders>
                    <w:left w:val="single" w:color="000000" w:sz="4" w:space="0"/>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原料量</w:t>
                  </w:r>
                  <w:r>
                    <w:rPr>
                      <w:rFonts w:hint="eastAsia" w:cs="Times New Roman"/>
                      <w:b w:val="0"/>
                      <w:bCs/>
                      <w:color w:val="000000" w:themeColor="text1"/>
                      <w:sz w:val="18"/>
                      <w:szCs w:val="18"/>
                      <w:highlight w:val="none"/>
                      <w:vertAlign w:val="baseline"/>
                      <w:lang w:val="en-US" w:eastAsia="zh-CN"/>
                      <w14:textFill>
                        <w14:solidFill>
                          <w14:schemeClr w14:val="tx1"/>
                        </w14:solidFill>
                      </w14:textFill>
                    </w:rPr>
                    <w:t>（t/a）</w:t>
                  </w:r>
                </w:p>
              </w:tc>
              <w:tc>
                <w:tcPr>
                  <w:tcW w:w="1148" w:type="pct"/>
                  <w:tcBorders>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产排污系数</w:t>
                  </w:r>
                </w:p>
              </w:tc>
              <w:tc>
                <w:tcPr>
                  <w:tcW w:w="1250" w:type="pct"/>
                  <w:tcBorders>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颗粒物产生量（t/a）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19" w:type="pct"/>
                  <w:tcBorders>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砂轮切割</w:t>
                  </w:r>
                </w:p>
              </w:tc>
              <w:tc>
                <w:tcPr>
                  <w:tcW w:w="840" w:type="pct"/>
                  <w:tcBorders>
                    <w:right w:val="single" w:color="000000" w:sz="4" w:space="0"/>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砂轮切割</w:t>
                  </w:r>
                </w:p>
              </w:tc>
              <w:tc>
                <w:tcPr>
                  <w:tcW w:w="1335" w:type="dxa"/>
                  <w:tcBorders>
                    <w:left w:val="single" w:color="000000" w:sz="4" w:space="0"/>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2730</w:t>
                  </w:r>
                </w:p>
              </w:tc>
              <w:tc>
                <w:tcPr>
                  <w:tcW w:w="1148" w:type="pct"/>
                  <w:tcBorders>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5.3千克/吨-原料</w:t>
                  </w:r>
                </w:p>
              </w:tc>
              <w:tc>
                <w:tcPr>
                  <w:tcW w:w="1986" w:type="dxa"/>
                  <w:tcBorders>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14.469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19" w:type="pct"/>
                  <w:tcBorders>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等离子切割机</w:t>
                  </w:r>
                </w:p>
              </w:tc>
              <w:tc>
                <w:tcPr>
                  <w:tcW w:w="840" w:type="pct"/>
                  <w:tcBorders>
                    <w:right w:val="single" w:color="000000" w:sz="4" w:space="0"/>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等离子切割</w:t>
                  </w:r>
                </w:p>
              </w:tc>
              <w:tc>
                <w:tcPr>
                  <w:tcW w:w="1335" w:type="dxa"/>
                  <w:tcBorders>
                    <w:left w:val="single" w:color="000000" w:sz="4" w:space="0"/>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19110</w:t>
                  </w:r>
                </w:p>
              </w:tc>
              <w:tc>
                <w:tcPr>
                  <w:tcW w:w="1148" w:type="pct"/>
                  <w:tcBorders>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1.1千克/吨-原料</w:t>
                  </w:r>
                </w:p>
              </w:tc>
              <w:tc>
                <w:tcPr>
                  <w:tcW w:w="1986" w:type="dxa"/>
                  <w:tcBorders>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21.021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19" w:type="pct"/>
                  <w:tcBorders>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磁力切割机</w:t>
                  </w:r>
                </w:p>
              </w:tc>
              <w:tc>
                <w:tcPr>
                  <w:tcW w:w="840" w:type="pct"/>
                  <w:tcBorders>
                    <w:right w:val="single" w:color="000000" w:sz="4" w:space="0"/>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火焰切割</w:t>
                  </w:r>
                </w:p>
              </w:tc>
              <w:tc>
                <w:tcPr>
                  <w:tcW w:w="1335" w:type="dxa"/>
                  <w:tcBorders>
                    <w:left w:val="single" w:color="000000" w:sz="4" w:space="0"/>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5460</w:t>
                  </w:r>
                </w:p>
              </w:tc>
              <w:tc>
                <w:tcPr>
                  <w:tcW w:w="1148" w:type="pct"/>
                  <w:tcBorders>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1.5千克/吨-原料</w:t>
                  </w:r>
                </w:p>
              </w:tc>
              <w:tc>
                <w:tcPr>
                  <w:tcW w:w="1986" w:type="dxa"/>
                  <w:tcBorders>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8.19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49" w:type="pct"/>
                  <w:gridSpan w:val="4"/>
                  <w:tcBorders>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合计</w:t>
                  </w:r>
                </w:p>
              </w:tc>
              <w:tc>
                <w:tcPr>
                  <w:tcW w:w="1986" w:type="dxa"/>
                  <w:tcBorders>
                    <w:tl2br w:val="nil"/>
                    <w:tr2bl w:val="nil"/>
                  </w:tcBorders>
                  <w:vAlign w:val="center"/>
                </w:tcPr>
                <w:p>
                  <w:pPr>
                    <w:pStyle w:val="2"/>
                    <w:keepNext/>
                    <w:keepLines w:val="0"/>
                    <w:pageBreakBefore w:val="0"/>
                    <w:widowControl w:val="0"/>
                    <w:kinsoku/>
                    <w:wordWrap/>
                    <w:overflowPunct w:val="0"/>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18"/>
                      <w:szCs w:val="18"/>
                      <w:highlight w:val="none"/>
                      <w:vertAlign w:val="baseline"/>
                      <w:lang w:val="en-US" w:eastAsia="zh-CN"/>
                      <w14:textFill>
                        <w14:solidFill>
                          <w14:schemeClr w14:val="tx1"/>
                        </w14:solidFill>
                      </w14:textFill>
                    </w:rPr>
                    <w:t>43.68</w:t>
                  </w:r>
                </w:p>
              </w:tc>
            </w:tr>
          </w:tbl>
          <w:p>
            <w:pPr>
              <w:keepLines w:val="0"/>
              <w:pageBreakBefore w:val="0"/>
              <w:widowControl w:val="0"/>
              <w:kinsoku/>
              <w:wordWrap/>
              <w:topLinePunct w:val="0"/>
              <w:autoSpaceDE/>
              <w:autoSpaceDN/>
              <w:bidi w:val="0"/>
              <w:adjustRightInd/>
              <w:snapToGrid/>
              <w:spacing w:line="360" w:lineRule="auto"/>
              <w:ind w:leftChars="0" w:firstLine="422" w:firstLineChars="200"/>
              <w:jc w:val="both"/>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收集及治理措施：</w:t>
            </w:r>
            <w:r>
              <w:rPr>
                <w:rFonts w:hint="default" w:ascii="Times New Roman" w:hAnsi="Times New Roman" w:cs="Times New Roman"/>
                <w:color w:val="000000" w:themeColor="text1"/>
                <w:highlight w:val="none"/>
                <w:lang w:val="en-US" w:eastAsia="zh-CN"/>
                <w14:textFill>
                  <w14:solidFill>
                    <w14:schemeClr w14:val="tx1"/>
                  </w14:solidFill>
                </w14:textFill>
              </w:rPr>
              <w:t>根据建设单位提供设计资料，工程下料工序均在设置的二次密闭间进行，并通过在切割机上方或切割设备刀头等设置负压集气装置进行收集，并将废气通入一套共用脉冲袋式除尘器（TA002）进行处理后，经15m高排气筒（DA002）排放。密闭间+负压集气罩集气效率按照</w:t>
            </w:r>
            <w:r>
              <w:rPr>
                <w:rFonts w:hint="eastAsia" w:cs="Times New Roman"/>
                <w:color w:val="000000" w:themeColor="text1"/>
                <w:highlight w:val="none"/>
                <w:lang w:val="en-US" w:eastAsia="zh-CN"/>
                <w14:textFill>
                  <w14:solidFill>
                    <w14:schemeClr w14:val="tx1"/>
                  </w14:solidFill>
                </w14:textFill>
              </w:rPr>
              <w:t>98</w:t>
            </w:r>
            <w:r>
              <w:rPr>
                <w:rFonts w:hint="default" w:ascii="Times New Roman" w:hAnsi="Times New Roman" w:cs="Times New Roman"/>
                <w:color w:val="000000" w:themeColor="text1"/>
                <w:highlight w:val="none"/>
                <w:lang w:val="en-US" w:eastAsia="zh-CN"/>
                <w14:textFill>
                  <w14:solidFill>
                    <w14:schemeClr w14:val="tx1"/>
                  </w14:solidFill>
                </w14:textFill>
              </w:rPr>
              <w:t>%计算，废气收集量约为</w:t>
            </w:r>
            <w:r>
              <w:rPr>
                <w:rFonts w:hint="eastAsia" w:cs="Times New Roman"/>
                <w:color w:val="000000" w:themeColor="text1"/>
                <w:highlight w:val="none"/>
                <w:lang w:val="en-US" w:eastAsia="zh-CN"/>
                <w14:textFill>
                  <w14:solidFill>
                    <w14:schemeClr w14:val="tx1"/>
                  </w14:solidFill>
                </w14:textFill>
              </w:rPr>
              <w:t>10</w:t>
            </w:r>
            <w:r>
              <w:rPr>
                <w:rFonts w:hint="default" w:ascii="Times New Roman" w:hAnsi="Times New Roman" w:cs="Times New Roman"/>
                <w:color w:val="000000" w:themeColor="text1"/>
                <w:highlight w:val="none"/>
                <w:lang w:val="en-US" w:eastAsia="zh-CN"/>
                <w14:textFill>
                  <w14:solidFill>
                    <w14:schemeClr w14:val="tx1"/>
                  </w14:solidFill>
                </w14:textFill>
              </w:rPr>
              <w:t>000m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/h，</w:t>
            </w:r>
            <w:r>
              <w:rPr>
                <w:rFonts w:hint="eastAsia" w:cs="Times New Roman"/>
                <w:color w:val="000000" w:themeColor="text1"/>
                <w:highlight w:val="none"/>
                <w:lang w:val="en-US" w:eastAsia="zh-CN"/>
                <w14:textFill>
                  <w14:solidFill>
                    <w14:schemeClr w14:val="tx1"/>
                  </w14:solidFill>
                </w14:textFill>
              </w:rPr>
              <w:t>下料工序</w:t>
            </w:r>
            <w:r>
              <w:rPr>
                <w:rFonts w:hint="default" w:ascii="Times New Roman" w:hAnsi="Times New Roman" w:cs="Times New Roman"/>
                <w:color w:val="000000" w:themeColor="text1"/>
                <w:highlight w:val="none"/>
                <w:lang w:val="en-US" w:eastAsia="zh-CN"/>
                <w14:textFill>
                  <w14:solidFill>
                    <w14:schemeClr w14:val="tx1"/>
                  </w14:solidFill>
                </w14:textFill>
              </w:rPr>
              <w:t>年工作时间按照</w:t>
            </w:r>
            <w:r>
              <w:rPr>
                <w:rFonts w:hint="eastAsia" w:cs="Times New Roman"/>
                <w:color w:val="000000" w:themeColor="text1"/>
                <w:highlight w:val="none"/>
                <w:lang w:val="en-US" w:eastAsia="zh-CN"/>
                <w14:textFill>
                  <w14:solidFill>
                    <w14:schemeClr w14:val="tx1"/>
                  </w14:solidFill>
                </w14:textFill>
              </w:rPr>
              <w:t>12</w:t>
            </w:r>
            <w:r>
              <w:rPr>
                <w:rFonts w:hint="default" w:ascii="Times New Roman" w:hAnsi="Times New Roman" w:cs="Times New Roman"/>
                <w:color w:val="000000" w:themeColor="text1"/>
                <w:highlight w:val="none"/>
                <w:lang w:val="en-US" w:eastAsia="zh-CN"/>
                <w14:textFill>
                  <w14:solidFill>
                    <w14:schemeClr w14:val="tx1"/>
                  </w14:solidFill>
                </w14:textFill>
              </w:rPr>
              <w:t>00h计算，经计算下料工序有组织颗粒物产生量和产生浓度为</w:t>
            </w:r>
            <w:r>
              <w:rPr>
                <w:rFonts w:hint="eastAsia" w:cs="Times New Roman"/>
                <w:b w:val="0"/>
                <w:bCs/>
                <w:color w:val="000000" w:themeColor="text1"/>
                <w:kern w:val="0"/>
                <w:sz w:val="21"/>
                <w:szCs w:val="21"/>
                <w:highlight w:val="none"/>
                <w:lang w:val="en-US" w:eastAsia="zh-CN" w:bidi="ar-SA"/>
                <w14:textFill>
                  <w14:solidFill>
                    <w14:schemeClr w14:val="tx1"/>
                  </w14:solidFill>
                </w14:textFill>
              </w:rPr>
              <w:t>42.8064</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r>
              <w:rPr>
                <w:rFonts w:hint="default" w:ascii="Times New Roman" w:hAnsi="Times New Roman" w:cs="Times New Roman"/>
                <w:b w:val="0"/>
                <w:bCs/>
                <w:color w:val="000000" w:themeColor="text1"/>
                <w:kern w:val="0"/>
                <w:sz w:val="21"/>
                <w:szCs w:val="21"/>
                <w:highlight w:val="none"/>
                <w:lang w:val="en-US" w:eastAsia="zh-CN" w:bidi="ar-SA"/>
                <w14:textFill>
                  <w14:solidFill>
                    <w14:schemeClr w14:val="tx1"/>
                  </w14:solidFill>
                </w14:textFill>
              </w:rPr>
              <w:t>，</w:t>
            </w:r>
            <w:r>
              <w:rPr>
                <w:rFonts w:hint="eastAsia" w:cs="Times New Roman"/>
                <w:b w:val="0"/>
                <w:bCs/>
                <w:color w:val="000000" w:themeColor="text1"/>
                <w:kern w:val="0"/>
                <w:sz w:val="21"/>
                <w:szCs w:val="21"/>
                <w:highlight w:val="none"/>
                <w:lang w:val="en-US" w:eastAsia="zh-CN" w:bidi="ar-SA"/>
                <w14:textFill>
                  <w14:solidFill>
                    <w14:schemeClr w14:val="tx1"/>
                  </w14:solidFill>
                </w14:textFill>
              </w:rPr>
              <w:t>3567.2</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mg/m</w:t>
            </w:r>
            <w:r>
              <w:rPr>
                <w:rFonts w:hint="default" w:ascii="Times New Roman" w:hAnsi="Times New Roman" w:eastAsia="宋体" w:cs="Times New Roman"/>
                <w:b w:val="0"/>
                <w:bCs/>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。无组织颗粒物排放量为</w:t>
            </w:r>
            <w:r>
              <w:rPr>
                <w:rFonts w:hint="eastAsia" w:cs="Times New Roman"/>
                <w:color w:val="000000" w:themeColor="text1"/>
                <w:highlight w:val="none"/>
                <w:lang w:val="en-US" w:eastAsia="zh-CN"/>
                <w14:textFill>
                  <w14:solidFill>
                    <w14:schemeClr w14:val="tx1"/>
                  </w14:solidFill>
                </w14:textFill>
              </w:rPr>
              <w:t>0.8736</w:t>
            </w:r>
            <w:r>
              <w:rPr>
                <w:rFonts w:hint="default" w:ascii="Times New Roman" w:hAnsi="Times New Roman" w:cs="Times New Roman"/>
                <w:color w:val="000000" w:themeColor="text1"/>
                <w:highlight w:val="none"/>
                <w:lang w:val="en-US" w:eastAsia="zh-CN"/>
                <w14:textFill>
                  <w14:solidFill>
                    <w14:schemeClr w14:val="tx1"/>
                  </w14:solidFill>
                </w14:textFill>
              </w:rPr>
              <w:t>t/a。</w:t>
            </w:r>
          </w:p>
          <w:p>
            <w:pPr>
              <w:pStyle w:val="2"/>
              <w:keepLines w:val="0"/>
              <w:pageBreakBefore w:val="0"/>
              <w:widowControl w:val="0"/>
              <w:kinsoku/>
              <w:wordWrap/>
              <w:topLinePunct w:val="0"/>
              <w:autoSpaceDE/>
              <w:autoSpaceDN/>
              <w:bidi w:val="0"/>
              <w:adjustRightInd/>
              <w:snapToGrid/>
              <w:spacing w:before="0" w:after="0" w:line="360" w:lineRule="auto"/>
              <w:ind w:left="0" w:leftChars="0" w:firstLine="422" w:firstLineChars="200"/>
              <w:jc w:val="both"/>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有组织废气排放情况：</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根据《废气处理工程技术手册》第五章第四节对袋式除尘器的介绍，脉冲袋式除尘器处理效率可达99.9%，经处理后颗粒物排放浓度均为</w:t>
            </w:r>
            <w:r>
              <w:rPr>
                <w:rFonts w:hint="eastAsia" w:cs="Times New Roman"/>
                <w:b w:val="0"/>
                <w:bCs/>
                <w:color w:val="000000" w:themeColor="text1"/>
                <w:kern w:val="0"/>
                <w:sz w:val="21"/>
                <w:szCs w:val="21"/>
                <w:highlight w:val="none"/>
                <w:lang w:val="en-US" w:eastAsia="zh-CN" w:bidi="ar-SA"/>
                <w14:textFill>
                  <w14:solidFill>
                    <w14:schemeClr w14:val="tx1"/>
                  </w14:solidFill>
                </w14:textFill>
              </w:rPr>
              <w:t>3.57</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mg/m</w:t>
            </w:r>
            <w:r>
              <w:rPr>
                <w:rFonts w:hint="default" w:ascii="Times New Roman" w:hAnsi="Times New Roman" w:eastAsia="宋体" w:cs="Times New Roman"/>
                <w:b w:val="0"/>
                <w:bCs/>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，排放速率为</w:t>
            </w:r>
            <w:r>
              <w:rPr>
                <w:rFonts w:hint="eastAsia" w:cs="Times New Roman"/>
                <w:b w:val="0"/>
                <w:bCs/>
                <w:color w:val="000000" w:themeColor="text1"/>
                <w:kern w:val="0"/>
                <w:sz w:val="21"/>
                <w:szCs w:val="21"/>
                <w:highlight w:val="none"/>
                <w:lang w:val="en-US" w:eastAsia="zh-CN" w:bidi="ar-SA"/>
                <w14:textFill>
                  <w14:solidFill>
                    <w14:schemeClr w14:val="tx1"/>
                  </w14:solidFill>
                </w14:textFill>
              </w:rPr>
              <w:t>0.036</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kg/h，排放量为</w:t>
            </w:r>
            <w:r>
              <w:rPr>
                <w:rFonts w:hint="eastAsia" w:cs="Times New Roman"/>
                <w:b w:val="0"/>
                <w:bCs/>
                <w:color w:val="000000" w:themeColor="text1"/>
                <w:kern w:val="0"/>
                <w:sz w:val="21"/>
                <w:szCs w:val="21"/>
                <w:highlight w:val="none"/>
                <w:lang w:val="en-US" w:eastAsia="zh-CN" w:bidi="ar-SA"/>
                <w14:textFill>
                  <w14:solidFill>
                    <w14:schemeClr w14:val="tx1"/>
                  </w14:solidFill>
                </w14:textFill>
              </w:rPr>
              <w:t>0.0428</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t/a，能够满足《大气污染物综合排放标准》（GB16297-1996）标准（最高允许排放浓度120mg/m</w:t>
            </w:r>
            <w:r>
              <w:rPr>
                <w:rFonts w:hint="default" w:ascii="Times New Roman" w:hAnsi="Times New Roman" w:eastAsia="宋体" w:cs="Times New Roman"/>
                <w:b w:val="0"/>
                <w:bCs/>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），同时满足《新乡市生态环境局关于进一步规范工业企业颗粒物排限值的通知》要求（其他工业企业：10mg/m</w:t>
            </w:r>
            <w:r>
              <w:rPr>
                <w:rFonts w:hint="default" w:ascii="Times New Roman" w:hAnsi="Times New Roman" w:eastAsia="宋体" w:cs="Times New Roman"/>
                <w:b w:val="0"/>
                <w:bCs/>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360" w:lineRule="auto"/>
              <w:ind w:leftChars="0" w:firstLine="422" w:firstLineChars="200"/>
              <w:jc w:val="both"/>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无组织废气排放情况：</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工程切割工序配套负压集气措施未收集的颗粒物均以无组织形式排放，根据上述颗粒物</w:t>
            </w:r>
            <w:r>
              <w:rPr>
                <w:rFonts w:hint="default" w:ascii="Times New Roman" w:hAnsi="Times New Roman" w:cs="Times New Roman"/>
                <w:color w:val="000000" w:themeColor="text1"/>
                <w:kern w:val="0"/>
                <w:sz w:val="21"/>
                <w:szCs w:val="21"/>
                <w:highlight w:val="none"/>
                <w14:textFill>
                  <w14:solidFill>
                    <w14:schemeClr w14:val="tx1"/>
                  </w14:solidFill>
                </w14:textFill>
              </w:rPr>
              <w:t>产排分析情况可知</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，无组织颗粒物产生量为</w:t>
            </w:r>
            <w:r>
              <w:rPr>
                <w:rFonts w:hint="eastAsia" w:cs="Times New Roman"/>
                <w:b w:val="0"/>
                <w:bCs w:val="0"/>
                <w:color w:val="000000" w:themeColor="text1"/>
                <w:sz w:val="21"/>
                <w:szCs w:val="21"/>
                <w:highlight w:val="none"/>
                <w:lang w:val="en-US" w:eastAsia="zh-CN"/>
                <w14:textFill>
                  <w14:solidFill>
                    <w14:schemeClr w14:val="tx1"/>
                  </w14:solidFill>
                </w14:textFill>
              </w:rPr>
              <w:t>0.8736</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t/a</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，该部分颗粒物主要为金属颗粒物，比重较大，主要在</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生产</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车间内进行自然沉降</w:t>
            </w:r>
            <w:r>
              <w:rPr>
                <w:rFonts w:hint="eastAsia" w:cs="Times New Roman"/>
                <w:b w:val="0"/>
                <w:bCs w:val="0"/>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根据《</w:t>
            </w:r>
            <w:r>
              <w:rPr>
                <w:rFonts w:hint="default" w:ascii="Times New Roman" w:hAnsi="Times New Roman" w:cs="Times New Roman"/>
                <w:color w:val="000000" w:themeColor="text1"/>
                <w:sz w:val="21"/>
                <w:szCs w:val="21"/>
                <w:highlight w:val="none"/>
                <w:lang w:eastAsia="zh-CN"/>
                <w14:textFill>
                  <w14:solidFill>
                    <w14:schemeClr w14:val="tx1"/>
                  </w14:solidFill>
                </w14:textFill>
              </w:rPr>
              <w:t>逸散性工业粉尘控制技术》，车间阻隔可减少无组织约70%~90%</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项目</w:t>
            </w:r>
            <w:r>
              <w:rPr>
                <w:rFonts w:hint="eastAsia" w:cs="Times New Roman"/>
                <w:b w:val="0"/>
                <w:bCs w:val="0"/>
                <w:color w:val="000000" w:themeColor="text1"/>
                <w:sz w:val="21"/>
                <w:szCs w:val="21"/>
                <w:highlight w:val="none"/>
                <w:lang w:eastAsia="zh-CN"/>
                <w14:textFill>
                  <w14:solidFill>
                    <w14:schemeClr w14:val="tx1"/>
                  </w14:solidFill>
                </w14:textFill>
              </w:rPr>
              <w:t>车间地面均已硬化处理，同时产污工序</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配套设置二次密闭间进行隔离，</w:t>
            </w:r>
            <w:r>
              <w:rPr>
                <w:rFonts w:hint="eastAsia" w:cs="Times New Roman"/>
                <w:b w:val="0"/>
                <w:bCs w:val="0"/>
                <w:color w:val="000000" w:themeColor="text1"/>
                <w:sz w:val="21"/>
                <w:szCs w:val="21"/>
                <w:highlight w:val="none"/>
                <w:lang w:eastAsia="zh-CN"/>
                <w14:textFill>
                  <w14:solidFill>
                    <w14:schemeClr w14:val="tx1"/>
                  </w14:solidFill>
                </w14:textFill>
              </w:rPr>
              <w:t>并要求企业设置</w:t>
            </w:r>
            <w:r>
              <w:rPr>
                <w:rFonts w:hint="default" w:ascii="Times New Roman" w:hAnsi="Times New Roman" w:cs="Times New Roman"/>
                <w:color w:val="000000" w:themeColor="text1"/>
                <w:sz w:val="21"/>
                <w:szCs w:val="21"/>
                <w:highlight w:val="none"/>
                <w:lang w:eastAsia="zh-CN"/>
                <w14:textFill>
                  <w14:solidFill>
                    <w14:schemeClr w14:val="tx1"/>
                  </w14:solidFill>
                </w14:textFill>
              </w:rPr>
              <w:t>喷干雾抑尘装置</w:t>
            </w:r>
            <w:r>
              <w:rPr>
                <w:rFonts w:hint="eastAsia" w:cs="Times New Roman"/>
                <w:color w:val="000000" w:themeColor="text1"/>
                <w:sz w:val="21"/>
                <w:szCs w:val="21"/>
                <w:highlight w:val="none"/>
                <w:lang w:eastAsia="zh-CN"/>
                <w14:textFill>
                  <w14:solidFill>
                    <w14:schemeClr w14:val="tx1"/>
                  </w14:solidFill>
                </w14:textFill>
              </w:rPr>
              <w:t>，在</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日常生产过程对地面</w:t>
            </w:r>
            <w:r>
              <w:rPr>
                <w:rFonts w:hint="eastAsia" w:cs="Times New Roman"/>
                <w:b w:val="0"/>
                <w:bCs w:val="0"/>
                <w:color w:val="000000" w:themeColor="text1"/>
                <w:sz w:val="21"/>
                <w:szCs w:val="21"/>
                <w:highlight w:val="none"/>
                <w:lang w:eastAsia="zh-CN"/>
                <w14:textFill>
                  <w14:solidFill>
                    <w14:schemeClr w14:val="tx1"/>
                  </w14:solidFill>
                </w14:textFill>
              </w:rPr>
              <w:t>时常</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清扫</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eastAsia" w:cs="Times New Roman"/>
                <w:color w:val="000000" w:themeColor="text1"/>
                <w:sz w:val="21"/>
                <w:szCs w:val="21"/>
                <w:highlight w:val="none"/>
                <w:lang w:eastAsia="zh-CN"/>
                <w14:textFill>
                  <w14:solidFill>
                    <w14:schemeClr w14:val="tx1"/>
                  </w14:solidFill>
                </w14:textFill>
              </w:rPr>
              <w:t>通过</w:t>
            </w:r>
            <w:r>
              <w:rPr>
                <w:rFonts w:hint="default" w:ascii="Times New Roman" w:hAnsi="Times New Roman" w:cs="Times New Roman"/>
                <w:color w:val="000000" w:themeColor="text1"/>
                <w:sz w:val="21"/>
                <w:szCs w:val="21"/>
                <w:highlight w:val="none"/>
                <w:lang w:eastAsia="zh-CN"/>
                <w14:textFill>
                  <w14:solidFill>
                    <w14:schemeClr w14:val="tx1"/>
                  </w14:solidFill>
                </w14:textFill>
              </w:rPr>
              <w:t>采取上述措施后无组织粉尘降尘效率</w:t>
            </w:r>
            <w:r>
              <w:rPr>
                <w:rFonts w:hint="default" w:ascii="Times New Roman" w:hAnsi="Times New Roman" w:cs="Times New Roman"/>
                <w:b w:val="0"/>
                <w:bCs w:val="0"/>
                <w:color w:val="000000" w:themeColor="text1"/>
                <w:sz w:val="21"/>
                <w:szCs w:val="21"/>
                <w:highlight w:val="none"/>
                <w:u w:val="none"/>
                <w:lang w:eastAsia="zh-CN"/>
                <w14:textFill>
                  <w14:solidFill>
                    <w14:schemeClr w14:val="tx1"/>
                  </w14:solidFill>
                </w14:textFill>
              </w:rPr>
              <w:t>按</w:t>
            </w:r>
            <w:r>
              <w:rPr>
                <w:rFonts w:hint="eastAsia" w:cs="Times New Roman"/>
                <w:b w:val="0"/>
                <w:bCs w:val="0"/>
                <w:color w:val="000000" w:themeColor="text1"/>
                <w:sz w:val="21"/>
                <w:szCs w:val="21"/>
                <w:highlight w:val="none"/>
                <w:u w:val="none"/>
                <w:lang w:val="en-US" w:eastAsia="zh-CN"/>
                <w14:textFill>
                  <w14:solidFill>
                    <w14:schemeClr w14:val="tx1"/>
                  </w14:solidFill>
                </w14:textFill>
              </w:rPr>
              <w:t>95</w:t>
            </w:r>
            <w:r>
              <w:rPr>
                <w:rFonts w:hint="default" w:ascii="Times New Roman" w:hAnsi="Times New Roman" w:cs="Times New Roman"/>
                <w:b w:val="0"/>
                <w:bCs w:val="0"/>
                <w:color w:val="000000" w:themeColor="text1"/>
                <w:sz w:val="21"/>
                <w:szCs w:val="21"/>
                <w:highlight w:val="none"/>
                <w:u w:val="none"/>
                <w14:textFill>
                  <w14:solidFill>
                    <w14:schemeClr w14:val="tx1"/>
                  </w14:solidFill>
                </w14:textFill>
              </w:rPr>
              <w:t>%</w:t>
            </w:r>
            <w:r>
              <w:rPr>
                <w:rFonts w:hint="eastAsia" w:cs="Times New Roman"/>
                <w:b w:val="0"/>
                <w:bCs w:val="0"/>
                <w:color w:val="000000" w:themeColor="text1"/>
                <w:sz w:val="21"/>
                <w:szCs w:val="21"/>
                <w:highlight w:val="none"/>
                <w:u w:val="none"/>
                <w:lang w:eastAsia="zh-CN"/>
                <w14:textFill>
                  <w14:solidFill>
                    <w14:schemeClr w14:val="tx1"/>
                  </w14:solidFill>
                </w14:textFill>
              </w:rPr>
              <w:t>计算</w:t>
            </w:r>
            <w:r>
              <w:rPr>
                <w:rFonts w:hint="default" w:ascii="Times New Roman" w:hAnsi="Times New Roman" w:cs="Times New Roman"/>
                <w:b w:val="0"/>
                <w:bCs w:val="0"/>
                <w:color w:val="000000" w:themeColor="text1"/>
                <w:sz w:val="21"/>
                <w:szCs w:val="21"/>
                <w:highlight w:val="none"/>
                <w:u w:val="none"/>
                <w:lang w:eastAsia="zh-CN"/>
                <w14:textFill>
                  <w14:solidFill>
                    <w14:schemeClr w14:val="tx1"/>
                  </w14:solidFill>
                </w14:textFill>
              </w:rPr>
              <w:t>，</w:t>
            </w:r>
            <w:r>
              <w:rPr>
                <w:rFonts w:hint="default" w:ascii="Times New Roman" w:hAnsi="Times New Roman" w:cs="Times New Roman"/>
                <w:color w:val="000000" w:themeColor="text1"/>
                <w:kern w:val="0"/>
                <w:sz w:val="21"/>
                <w:szCs w:val="21"/>
                <w:highlight w:val="none"/>
                <w14:textFill>
                  <w14:solidFill>
                    <w14:schemeClr w14:val="tx1"/>
                  </w14:solidFill>
                </w14:textFill>
              </w:rPr>
              <w:t>则</w:t>
            </w:r>
            <w:r>
              <w:rPr>
                <w:rFonts w:hint="default" w:ascii="Times New Roman" w:hAnsi="Times New Roman" w:cs="Times New Roman"/>
                <w:color w:val="000000" w:themeColor="text1"/>
                <w:kern w:val="0"/>
                <w:sz w:val="21"/>
                <w:szCs w:val="21"/>
                <w:highlight w:val="none"/>
                <w:lang w:eastAsia="zh-CN"/>
                <w14:textFill>
                  <w14:solidFill>
                    <w14:schemeClr w14:val="tx1"/>
                  </w14:solidFill>
                </w14:textFill>
              </w:rPr>
              <w:t>该工序生产车间无组织排放量</w:t>
            </w:r>
            <w:r>
              <w:rPr>
                <w:rFonts w:hint="default" w:ascii="Times New Roman" w:hAnsi="Times New Roman" w:cs="Times New Roman"/>
                <w:color w:val="000000" w:themeColor="text1"/>
                <w:kern w:val="0"/>
                <w:sz w:val="21"/>
                <w:szCs w:val="21"/>
                <w:highlight w:val="none"/>
                <w14:textFill>
                  <w14:solidFill>
                    <w14:schemeClr w14:val="tx1"/>
                  </w14:solidFill>
                </w14:textFill>
              </w:rPr>
              <w:t>为</w:t>
            </w:r>
            <w:r>
              <w:rPr>
                <w:rFonts w:hint="eastAsia" w:cs="Times New Roman"/>
                <w:color w:val="000000" w:themeColor="text1"/>
                <w:kern w:val="0"/>
                <w:sz w:val="21"/>
                <w:szCs w:val="21"/>
                <w:highlight w:val="none"/>
                <w:lang w:val="en-US" w:eastAsia="zh-CN"/>
                <w14:textFill>
                  <w14:solidFill>
                    <w14:schemeClr w14:val="tx1"/>
                  </w14:solidFill>
                </w14:textFill>
              </w:rPr>
              <w:t>0.0437</w:t>
            </w:r>
            <w:r>
              <w:rPr>
                <w:rFonts w:hint="default" w:ascii="Times New Roman" w:hAnsi="Times New Roman" w:cs="Times New Roman"/>
                <w:color w:val="000000" w:themeColor="text1"/>
                <w:kern w:val="0"/>
                <w:sz w:val="21"/>
                <w:szCs w:val="21"/>
                <w:highlight w:val="none"/>
                <w14:textFill>
                  <w14:solidFill>
                    <w14:schemeClr w14:val="tx1"/>
                  </w14:solidFill>
                </w14:textFill>
              </w:rPr>
              <w:t>t/a。</w:t>
            </w:r>
          </w:p>
          <w:p>
            <w:pPr>
              <w:keepNext w:val="0"/>
              <w:keepLines w:val="0"/>
              <w:pageBreakBefore w:val="0"/>
              <w:widowControl w:val="0"/>
              <w:kinsoku/>
              <w:wordWrap/>
              <w:overflowPunct/>
              <w:topLinePunct w:val="0"/>
              <w:autoSpaceDE/>
              <w:autoSpaceDN/>
              <w:bidi w:val="0"/>
              <w:adjustRightInd/>
              <w:snapToGrid/>
              <w:spacing w:line="360" w:lineRule="auto"/>
              <w:ind w:leftChars="0" w:firstLine="422" w:firstLineChars="200"/>
              <w:jc w:val="both"/>
              <w:textAlignment w:val="auto"/>
              <w:rPr>
                <w:rFonts w:hint="default" w:ascii="Times New Roman" w:hAnsi="Times New Roman"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fldChar w:fldCharType="begin"/>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instrText xml:space="preserve"> = 2 \* GB3 \* MERGEFORMAT </w:instrText>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fldChar w:fldCharType="separate"/>
            </w:r>
            <w:r>
              <w:rPr>
                <w:rFonts w:hint="default" w:ascii="Times New Roman" w:hAnsi="Times New Roman" w:cs="Times New Roman"/>
                <w:b/>
                <w:bCs/>
                <w:color w:val="000000" w:themeColor="text1"/>
                <w:highlight w:val="none"/>
                <w14:textFill>
                  <w14:solidFill>
                    <w14:schemeClr w14:val="tx1"/>
                  </w14:solidFill>
                </w14:textFill>
              </w:rPr>
              <w:t>②</w:t>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fldChar w:fldCharType="end"/>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焊接、打磨工序粉尘</w:t>
            </w:r>
          </w:p>
          <w:p>
            <w:pPr>
              <w:pStyle w:val="2"/>
              <w:keepLines w:val="0"/>
              <w:pageBreakBefore w:val="0"/>
              <w:widowControl w:val="0"/>
              <w:numPr>
                <w:ilvl w:val="0"/>
                <w:numId w:val="0"/>
              </w:numPr>
              <w:kinsoku/>
              <w:wordWrap/>
              <w:topLinePunct w:val="0"/>
              <w:autoSpaceDE/>
              <w:autoSpaceDN/>
              <w:bidi w:val="0"/>
              <w:adjustRightInd/>
              <w:snapToGrid/>
              <w:spacing w:before="0" w:after="0" w:line="360" w:lineRule="auto"/>
              <w:ind w:leftChars="0" w:firstLine="422" w:firstLineChars="200"/>
              <w:jc w:val="both"/>
              <w:textAlignment w:val="auto"/>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A.焊接工序</w:t>
            </w:r>
          </w:p>
          <w:p>
            <w:pPr>
              <w:pStyle w:val="2"/>
              <w:keepLines w:val="0"/>
              <w:pageBreakBefore w:val="0"/>
              <w:widowControl w:val="0"/>
              <w:kinsoku/>
              <w:wordWrap/>
              <w:topLinePunct w:val="0"/>
              <w:autoSpaceDE/>
              <w:autoSpaceDN/>
              <w:bidi w:val="0"/>
              <w:adjustRightInd/>
              <w:snapToGrid/>
              <w:spacing w:before="0" w:after="0" w:line="360" w:lineRule="auto"/>
              <w:ind w:left="0" w:leftChars="0" w:firstLine="422" w:firstLineChars="200"/>
              <w:jc w:val="both"/>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源强产生情况：</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工程大型封头（主要为热压封头）拼板焊接过程会产生焊接烟尘，工程主要以埋弧焊为主，辅以二氧化碳保护焊对焊缝进行补修，</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排污系数参考《排放源统计调查产排污核算方法和系数手册》中33金属制品业中09焊接核算环节中产污系数，采用药芯焊丝的埋弧焊和二氧化碳保护焊产污系数均为20.5千克/吨-原料，根据企业提供资料，焊接过程药芯焊丝用量约为</w:t>
            </w:r>
            <w:r>
              <w:rPr>
                <w:rFonts w:hint="eastAsia" w:cs="Times New Roman"/>
                <w:b w:val="0"/>
                <w:bCs/>
                <w:color w:val="000000" w:themeColor="text1"/>
                <w:sz w:val="21"/>
                <w:szCs w:val="21"/>
                <w:highlight w:val="none"/>
                <w:lang w:val="en-US" w:eastAsia="zh-CN"/>
                <w14:textFill>
                  <w14:solidFill>
                    <w14:schemeClr w14:val="tx1"/>
                  </w14:solidFill>
                </w14:textFill>
              </w:rPr>
              <w:t>20</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t/a，则焊接过程焊接烟尘产生量为</w:t>
            </w:r>
            <w:r>
              <w:rPr>
                <w:rFonts w:hint="eastAsia" w:cs="Times New Roman"/>
                <w:b w:val="0"/>
                <w:bCs/>
                <w:color w:val="000000" w:themeColor="text1"/>
                <w:sz w:val="21"/>
                <w:szCs w:val="21"/>
                <w:highlight w:val="none"/>
                <w:lang w:val="en-US" w:eastAsia="zh-CN"/>
                <w14:textFill>
                  <w14:solidFill>
                    <w14:schemeClr w14:val="tx1"/>
                  </w14:solidFill>
                </w14:textFill>
              </w:rPr>
              <w:t>0.41</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t/a。</w:t>
            </w:r>
          </w:p>
          <w:p>
            <w:pPr>
              <w:keepLines w:val="0"/>
              <w:pageBreakBefore w:val="0"/>
              <w:widowControl w:val="0"/>
              <w:kinsoku/>
              <w:wordWrap/>
              <w:topLinePunct w:val="0"/>
              <w:autoSpaceDE/>
              <w:autoSpaceDN/>
              <w:bidi w:val="0"/>
              <w:adjustRightInd/>
              <w:snapToGrid/>
              <w:spacing w:line="360" w:lineRule="auto"/>
              <w:ind w:leftChars="0" w:firstLine="422" w:firstLineChars="200"/>
              <w:jc w:val="both"/>
              <w:textAlignment w:val="auto"/>
              <w:rPr>
                <w:rFonts w:hint="default" w:ascii="Times New Roman" w:hAnsi="Times New Roman"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收集及治理措施：</w:t>
            </w:r>
            <w:r>
              <w:rPr>
                <w:rFonts w:hint="default" w:ascii="Times New Roman" w:hAnsi="Times New Roman" w:cs="Times New Roman"/>
                <w:color w:val="000000" w:themeColor="text1"/>
                <w:highlight w:val="none"/>
                <w:lang w:val="en-US" w:eastAsia="zh-CN"/>
                <w14:textFill>
                  <w14:solidFill>
                    <w14:schemeClr w14:val="tx1"/>
                  </w14:solidFill>
                </w14:textFill>
              </w:rPr>
              <w:t>根据建设单位提供设计资料，焊接过程均在车间内设置的二次密闭间进行，并通过在焊接工序上方设置负压集气罩进行收集，并将废气通入一套共用脉冲袋式除尘器（TA003）进行处理后，经15m高排气筒（DA003）排放。密闭间+负压集气罩集气效率按照</w:t>
            </w:r>
            <w:r>
              <w:rPr>
                <w:rFonts w:hint="eastAsia" w:cs="Times New Roman"/>
                <w:color w:val="000000" w:themeColor="text1"/>
                <w:highlight w:val="none"/>
                <w:lang w:val="en-US" w:eastAsia="zh-CN"/>
                <w14:textFill>
                  <w14:solidFill>
                    <w14:schemeClr w14:val="tx1"/>
                  </w14:solidFill>
                </w14:textFill>
              </w:rPr>
              <w:t>98</w:t>
            </w:r>
            <w:r>
              <w:rPr>
                <w:rFonts w:hint="default" w:ascii="Times New Roman" w:hAnsi="Times New Roman" w:cs="Times New Roman"/>
                <w:color w:val="000000" w:themeColor="text1"/>
                <w:highlight w:val="none"/>
                <w:lang w:val="en-US" w:eastAsia="zh-CN"/>
                <w14:textFill>
                  <w14:solidFill>
                    <w14:schemeClr w14:val="tx1"/>
                  </w14:solidFill>
                </w14:textFill>
              </w:rPr>
              <w:t>%计算，废气收集量约为</w:t>
            </w:r>
            <w:r>
              <w:rPr>
                <w:rFonts w:hint="eastAsia" w:cs="Times New Roman"/>
                <w:color w:val="000000" w:themeColor="text1"/>
                <w:highlight w:val="none"/>
                <w:lang w:val="en-US" w:eastAsia="zh-CN"/>
                <w14:textFill>
                  <w14:solidFill>
                    <w14:schemeClr w14:val="tx1"/>
                  </w14:solidFill>
                </w14:textFill>
              </w:rPr>
              <w:t>2000</w:t>
            </w:r>
            <w:r>
              <w:rPr>
                <w:rFonts w:hint="default" w:ascii="Times New Roman" w:hAnsi="Times New Roman" w:cs="Times New Roman"/>
                <w:color w:val="000000" w:themeColor="text1"/>
                <w:highlight w:val="none"/>
                <w:lang w:val="en-US"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/h，</w:t>
            </w:r>
            <w:r>
              <w:rPr>
                <w:rFonts w:hint="eastAsia" w:cs="Times New Roman"/>
                <w:color w:val="000000" w:themeColor="text1"/>
                <w:highlight w:val="none"/>
                <w:lang w:val="en-US" w:eastAsia="zh-CN"/>
                <w14:textFill>
                  <w14:solidFill>
                    <w14:schemeClr w14:val="tx1"/>
                  </w14:solidFill>
                </w14:textFill>
              </w:rPr>
              <w:t>焊接工序</w:t>
            </w:r>
            <w:r>
              <w:rPr>
                <w:rFonts w:hint="default" w:ascii="Times New Roman" w:hAnsi="Times New Roman" w:cs="Times New Roman"/>
                <w:color w:val="000000" w:themeColor="text1"/>
                <w:highlight w:val="none"/>
                <w:lang w:val="en-US" w:eastAsia="zh-CN"/>
                <w14:textFill>
                  <w14:solidFill>
                    <w14:schemeClr w14:val="tx1"/>
                  </w14:solidFill>
                </w14:textFill>
              </w:rPr>
              <w:t>年工作时间按照</w:t>
            </w:r>
            <w:r>
              <w:rPr>
                <w:rFonts w:hint="eastAsia" w:cs="Times New Roman"/>
                <w:color w:val="000000" w:themeColor="text1"/>
                <w:highlight w:val="none"/>
                <w:lang w:val="en-US" w:eastAsia="zh-CN"/>
                <w14:textFill>
                  <w14:solidFill>
                    <w14:schemeClr w14:val="tx1"/>
                  </w14:solidFill>
                </w14:textFill>
              </w:rPr>
              <w:t>12</w:t>
            </w:r>
            <w:r>
              <w:rPr>
                <w:rFonts w:hint="default" w:ascii="Times New Roman" w:hAnsi="Times New Roman" w:cs="Times New Roman"/>
                <w:color w:val="000000" w:themeColor="text1"/>
                <w:highlight w:val="none"/>
                <w:lang w:val="en-US" w:eastAsia="zh-CN"/>
                <w14:textFill>
                  <w14:solidFill>
                    <w14:schemeClr w14:val="tx1"/>
                  </w14:solidFill>
                </w14:textFill>
              </w:rPr>
              <w:t>00h计算，经计算焊接工序有组织颗粒物产生量和产生浓度为</w:t>
            </w:r>
            <w:r>
              <w:rPr>
                <w:rFonts w:hint="eastAsia" w:cs="Times New Roman"/>
                <w:color w:val="000000" w:themeColor="text1"/>
                <w:highlight w:val="none"/>
                <w:lang w:val="en-US" w:eastAsia="zh-CN"/>
                <w14:textFill>
                  <w14:solidFill>
                    <w14:schemeClr w14:val="tx1"/>
                  </w14:solidFill>
                </w14:textFill>
              </w:rPr>
              <w:t>0.4018</w:t>
            </w:r>
            <w:r>
              <w:rPr>
                <w:rFonts w:hint="default" w:ascii="Times New Roman" w:hAnsi="Times New Roman" w:cs="Times New Roman"/>
                <w:color w:val="000000" w:themeColor="text1"/>
                <w:highlight w:val="none"/>
                <w:lang w:val="en-US" w:eastAsia="zh-CN"/>
                <w14:textFill>
                  <w14:solidFill>
                    <w14:schemeClr w14:val="tx1"/>
                  </w14:solidFill>
                </w14:textFill>
              </w:rPr>
              <w:t>t/a，</w:t>
            </w:r>
            <w:r>
              <w:rPr>
                <w:rFonts w:hint="eastAsia" w:cs="Times New Roman"/>
                <w:color w:val="000000" w:themeColor="text1"/>
                <w:highlight w:val="none"/>
                <w:lang w:val="en-US" w:eastAsia="zh-CN"/>
                <w14:textFill>
                  <w14:solidFill>
                    <w14:schemeClr w14:val="tx1"/>
                  </w14:solidFill>
                </w14:textFill>
              </w:rPr>
              <w:t>167.42</w:t>
            </w:r>
            <w:r>
              <w:rPr>
                <w:rFonts w:hint="default" w:ascii="Times New Roman" w:hAnsi="Times New Roman" w:cs="Times New Roman"/>
                <w:color w:val="000000" w:themeColor="text1"/>
                <w:highlight w:val="none"/>
                <w:lang w:val="en-US" w:eastAsia="zh-CN"/>
                <w14:textFill>
                  <w14:solidFill>
                    <w14:schemeClr w14:val="tx1"/>
                  </w14:solidFill>
                </w14:textFill>
              </w:rPr>
              <w:t>mg/m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。无组织颗粒物排放量为</w:t>
            </w:r>
            <w:r>
              <w:rPr>
                <w:rFonts w:hint="eastAsia" w:cs="Times New Roman"/>
                <w:color w:val="000000" w:themeColor="text1"/>
                <w:highlight w:val="none"/>
                <w:lang w:val="en-US" w:eastAsia="zh-CN"/>
                <w14:textFill>
                  <w14:solidFill>
                    <w14:schemeClr w14:val="tx1"/>
                  </w14:solidFill>
                </w14:textFill>
              </w:rPr>
              <w:t>0.0082</w:t>
            </w:r>
            <w:r>
              <w:rPr>
                <w:rFonts w:hint="default" w:ascii="Times New Roman" w:hAnsi="Times New Roman" w:cs="Times New Roman"/>
                <w:color w:val="000000" w:themeColor="text1"/>
                <w:highlight w:val="none"/>
                <w:lang w:val="en-US" w:eastAsia="zh-CN"/>
                <w14:textFill>
                  <w14:solidFill>
                    <w14:schemeClr w14:val="tx1"/>
                  </w14:solidFill>
                </w14:textFill>
              </w:rPr>
              <w:t>t/a。</w:t>
            </w:r>
          </w:p>
          <w:p>
            <w:pPr>
              <w:pStyle w:val="2"/>
              <w:keepLines w:val="0"/>
              <w:pageBreakBefore w:val="0"/>
              <w:widowControl w:val="0"/>
              <w:kinsoku/>
              <w:wordWrap/>
              <w:topLinePunct w:val="0"/>
              <w:autoSpaceDE/>
              <w:autoSpaceDN/>
              <w:bidi w:val="0"/>
              <w:adjustRightInd/>
              <w:snapToGrid/>
              <w:spacing w:before="0" w:after="0" w:line="360" w:lineRule="auto"/>
              <w:ind w:left="0" w:leftChars="0" w:firstLine="422" w:firstLineChars="200"/>
              <w:jc w:val="both"/>
              <w:textAlignment w:val="auto"/>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B.打磨工序</w:t>
            </w:r>
          </w:p>
          <w:p>
            <w:pPr>
              <w:pStyle w:val="2"/>
              <w:keepLines w:val="0"/>
              <w:pageBreakBefore w:val="0"/>
              <w:widowControl w:val="0"/>
              <w:kinsoku/>
              <w:wordWrap/>
              <w:topLinePunct w:val="0"/>
              <w:autoSpaceDE/>
              <w:autoSpaceDN/>
              <w:bidi w:val="0"/>
              <w:adjustRightInd/>
              <w:snapToGrid/>
              <w:spacing w:before="0" w:after="0" w:line="360" w:lineRule="auto"/>
              <w:ind w:left="0" w:leftChars="0" w:firstLine="422" w:firstLineChars="200"/>
              <w:jc w:val="both"/>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源强产生情况：</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工程封头产品需采用磨边机将焊接过程焊缝及切割过程的切割边打磨平整</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打磨过程会产生一定量颗粒物废气，排污系数参考《排放源统计调查产排污核算方法和系数手册》中33金属制品业中06预处理核算环节中产污系数，打磨工序颗粒物产污系数为2.19千克/吨-原料。根据企业提供资料，需打磨封头量为</w:t>
            </w:r>
            <w:r>
              <w:rPr>
                <w:rFonts w:hint="eastAsia" w:cs="Times New Roman"/>
                <w:b w:val="0"/>
                <w:bCs/>
                <w:color w:val="000000" w:themeColor="text1"/>
                <w:sz w:val="21"/>
                <w:szCs w:val="21"/>
                <w:highlight w:val="none"/>
                <w:lang w:val="en-US" w:eastAsia="zh-CN"/>
                <w14:textFill>
                  <w14:solidFill>
                    <w14:schemeClr w14:val="tx1"/>
                  </w14:solidFill>
                </w14:textFill>
              </w:rPr>
              <w:t>26</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000t/a，经计算打磨工序颗粒物产生量为</w:t>
            </w:r>
            <w:r>
              <w:rPr>
                <w:rFonts w:hint="eastAsia" w:cs="Times New Roman"/>
                <w:b w:val="0"/>
                <w:bCs/>
                <w:color w:val="000000" w:themeColor="text1"/>
                <w:sz w:val="21"/>
                <w:szCs w:val="21"/>
                <w:highlight w:val="none"/>
                <w:lang w:val="en-US" w:eastAsia="zh-CN"/>
                <w14:textFill>
                  <w14:solidFill>
                    <w14:schemeClr w14:val="tx1"/>
                  </w14:solidFill>
                </w14:textFill>
              </w:rPr>
              <w:t>56.94</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t/a。</w:t>
            </w:r>
          </w:p>
          <w:p>
            <w:pPr>
              <w:keepLines w:val="0"/>
              <w:pageBreakBefore w:val="0"/>
              <w:widowControl w:val="0"/>
              <w:kinsoku/>
              <w:wordWrap/>
              <w:topLinePunct w:val="0"/>
              <w:autoSpaceDE/>
              <w:autoSpaceDN/>
              <w:bidi w:val="0"/>
              <w:adjustRightInd/>
              <w:snapToGrid/>
              <w:spacing w:line="360" w:lineRule="auto"/>
              <w:ind w:leftChars="0" w:firstLine="422" w:firstLineChars="200"/>
              <w:jc w:val="both"/>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收集及治理措施：</w:t>
            </w:r>
            <w:r>
              <w:rPr>
                <w:rFonts w:hint="default" w:ascii="Times New Roman" w:hAnsi="Times New Roman" w:cs="Times New Roman"/>
                <w:color w:val="000000" w:themeColor="text1"/>
                <w:highlight w:val="none"/>
                <w:lang w:val="en-US" w:eastAsia="zh-CN"/>
                <w14:textFill>
                  <w14:solidFill>
                    <w14:schemeClr w14:val="tx1"/>
                  </w14:solidFill>
                </w14:textFill>
              </w:rPr>
              <w:t>根据建设单位提供设计资料，工程打磨工序均在设置的二次密闭间进行，并通过在打磨机上方设置负压集气罩进行收集，并将废气通入一套共用脉冲袋式除尘器（TA003）进行处理后，经15m高排气筒（DA003）排放。打磨工序密闭间+负压集气罩集气效率按照</w:t>
            </w:r>
            <w:r>
              <w:rPr>
                <w:rFonts w:hint="eastAsia" w:cs="Times New Roman"/>
                <w:color w:val="000000" w:themeColor="text1"/>
                <w:highlight w:val="none"/>
                <w:lang w:val="en-US" w:eastAsia="zh-CN"/>
                <w14:textFill>
                  <w14:solidFill>
                    <w14:schemeClr w14:val="tx1"/>
                  </w14:solidFill>
                </w14:textFill>
              </w:rPr>
              <w:t>98</w:t>
            </w:r>
            <w:r>
              <w:rPr>
                <w:rFonts w:hint="default" w:ascii="Times New Roman" w:hAnsi="Times New Roman" w:cs="Times New Roman"/>
                <w:color w:val="000000" w:themeColor="text1"/>
                <w:highlight w:val="none"/>
                <w:lang w:val="en-US" w:eastAsia="zh-CN"/>
                <w14:textFill>
                  <w14:solidFill>
                    <w14:schemeClr w14:val="tx1"/>
                  </w14:solidFill>
                </w14:textFill>
              </w:rPr>
              <w:t>%计算，废气收集量约为</w:t>
            </w:r>
            <w:r>
              <w:rPr>
                <w:rFonts w:hint="eastAsia" w:cs="Times New Roman"/>
                <w:color w:val="000000" w:themeColor="text1"/>
                <w:highlight w:val="none"/>
                <w:lang w:val="en-US" w:eastAsia="zh-CN"/>
                <w14:textFill>
                  <w14:solidFill>
                    <w14:schemeClr w14:val="tx1"/>
                  </w14:solidFill>
                </w14:textFill>
              </w:rPr>
              <w:t>8000</w:t>
            </w:r>
            <w:r>
              <w:rPr>
                <w:rFonts w:hint="default" w:ascii="Times New Roman" w:hAnsi="Times New Roman" w:cs="Times New Roman"/>
                <w:color w:val="000000" w:themeColor="text1"/>
                <w:highlight w:val="none"/>
                <w:lang w:val="en-US"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/h，</w:t>
            </w:r>
            <w:r>
              <w:rPr>
                <w:rFonts w:hint="eastAsia" w:cs="Times New Roman"/>
                <w:color w:val="000000" w:themeColor="text1"/>
                <w:highlight w:val="none"/>
                <w:lang w:val="en-US" w:eastAsia="zh-CN"/>
                <w14:textFill>
                  <w14:solidFill>
                    <w14:schemeClr w14:val="tx1"/>
                  </w14:solidFill>
                </w14:textFill>
              </w:rPr>
              <w:t>打磨工序</w:t>
            </w:r>
            <w:r>
              <w:rPr>
                <w:rFonts w:hint="default" w:ascii="Times New Roman" w:hAnsi="Times New Roman" w:cs="Times New Roman"/>
                <w:color w:val="000000" w:themeColor="text1"/>
                <w:highlight w:val="none"/>
                <w:lang w:val="en-US" w:eastAsia="zh-CN"/>
                <w14:textFill>
                  <w14:solidFill>
                    <w14:schemeClr w14:val="tx1"/>
                  </w14:solidFill>
                </w14:textFill>
              </w:rPr>
              <w:t>年工作时间按照</w:t>
            </w:r>
            <w:r>
              <w:rPr>
                <w:rFonts w:hint="eastAsia" w:cs="Times New Roman"/>
                <w:color w:val="000000" w:themeColor="text1"/>
                <w:highlight w:val="none"/>
                <w:lang w:val="en-US" w:eastAsia="zh-CN"/>
                <w14:textFill>
                  <w14:solidFill>
                    <w14:schemeClr w14:val="tx1"/>
                  </w14:solidFill>
                </w14:textFill>
              </w:rPr>
              <w:t>12</w:t>
            </w:r>
            <w:r>
              <w:rPr>
                <w:rFonts w:hint="default" w:ascii="Times New Roman" w:hAnsi="Times New Roman" w:cs="Times New Roman"/>
                <w:color w:val="000000" w:themeColor="text1"/>
                <w:highlight w:val="none"/>
                <w:lang w:val="en-US" w:eastAsia="zh-CN"/>
                <w14:textFill>
                  <w14:solidFill>
                    <w14:schemeClr w14:val="tx1"/>
                  </w14:solidFill>
                </w14:textFill>
              </w:rPr>
              <w:t>00h计算，经计算打磨工序有组织颗粒物产生量和产生浓度为</w:t>
            </w:r>
            <w:r>
              <w:rPr>
                <w:rFonts w:hint="eastAsia" w:cs="Times New Roman"/>
                <w:b w:val="0"/>
                <w:bCs/>
                <w:color w:val="000000" w:themeColor="text1"/>
                <w:kern w:val="0"/>
                <w:sz w:val="21"/>
                <w:szCs w:val="21"/>
                <w:highlight w:val="none"/>
                <w:lang w:val="en-US" w:eastAsia="zh-CN" w:bidi="ar-SA"/>
                <w14:textFill>
                  <w14:solidFill>
                    <w14:schemeClr w14:val="tx1"/>
                  </w14:solidFill>
                </w14:textFill>
              </w:rPr>
              <w:t>55.8012</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w:t>
            </w:r>
            <w:r>
              <w:rPr>
                <w:rFonts w:hint="default" w:ascii="Times New Roman" w:hAnsi="Times New Roman" w:cs="Times New Roman"/>
                <w:b w:val="0"/>
                <w:bCs/>
                <w:color w:val="000000" w:themeColor="text1"/>
                <w:kern w:val="0"/>
                <w:sz w:val="21"/>
                <w:szCs w:val="21"/>
                <w:highlight w:val="none"/>
                <w:lang w:val="en-US" w:eastAsia="zh-CN" w:bidi="ar-SA"/>
                <w14:textFill>
                  <w14:solidFill>
                    <w14:schemeClr w14:val="tx1"/>
                  </w14:solidFill>
                </w14:textFill>
              </w:rPr>
              <w:t>，</w:t>
            </w:r>
            <w:r>
              <w:rPr>
                <w:rFonts w:hint="eastAsia" w:cs="Times New Roman"/>
                <w:b w:val="0"/>
                <w:bCs/>
                <w:color w:val="000000" w:themeColor="text1"/>
                <w:kern w:val="0"/>
                <w:sz w:val="21"/>
                <w:szCs w:val="21"/>
                <w:highlight w:val="none"/>
                <w:lang w:val="en-US" w:eastAsia="zh-CN" w:bidi="ar-SA"/>
                <w14:textFill>
                  <w14:solidFill>
                    <w14:schemeClr w14:val="tx1"/>
                  </w14:solidFill>
                </w14:textFill>
              </w:rPr>
              <w:t>5812.625</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mg/m</w:t>
            </w:r>
            <w:r>
              <w:rPr>
                <w:rFonts w:hint="default" w:ascii="Times New Roman" w:hAnsi="Times New Roman" w:eastAsia="宋体" w:cs="Times New Roman"/>
                <w:b w:val="0"/>
                <w:bCs/>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。无组织颗粒物排放量为</w:t>
            </w:r>
            <w:r>
              <w:rPr>
                <w:rFonts w:hint="eastAsia" w:cs="Times New Roman"/>
                <w:color w:val="000000" w:themeColor="text1"/>
                <w:highlight w:val="none"/>
                <w:lang w:val="en-US" w:eastAsia="zh-CN"/>
                <w14:textFill>
                  <w14:solidFill>
                    <w14:schemeClr w14:val="tx1"/>
                  </w14:solidFill>
                </w14:textFill>
              </w:rPr>
              <w:t>1.1388</w:t>
            </w:r>
            <w:r>
              <w:rPr>
                <w:rFonts w:hint="default" w:ascii="Times New Roman" w:hAnsi="Times New Roman" w:cs="Times New Roman"/>
                <w:color w:val="000000" w:themeColor="text1"/>
                <w:highlight w:val="none"/>
                <w:lang w:val="en-US" w:eastAsia="zh-CN"/>
                <w14:textFill>
                  <w14:solidFill>
                    <w14:schemeClr w14:val="tx1"/>
                  </w14:solidFill>
                </w14:textFill>
              </w:rPr>
              <w:t>t/a。</w:t>
            </w:r>
          </w:p>
          <w:p>
            <w:pPr>
              <w:pStyle w:val="2"/>
              <w:keepLines w:val="0"/>
              <w:pageBreakBefore w:val="0"/>
              <w:widowControl w:val="0"/>
              <w:kinsoku/>
              <w:wordWrap/>
              <w:topLinePunct w:val="0"/>
              <w:autoSpaceDE/>
              <w:autoSpaceDN/>
              <w:bidi w:val="0"/>
              <w:adjustRightInd/>
              <w:snapToGrid/>
              <w:spacing w:before="0" w:after="0" w:line="360" w:lineRule="auto"/>
              <w:ind w:left="0" w:leftChars="0" w:firstLine="422" w:firstLineChars="200"/>
              <w:jc w:val="both"/>
              <w:textAlignment w:val="auto"/>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C.焊接、打磨工序综合废气</w:t>
            </w:r>
            <w:r>
              <w:rPr>
                <w:rFonts w:hint="eastAsia" w:cs="Times New Roman"/>
                <w:b/>
                <w:bCs w:val="0"/>
                <w:color w:val="000000" w:themeColor="text1"/>
                <w:kern w:val="0"/>
                <w:sz w:val="21"/>
                <w:szCs w:val="21"/>
                <w:highlight w:val="none"/>
                <w:lang w:val="en-US" w:eastAsia="zh-CN" w:bidi="ar-SA"/>
                <w14:textFill>
                  <w14:solidFill>
                    <w14:schemeClr w14:val="tx1"/>
                  </w14:solidFill>
                </w14:textFill>
              </w:rPr>
              <w:t>排放情况</w:t>
            </w:r>
          </w:p>
          <w:p>
            <w:pPr>
              <w:pStyle w:val="2"/>
              <w:keepLines w:val="0"/>
              <w:pageBreakBefore w:val="0"/>
              <w:widowControl w:val="0"/>
              <w:kinsoku/>
              <w:wordWrap/>
              <w:topLinePunct w:val="0"/>
              <w:autoSpaceDE/>
              <w:autoSpaceDN/>
              <w:bidi w:val="0"/>
              <w:adjustRightInd/>
              <w:snapToGrid/>
              <w:spacing w:before="0" w:after="0" w:line="360" w:lineRule="auto"/>
              <w:ind w:left="0" w:leftChars="0" w:firstLine="422" w:firstLineChars="200"/>
              <w:jc w:val="both"/>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有组织废气排放情况：</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工程焊接和打磨工序废气经收集后，通过1套共用脉冲袋式除尘器（TA002）进行处理，综合废气量为</w:t>
            </w:r>
            <w:r>
              <w:rPr>
                <w:rFonts w:hint="eastAsia" w:cs="Times New Roman"/>
                <w:b w:val="0"/>
                <w:bCs/>
                <w:color w:val="000000" w:themeColor="text1"/>
                <w:kern w:val="0"/>
                <w:sz w:val="21"/>
                <w:szCs w:val="21"/>
                <w:highlight w:val="none"/>
                <w:lang w:val="en-US" w:eastAsia="zh-CN" w:bidi="ar-SA"/>
                <w14:textFill>
                  <w14:solidFill>
                    <w14:schemeClr w14:val="tx1"/>
                  </w14:solidFill>
                </w14:textFill>
              </w:rPr>
              <w:t>10000</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b w:val="0"/>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/h</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，处理前</w:t>
            </w:r>
            <w:r>
              <w:rPr>
                <w:rFonts w:hint="eastAsia" w:cs="Times New Roman"/>
                <w:b w:val="0"/>
                <w:bCs/>
                <w:color w:val="000000" w:themeColor="text1"/>
                <w:kern w:val="0"/>
                <w:sz w:val="21"/>
                <w:szCs w:val="21"/>
                <w:highlight w:val="none"/>
                <w:lang w:val="en-US" w:eastAsia="zh-CN" w:bidi="ar-SA"/>
                <w14:textFill>
                  <w14:solidFill>
                    <w14:schemeClr w14:val="tx1"/>
                  </w14:solidFill>
                </w14:textFill>
              </w:rPr>
              <w:t>有组织收集的</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颗粒物产生量为</w:t>
            </w:r>
            <w:r>
              <w:rPr>
                <w:rFonts w:hint="eastAsia" w:cs="Times New Roman"/>
                <w:b w:val="0"/>
                <w:bCs/>
                <w:color w:val="000000" w:themeColor="text1"/>
                <w:kern w:val="0"/>
                <w:sz w:val="21"/>
                <w:szCs w:val="21"/>
                <w:highlight w:val="none"/>
                <w:lang w:val="en-US" w:eastAsia="zh-CN" w:bidi="ar-SA"/>
                <w14:textFill>
                  <w14:solidFill>
                    <w14:schemeClr w14:val="tx1"/>
                  </w14:solidFill>
                </w14:textFill>
              </w:rPr>
              <w:t>56.203</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t/a，产生浓度</w:t>
            </w:r>
            <w:r>
              <w:rPr>
                <w:rFonts w:hint="eastAsia" w:cs="Times New Roman"/>
                <w:b w:val="0"/>
                <w:bCs/>
                <w:color w:val="000000" w:themeColor="text1"/>
                <w:kern w:val="0"/>
                <w:sz w:val="21"/>
                <w:szCs w:val="21"/>
                <w:highlight w:val="none"/>
                <w:lang w:val="en-US" w:eastAsia="zh-CN" w:bidi="ar-SA"/>
                <w14:textFill>
                  <w14:solidFill>
                    <w14:schemeClr w14:val="tx1"/>
                  </w14:solidFill>
                </w14:textFill>
              </w:rPr>
              <w:t>4683.58</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mg/m</w:t>
            </w:r>
            <w:r>
              <w:rPr>
                <w:rFonts w:hint="default" w:ascii="Times New Roman" w:hAnsi="Times New Roman" w:eastAsia="宋体" w:cs="Times New Roman"/>
                <w:b w:val="0"/>
                <w:bCs/>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，根据《废气处理工程技术手册》第五章第四节对袋式除尘器的介绍，脉冲袋式除尘器处理效率可达99.9%，经处理后颗粒物排放浓度均为</w:t>
            </w:r>
            <w:r>
              <w:rPr>
                <w:rFonts w:hint="eastAsia" w:cs="Times New Roman"/>
                <w:b w:val="0"/>
                <w:bCs/>
                <w:color w:val="000000" w:themeColor="text1"/>
                <w:kern w:val="0"/>
                <w:sz w:val="21"/>
                <w:szCs w:val="21"/>
                <w:highlight w:val="none"/>
                <w:lang w:val="en-US" w:eastAsia="zh-CN" w:bidi="ar-SA"/>
                <w14:textFill>
                  <w14:solidFill>
                    <w14:schemeClr w14:val="tx1"/>
                  </w14:solidFill>
                </w14:textFill>
              </w:rPr>
              <w:t>4.68</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mg/m</w:t>
            </w:r>
            <w:r>
              <w:rPr>
                <w:rFonts w:hint="default" w:ascii="Times New Roman" w:hAnsi="Times New Roman" w:eastAsia="宋体" w:cs="Times New Roman"/>
                <w:b w:val="0"/>
                <w:bCs/>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，排放速率为</w:t>
            </w:r>
            <w:r>
              <w:rPr>
                <w:rFonts w:hint="eastAsia" w:cs="Times New Roman"/>
                <w:b w:val="0"/>
                <w:bCs/>
                <w:color w:val="000000" w:themeColor="text1"/>
                <w:kern w:val="0"/>
                <w:sz w:val="21"/>
                <w:szCs w:val="21"/>
                <w:highlight w:val="none"/>
                <w:lang w:val="en-US" w:eastAsia="zh-CN" w:bidi="ar-SA"/>
                <w14:textFill>
                  <w14:solidFill>
                    <w14:schemeClr w14:val="tx1"/>
                  </w14:solidFill>
                </w14:textFill>
              </w:rPr>
              <w:t>0.047</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kg/h，排放量为</w:t>
            </w:r>
            <w:r>
              <w:rPr>
                <w:rFonts w:hint="eastAsia" w:cs="Times New Roman"/>
                <w:b w:val="0"/>
                <w:bCs/>
                <w:color w:val="000000" w:themeColor="text1"/>
                <w:kern w:val="0"/>
                <w:sz w:val="21"/>
                <w:szCs w:val="21"/>
                <w:highlight w:val="none"/>
                <w:lang w:val="en-US" w:eastAsia="zh-CN" w:bidi="ar-SA"/>
                <w14:textFill>
                  <w14:solidFill>
                    <w14:schemeClr w14:val="tx1"/>
                  </w14:solidFill>
                </w14:textFill>
              </w:rPr>
              <w:t>0.0562</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t/a，能够满足《大气污染物综合排放标准》（GB16297-1996）标准（最高允许排放浓度120mg/m</w:t>
            </w:r>
            <w:r>
              <w:rPr>
                <w:rFonts w:hint="default" w:ascii="Times New Roman" w:hAnsi="Times New Roman" w:eastAsia="宋体" w:cs="Times New Roman"/>
                <w:b w:val="0"/>
                <w:bCs/>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），同时满足《新乡市生态环境局关于进一步规范工业企业颗粒物排限值的通知》要求（其他工业企业：10mg/m</w:t>
            </w:r>
            <w:r>
              <w:rPr>
                <w:rFonts w:hint="default" w:ascii="Times New Roman" w:hAnsi="Times New Roman" w:eastAsia="宋体" w:cs="Times New Roman"/>
                <w:b w:val="0"/>
                <w:bCs/>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360" w:lineRule="auto"/>
              <w:ind w:leftChars="0" w:firstLine="422" w:firstLineChars="200"/>
              <w:jc w:val="both"/>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无组织废气排放情况：</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工程焊接、打磨工序配套负压集气措施未收集的颗粒物均以无组织形式排放，根据上述颗粒物</w:t>
            </w:r>
            <w:r>
              <w:rPr>
                <w:rFonts w:hint="default" w:ascii="Times New Roman" w:hAnsi="Times New Roman" w:cs="Times New Roman"/>
                <w:color w:val="000000" w:themeColor="text1"/>
                <w:kern w:val="0"/>
                <w:sz w:val="21"/>
                <w:szCs w:val="21"/>
                <w:highlight w:val="none"/>
                <w14:textFill>
                  <w14:solidFill>
                    <w14:schemeClr w14:val="tx1"/>
                  </w14:solidFill>
                </w14:textFill>
              </w:rPr>
              <w:t>产排分析情况可知</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，无组织颗粒物产生量为</w:t>
            </w:r>
            <w:r>
              <w:rPr>
                <w:rFonts w:hint="eastAsia" w:cs="Times New Roman"/>
                <w:b w:val="0"/>
                <w:bCs w:val="0"/>
                <w:color w:val="000000" w:themeColor="text1"/>
                <w:sz w:val="21"/>
                <w:szCs w:val="21"/>
                <w:highlight w:val="none"/>
                <w:lang w:val="en-US" w:eastAsia="zh-CN"/>
                <w14:textFill>
                  <w14:solidFill>
                    <w14:schemeClr w14:val="tx1"/>
                  </w14:solidFill>
                </w14:textFill>
              </w:rPr>
              <w:t>1.147</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/a</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，该部分颗粒物主要为金属颗粒物为主，比重较大，主要在</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生产</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车间内进行自然沉降。</w:t>
            </w:r>
            <w:r>
              <w:rPr>
                <w:rFonts w:hint="default" w:ascii="Times New Roman" w:hAnsi="Times New Roman" w:cs="Times New Roman"/>
                <w:color w:val="000000" w:themeColor="text1"/>
                <w:sz w:val="21"/>
                <w:szCs w:val="21"/>
                <w:highlight w:val="none"/>
                <w:lang w:eastAsia="zh-CN"/>
                <w14:textFill>
                  <w14:solidFill>
                    <w14:schemeClr w14:val="tx1"/>
                  </w14:solidFill>
                </w14:textFill>
              </w:rPr>
              <w:t>参考《逸散性工业粉尘控制技术》，车间阻隔可减少无组织约70%~90%</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项目</w:t>
            </w:r>
            <w:r>
              <w:rPr>
                <w:rFonts w:hint="eastAsia" w:cs="Times New Roman"/>
                <w:b w:val="0"/>
                <w:bCs w:val="0"/>
                <w:color w:val="000000" w:themeColor="text1"/>
                <w:sz w:val="21"/>
                <w:szCs w:val="21"/>
                <w:highlight w:val="none"/>
                <w:lang w:eastAsia="zh-CN"/>
                <w14:textFill>
                  <w14:solidFill>
                    <w14:schemeClr w14:val="tx1"/>
                  </w14:solidFill>
                </w14:textFill>
              </w:rPr>
              <w:t>车间地面均已硬化处理，同时产污工序</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配套设置二次密闭间进行隔离，</w:t>
            </w:r>
            <w:r>
              <w:rPr>
                <w:rFonts w:hint="eastAsia" w:cs="Times New Roman"/>
                <w:b w:val="0"/>
                <w:bCs w:val="0"/>
                <w:color w:val="000000" w:themeColor="text1"/>
                <w:sz w:val="21"/>
                <w:szCs w:val="21"/>
                <w:highlight w:val="none"/>
                <w:lang w:eastAsia="zh-CN"/>
                <w14:textFill>
                  <w14:solidFill>
                    <w14:schemeClr w14:val="tx1"/>
                  </w14:solidFill>
                </w14:textFill>
              </w:rPr>
              <w:t>并要求企业设置</w:t>
            </w:r>
            <w:r>
              <w:rPr>
                <w:rFonts w:hint="default" w:ascii="Times New Roman" w:hAnsi="Times New Roman" w:cs="Times New Roman"/>
                <w:color w:val="000000" w:themeColor="text1"/>
                <w:sz w:val="21"/>
                <w:szCs w:val="21"/>
                <w:highlight w:val="none"/>
                <w:lang w:eastAsia="zh-CN"/>
                <w14:textFill>
                  <w14:solidFill>
                    <w14:schemeClr w14:val="tx1"/>
                  </w14:solidFill>
                </w14:textFill>
              </w:rPr>
              <w:t>喷干雾抑尘装置</w:t>
            </w:r>
            <w:r>
              <w:rPr>
                <w:rFonts w:hint="eastAsia" w:cs="Times New Roman"/>
                <w:color w:val="000000" w:themeColor="text1"/>
                <w:sz w:val="21"/>
                <w:szCs w:val="21"/>
                <w:highlight w:val="none"/>
                <w:lang w:eastAsia="zh-CN"/>
                <w14:textFill>
                  <w14:solidFill>
                    <w14:schemeClr w14:val="tx1"/>
                  </w14:solidFill>
                </w14:textFill>
              </w:rPr>
              <w:t>，在</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日常生产过程对地面</w:t>
            </w:r>
            <w:r>
              <w:rPr>
                <w:rFonts w:hint="eastAsia" w:cs="Times New Roman"/>
                <w:b w:val="0"/>
                <w:bCs w:val="0"/>
                <w:color w:val="000000" w:themeColor="text1"/>
                <w:sz w:val="21"/>
                <w:szCs w:val="21"/>
                <w:highlight w:val="none"/>
                <w:lang w:eastAsia="zh-CN"/>
                <w14:textFill>
                  <w14:solidFill>
                    <w14:schemeClr w14:val="tx1"/>
                  </w14:solidFill>
                </w14:textFill>
              </w:rPr>
              <w:t>时常</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清扫</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eastAsia" w:cs="Times New Roman"/>
                <w:color w:val="000000" w:themeColor="text1"/>
                <w:sz w:val="21"/>
                <w:szCs w:val="21"/>
                <w:highlight w:val="none"/>
                <w:lang w:eastAsia="zh-CN"/>
                <w14:textFill>
                  <w14:solidFill>
                    <w14:schemeClr w14:val="tx1"/>
                  </w14:solidFill>
                </w14:textFill>
              </w:rPr>
              <w:t>通过</w:t>
            </w:r>
            <w:r>
              <w:rPr>
                <w:rFonts w:hint="default" w:ascii="Times New Roman" w:hAnsi="Times New Roman" w:cs="Times New Roman"/>
                <w:color w:val="000000" w:themeColor="text1"/>
                <w:sz w:val="21"/>
                <w:szCs w:val="21"/>
                <w:highlight w:val="none"/>
                <w:lang w:eastAsia="zh-CN"/>
                <w14:textFill>
                  <w14:solidFill>
                    <w14:schemeClr w14:val="tx1"/>
                  </w14:solidFill>
                </w14:textFill>
              </w:rPr>
              <w:t>采取上述措施后无组织粉尘降尘效率</w:t>
            </w:r>
            <w:r>
              <w:rPr>
                <w:rFonts w:hint="default" w:ascii="Times New Roman" w:hAnsi="Times New Roman" w:cs="Times New Roman"/>
                <w:b w:val="0"/>
                <w:bCs w:val="0"/>
                <w:color w:val="000000" w:themeColor="text1"/>
                <w:sz w:val="21"/>
                <w:szCs w:val="21"/>
                <w:highlight w:val="none"/>
                <w:u w:val="none"/>
                <w:lang w:eastAsia="zh-CN"/>
                <w14:textFill>
                  <w14:solidFill>
                    <w14:schemeClr w14:val="tx1"/>
                  </w14:solidFill>
                </w14:textFill>
              </w:rPr>
              <w:t>按</w:t>
            </w:r>
            <w:r>
              <w:rPr>
                <w:rFonts w:hint="eastAsia" w:cs="Times New Roman"/>
                <w:b w:val="0"/>
                <w:bCs w:val="0"/>
                <w:color w:val="000000" w:themeColor="text1"/>
                <w:sz w:val="21"/>
                <w:szCs w:val="21"/>
                <w:highlight w:val="none"/>
                <w:u w:val="none"/>
                <w:lang w:val="en-US" w:eastAsia="zh-CN"/>
                <w14:textFill>
                  <w14:solidFill>
                    <w14:schemeClr w14:val="tx1"/>
                  </w14:solidFill>
                </w14:textFill>
              </w:rPr>
              <w:t>95</w:t>
            </w:r>
            <w:r>
              <w:rPr>
                <w:rFonts w:hint="default" w:ascii="Times New Roman" w:hAnsi="Times New Roman" w:cs="Times New Roman"/>
                <w:b w:val="0"/>
                <w:bCs w:val="0"/>
                <w:color w:val="000000" w:themeColor="text1"/>
                <w:sz w:val="21"/>
                <w:szCs w:val="21"/>
                <w:highlight w:val="none"/>
                <w:u w:val="none"/>
                <w14:textFill>
                  <w14:solidFill>
                    <w14:schemeClr w14:val="tx1"/>
                  </w14:solidFill>
                </w14:textFill>
              </w:rPr>
              <w:t>%</w:t>
            </w:r>
            <w:r>
              <w:rPr>
                <w:rFonts w:hint="eastAsia" w:cs="Times New Roman"/>
                <w:b w:val="0"/>
                <w:bCs w:val="0"/>
                <w:color w:val="000000" w:themeColor="text1"/>
                <w:sz w:val="21"/>
                <w:szCs w:val="21"/>
                <w:highlight w:val="none"/>
                <w:u w:val="none"/>
                <w:lang w:eastAsia="zh-CN"/>
                <w14:textFill>
                  <w14:solidFill>
                    <w14:schemeClr w14:val="tx1"/>
                  </w14:solidFill>
                </w14:textFill>
              </w:rPr>
              <w:t>计算</w:t>
            </w:r>
            <w:r>
              <w:rPr>
                <w:rFonts w:hint="default" w:ascii="Times New Roman" w:hAnsi="Times New Roman" w:cs="Times New Roman"/>
                <w:b w:val="0"/>
                <w:bCs w:val="0"/>
                <w:color w:val="000000" w:themeColor="text1"/>
                <w:sz w:val="21"/>
                <w:szCs w:val="21"/>
                <w:highlight w:val="none"/>
                <w:u w:val="none"/>
                <w:lang w:eastAsia="zh-CN"/>
                <w14:textFill>
                  <w14:solidFill>
                    <w14:schemeClr w14:val="tx1"/>
                  </w14:solidFill>
                </w14:textFill>
              </w:rPr>
              <w:t>，</w:t>
            </w:r>
            <w:r>
              <w:rPr>
                <w:rFonts w:hint="default" w:ascii="Times New Roman" w:hAnsi="Times New Roman" w:cs="Times New Roman"/>
                <w:color w:val="000000" w:themeColor="text1"/>
                <w:kern w:val="0"/>
                <w:sz w:val="21"/>
                <w:szCs w:val="21"/>
                <w:highlight w:val="none"/>
                <w14:textFill>
                  <w14:solidFill>
                    <w14:schemeClr w14:val="tx1"/>
                  </w14:solidFill>
                </w14:textFill>
              </w:rPr>
              <w:t>则</w:t>
            </w:r>
            <w:r>
              <w:rPr>
                <w:rFonts w:hint="default" w:ascii="Times New Roman" w:hAnsi="Times New Roman" w:cs="Times New Roman"/>
                <w:color w:val="000000" w:themeColor="text1"/>
                <w:kern w:val="0"/>
                <w:sz w:val="21"/>
                <w:szCs w:val="21"/>
                <w:highlight w:val="none"/>
                <w:lang w:eastAsia="zh-CN"/>
                <w14:textFill>
                  <w14:solidFill>
                    <w14:schemeClr w14:val="tx1"/>
                  </w14:solidFill>
                </w14:textFill>
              </w:rPr>
              <w:t>该工序生产车间无组织颗粒物排放量</w:t>
            </w:r>
            <w:r>
              <w:rPr>
                <w:rFonts w:hint="default" w:ascii="Times New Roman" w:hAnsi="Times New Roman" w:cs="Times New Roman"/>
                <w:color w:val="000000" w:themeColor="text1"/>
                <w:kern w:val="0"/>
                <w:sz w:val="21"/>
                <w:szCs w:val="21"/>
                <w:highlight w:val="none"/>
                <w14:textFill>
                  <w14:solidFill>
                    <w14:schemeClr w14:val="tx1"/>
                  </w14:solidFill>
                </w14:textFill>
              </w:rPr>
              <w:t>为</w:t>
            </w:r>
            <w:r>
              <w:rPr>
                <w:rFonts w:hint="eastAsia" w:cs="Times New Roman"/>
                <w:color w:val="000000" w:themeColor="text1"/>
                <w:kern w:val="0"/>
                <w:sz w:val="21"/>
                <w:szCs w:val="21"/>
                <w:highlight w:val="none"/>
                <w:lang w:val="en-US" w:eastAsia="zh-CN"/>
                <w14:textFill>
                  <w14:solidFill>
                    <w14:schemeClr w14:val="tx1"/>
                  </w14:solidFill>
                </w14:textFill>
              </w:rPr>
              <w:t>0.0574</w:t>
            </w:r>
            <w:r>
              <w:rPr>
                <w:rFonts w:hint="default" w:ascii="Times New Roman" w:hAnsi="Times New Roman" w:cs="Times New Roman"/>
                <w:color w:val="000000" w:themeColor="text1"/>
                <w:kern w:val="0"/>
                <w:sz w:val="21"/>
                <w:szCs w:val="21"/>
                <w:highlight w:val="none"/>
                <w14:textFill>
                  <w14:solidFill>
                    <w14:schemeClr w14:val="tx1"/>
                  </w14:solidFill>
                </w14:textFill>
              </w:rPr>
              <w:t>t/a。</w:t>
            </w:r>
          </w:p>
          <w:p>
            <w:pPr>
              <w:keepNext w:val="0"/>
              <w:keepLines w:val="0"/>
              <w:pageBreakBefore w:val="0"/>
              <w:widowControl w:val="0"/>
              <w:kinsoku/>
              <w:wordWrap/>
              <w:overflowPunct/>
              <w:topLinePunct w:val="0"/>
              <w:autoSpaceDE/>
              <w:autoSpaceDN/>
              <w:bidi w:val="0"/>
              <w:adjustRightInd/>
              <w:snapToGrid/>
              <w:spacing w:line="360" w:lineRule="auto"/>
              <w:ind w:leftChars="0" w:firstLine="422" w:firstLineChars="200"/>
              <w:jc w:val="both"/>
              <w:textAlignment w:val="auto"/>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fldChar w:fldCharType="begin"/>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instrText xml:space="preserve"> = 3 \* GB3 \* MERGEFORMAT </w:instrTex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fldChar w:fldCharType="separate"/>
            </w:r>
            <w:r>
              <w:rPr>
                <w:rFonts w:hint="default" w:ascii="Times New Roman" w:hAnsi="Times New Roman" w:cs="Times New Roman"/>
                <w:b/>
                <w:bCs/>
                <w:color w:val="000000" w:themeColor="text1"/>
                <w:highlight w:val="none"/>
                <w14:textFill>
                  <w14:solidFill>
                    <w14:schemeClr w14:val="tx1"/>
                  </w14:solidFill>
                </w14:textFill>
              </w:rPr>
              <w:t>③</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fldChar w:fldCharType="end"/>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加热工序燃气废气</w:t>
            </w:r>
          </w:p>
          <w:p>
            <w:pPr>
              <w:pStyle w:val="2"/>
              <w:snapToGrid/>
              <w:spacing w:before="0" w:after="0" w:line="360" w:lineRule="auto"/>
              <w:ind w:left="0" w:firstLine="422" w:firstLineChars="200"/>
              <w:rPr>
                <w:rFonts w:hint="default" w:ascii="Times New Roman" w:hAnsi="Times New Roman" w:eastAsia="宋体" w:cs="Times New Roman"/>
                <w:b/>
                <w:bCs w:val="0"/>
                <w:color w:val="000000" w:themeColor="text1"/>
                <w:kern w:val="0"/>
                <w:sz w:val="21"/>
                <w:szCs w:val="21"/>
                <w:u w:val="single"/>
                <w:lang w:eastAsia="zh-CN"/>
                <w14:textFill>
                  <w14:solidFill>
                    <w14:schemeClr w14:val="tx1"/>
                  </w14:solidFill>
                </w14:textFill>
              </w:rPr>
            </w:pPr>
            <w:r>
              <w:rPr>
                <w:rFonts w:hint="default" w:ascii="Times New Roman" w:hAnsi="Times New Roman" w:eastAsia="宋体" w:cs="Times New Roman"/>
                <w:b/>
                <w:bCs w:val="0"/>
                <w:color w:val="000000" w:themeColor="text1"/>
                <w:kern w:val="0"/>
                <w:sz w:val="21"/>
                <w:szCs w:val="21"/>
                <w:u w:val="single"/>
                <w14:textFill>
                  <w14:solidFill>
                    <w14:schemeClr w14:val="tx1"/>
                  </w14:solidFill>
                </w14:textFill>
              </w:rPr>
              <w:t>本次扩建工程新增2台燃气加热炉，采用天然气作为燃料，</w:t>
            </w:r>
            <w:r>
              <w:rPr>
                <w:rFonts w:hint="default" w:ascii="Times New Roman" w:hAnsi="Times New Roman" w:eastAsia="宋体" w:cs="Times New Roman"/>
                <w:b/>
                <w:bCs w:val="0"/>
                <w:color w:val="000000" w:themeColor="text1"/>
                <w:kern w:val="0"/>
                <w:sz w:val="21"/>
                <w:szCs w:val="21"/>
                <w:u w:val="single"/>
                <w:lang w:eastAsia="zh-CN"/>
                <w14:textFill>
                  <w14:solidFill>
                    <w14:schemeClr w14:val="tx1"/>
                  </w14:solidFill>
                </w14:textFill>
              </w:rPr>
              <w:t>天然气用量为</w:t>
            </w:r>
            <w:r>
              <w:rPr>
                <w:rFonts w:hint="default" w:ascii="Times New Roman" w:hAnsi="Times New Roman" w:eastAsia="宋体" w:cs="Times New Roman"/>
                <w:b/>
                <w:bCs w:val="0"/>
                <w:color w:val="000000" w:themeColor="text1"/>
                <w:kern w:val="0"/>
                <w:sz w:val="21"/>
                <w:szCs w:val="21"/>
                <w:u w:val="single"/>
                <w:lang w:val="en-US" w:eastAsia="zh-CN"/>
                <w14:textFill>
                  <w14:solidFill>
                    <w14:schemeClr w14:val="tx1"/>
                  </w14:solidFill>
                </w14:textFill>
              </w:rPr>
              <w:t>108万m</w:t>
            </w:r>
            <w:r>
              <w:rPr>
                <w:rFonts w:hint="default" w:ascii="Times New Roman" w:hAnsi="Times New Roman" w:eastAsia="宋体" w:cs="Times New Roman"/>
                <w:b/>
                <w:bCs w:val="0"/>
                <w:color w:val="000000" w:themeColor="text1"/>
                <w:kern w:val="0"/>
                <w:sz w:val="21"/>
                <w:szCs w:val="21"/>
                <w:u w:val="single"/>
                <w:vertAlign w:val="superscript"/>
                <w:lang w:val="en-US" w:eastAsia="zh-CN"/>
                <w14:textFill>
                  <w14:solidFill>
                    <w14:schemeClr w14:val="tx1"/>
                  </w14:solidFill>
                </w14:textFill>
              </w:rPr>
              <w:t>3</w:t>
            </w:r>
            <w:r>
              <w:rPr>
                <w:rFonts w:hint="default" w:ascii="Times New Roman" w:hAnsi="Times New Roman" w:eastAsia="宋体" w:cs="Times New Roman"/>
                <w:b/>
                <w:bCs w:val="0"/>
                <w:color w:val="000000" w:themeColor="text1"/>
                <w:kern w:val="0"/>
                <w:sz w:val="21"/>
                <w:szCs w:val="21"/>
                <w:u w:val="single"/>
                <w:lang w:val="en-US" w:eastAsia="zh-CN"/>
                <w14:textFill>
                  <w14:solidFill>
                    <w14:schemeClr w14:val="tx1"/>
                  </w14:solidFill>
                </w14:textFill>
              </w:rPr>
              <w:t>/a</w:t>
            </w:r>
            <w:r>
              <w:rPr>
                <w:rFonts w:hint="default" w:ascii="Times New Roman" w:hAnsi="Times New Roman" w:eastAsia="宋体" w:cs="Times New Roman"/>
                <w:b/>
                <w:bCs w:val="0"/>
                <w:color w:val="000000" w:themeColor="text1"/>
                <w:kern w:val="0"/>
                <w:sz w:val="21"/>
                <w:szCs w:val="21"/>
                <w:u w:val="single"/>
                <w:lang w:eastAsia="zh-CN"/>
                <w14:textFill>
                  <w14:solidFill>
                    <w14:schemeClr w14:val="tx1"/>
                  </w14:solidFill>
                </w14:textFill>
              </w:rPr>
              <w:t>。加热炉产生废气污染物主要为颗粒物、二氧化硫和氮氧化物，废气产生来源分析如下：</w:t>
            </w:r>
          </w:p>
          <w:p>
            <w:pPr>
              <w:pStyle w:val="2"/>
              <w:snapToGrid/>
              <w:spacing w:before="0" w:after="0" w:line="360" w:lineRule="auto"/>
              <w:ind w:left="0" w:firstLine="422" w:firstLineChars="200"/>
              <w:rPr>
                <w:rFonts w:hint="default" w:ascii="Times New Roman" w:hAnsi="Times New Roman" w:eastAsia="宋体" w:cs="Times New Roman"/>
                <w:b/>
                <w:bCs w:val="0"/>
                <w:color w:val="000000" w:themeColor="text1"/>
                <w:kern w:val="0"/>
                <w:sz w:val="21"/>
                <w:szCs w:val="21"/>
                <w:u w:val="single"/>
                <w:lang w:eastAsia="zh-CN"/>
                <w14:textFill>
                  <w14:solidFill>
                    <w14:schemeClr w14:val="tx1"/>
                  </w14:solidFill>
                </w14:textFill>
              </w:rPr>
            </w:pPr>
            <w:r>
              <w:rPr>
                <w:rFonts w:hint="default" w:ascii="Times New Roman" w:hAnsi="Times New Roman" w:eastAsia="宋体" w:cs="Times New Roman"/>
                <w:b/>
                <w:bCs w:val="0"/>
                <w:color w:val="000000" w:themeColor="text1"/>
                <w:kern w:val="0"/>
                <w:sz w:val="21"/>
                <w:szCs w:val="21"/>
                <w:u w:val="single"/>
                <w:lang w:eastAsia="zh-CN"/>
                <w14:textFill>
                  <w14:solidFill>
                    <w14:schemeClr w14:val="tx1"/>
                  </w14:solidFill>
                </w14:textFill>
              </w:rPr>
              <w:t>颗粒物来源分析：烟尘主要为钢板表面尘土、炉窑炉衬等燃烧产生。</w:t>
            </w:r>
          </w:p>
          <w:p>
            <w:pPr>
              <w:pStyle w:val="2"/>
              <w:snapToGrid/>
              <w:spacing w:before="0" w:after="0" w:line="360" w:lineRule="auto"/>
              <w:ind w:left="0" w:firstLine="422" w:firstLineChars="200"/>
              <w:rPr>
                <w:rFonts w:hint="default" w:ascii="Times New Roman" w:hAnsi="Times New Roman" w:eastAsia="宋体" w:cs="Times New Roman"/>
                <w:b/>
                <w:bCs w:val="0"/>
                <w:color w:val="000000" w:themeColor="text1"/>
                <w:kern w:val="0"/>
                <w:sz w:val="21"/>
                <w:szCs w:val="21"/>
                <w:u w:val="single"/>
                <w:lang w:eastAsia="zh-CN"/>
                <w14:textFill>
                  <w14:solidFill>
                    <w14:schemeClr w14:val="tx1"/>
                  </w14:solidFill>
                </w14:textFill>
              </w:rPr>
            </w:pPr>
            <w:r>
              <w:rPr>
                <w:rFonts w:hint="default" w:ascii="Times New Roman" w:hAnsi="Times New Roman" w:eastAsia="宋体" w:cs="Times New Roman"/>
                <w:b/>
                <w:bCs w:val="0"/>
                <w:color w:val="000000" w:themeColor="text1"/>
                <w:kern w:val="0"/>
                <w:sz w:val="21"/>
                <w:szCs w:val="21"/>
                <w:u w:val="single"/>
                <w:lang w:eastAsia="zh-CN"/>
                <w14:textFill>
                  <w14:solidFill>
                    <w14:schemeClr w14:val="tx1"/>
                  </w14:solidFill>
                </w14:textFill>
              </w:rPr>
              <w:t>SO</w:t>
            </w:r>
            <w:r>
              <w:rPr>
                <w:rFonts w:hint="default" w:ascii="Times New Roman" w:hAnsi="Times New Roman" w:eastAsia="宋体" w:cs="Times New Roman"/>
                <w:b/>
                <w:bCs w:val="0"/>
                <w:color w:val="000000" w:themeColor="text1"/>
                <w:kern w:val="0"/>
                <w:sz w:val="21"/>
                <w:szCs w:val="21"/>
                <w:u w:val="single"/>
                <w:vertAlign w:val="subscript"/>
                <w:lang w:eastAsia="zh-CN"/>
                <w14:textFill>
                  <w14:solidFill>
                    <w14:schemeClr w14:val="tx1"/>
                  </w14:solidFill>
                </w14:textFill>
              </w:rPr>
              <w:t>2</w:t>
            </w:r>
            <w:r>
              <w:rPr>
                <w:rFonts w:hint="default" w:ascii="Times New Roman" w:hAnsi="Times New Roman" w:eastAsia="宋体" w:cs="Times New Roman"/>
                <w:b/>
                <w:bCs w:val="0"/>
                <w:color w:val="000000" w:themeColor="text1"/>
                <w:kern w:val="0"/>
                <w:sz w:val="21"/>
                <w:szCs w:val="21"/>
                <w:u w:val="single"/>
                <w:lang w:eastAsia="zh-CN"/>
                <w14:textFill>
                  <w14:solidFill>
                    <w14:schemeClr w14:val="tx1"/>
                  </w14:solidFill>
                </w14:textFill>
              </w:rPr>
              <w:t>来源分析：根据项目所用的天然气气质检测报告（附件六）可知，项目所用天然气中含有部分H</w:t>
            </w:r>
            <w:r>
              <w:rPr>
                <w:rFonts w:hint="default" w:ascii="Times New Roman" w:hAnsi="Times New Roman" w:eastAsia="宋体" w:cs="Times New Roman"/>
                <w:b/>
                <w:bCs w:val="0"/>
                <w:color w:val="000000" w:themeColor="text1"/>
                <w:kern w:val="0"/>
                <w:sz w:val="21"/>
                <w:szCs w:val="21"/>
                <w:u w:val="single"/>
                <w:vertAlign w:val="subscript"/>
                <w:lang w:eastAsia="zh-CN"/>
                <w14:textFill>
                  <w14:solidFill>
                    <w14:schemeClr w14:val="tx1"/>
                  </w14:solidFill>
                </w14:textFill>
              </w:rPr>
              <w:t>2</w:t>
            </w:r>
            <w:r>
              <w:rPr>
                <w:rFonts w:hint="default" w:ascii="Times New Roman" w:hAnsi="Times New Roman" w:eastAsia="宋体" w:cs="Times New Roman"/>
                <w:b/>
                <w:bCs w:val="0"/>
                <w:color w:val="000000" w:themeColor="text1"/>
                <w:kern w:val="0"/>
                <w:sz w:val="21"/>
                <w:szCs w:val="21"/>
                <w:u w:val="single"/>
                <w:lang w:eastAsia="zh-CN"/>
                <w14:textFill>
                  <w14:solidFill>
                    <w14:schemeClr w14:val="tx1"/>
                  </w14:solidFill>
                </w14:textFill>
              </w:rPr>
              <w:t>S气体，因此炉窑废气中的SO</w:t>
            </w:r>
            <w:r>
              <w:rPr>
                <w:rFonts w:hint="default" w:ascii="Times New Roman" w:hAnsi="Times New Roman" w:eastAsia="宋体" w:cs="Times New Roman"/>
                <w:b/>
                <w:bCs w:val="0"/>
                <w:color w:val="000000" w:themeColor="text1"/>
                <w:kern w:val="0"/>
                <w:sz w:val="21"/>
                <w:szCs w:val="21"/>
                <w:u w:val="single"/>
                <w:vertAlign w:val="subscript"/>
                <w:lang w:eastAsia="zh-CN"/>
                <w14:textFill>
                  <w14:solidFill>
                    <w14:schemeClr w14:val="tx1"/>
                  </w14:solidFill>
                </w14:textFill>
              </w:rPr>
              <w:t>2</w:t>
            </w:r>
            <w:r>
              <w:rPr>
                <w:rFonts w:hint="default" w:ascii="Times New Roman" w:hAnsi="Times New Roman" w:eastAsia="宋体" w:cs="Times New Roman"/>
                <w:b/>
                <w:bCs w:val="0"/>
                <w:color w:val="000000" w:themeColor="text1"/>
                <w:kern w:val="0"/>
                <w:sz w:val="21"/>
                <w:szCs w:val="21"/>
                <w:u w:val="single"/>
                <w:lang w:eastAsia="zh-CN"/>
                <w14:textFill>
                  <w14:solidFill>
                    <w14:schemeClr w14:val="tx1"/>
                  </w14:solidFill>
                </w14:textFill>
              </w:rPr>
              <w:t>主要为H</w:t>
            </w:r>
            <w:r>
              <w:rPr>
                <w:rFonts w:hint="default" w:ascii="Times New Roman" w:hAnsi="Times New Roman" w:eastAsia="宋体" w:cs="Times New Roman"/>
                <w:b/>
                <w:bCs w:val="0"/>
                <w:color w:val="000000" w:themeColor="text1"/>
                <w:kern w:val="0"/>
                <w:sz w:val="21"/>
                <w:szCs w:val="21"/>
                <w:u w:val="single"/>
                <w:vertAlign w:val="subscript"/>
                <w:lang w:eastAsia="zh-CN"/>
                <w14:textFill>
                  <w14:solidFill>
                    <w14:schemeClr w14:val="tx1"/>
                  </w14:solidFill>
                </w14:textFill>
              </w:rPr>
              <w:t>2</w:t>
            </w:r>
            <w:r>
              <w:rPr>
                <w:rFonts w:hint="default" w:ascii="Times New Roman" w:hAnsi="Times New Roman" w:eastAsia="宋体" w:cs="Times New Roman"/>
                <w:b/>
                <w:bCs w:val="0"/>
                <w:color w:val="000000" w:themeColor="text1"/>
                <w:kern w:val="0"/>
                <w:sz w:val="21"/>
                <w:szCs w:val="21"/>
                <w:u w:val="single"/>
                <w:lang w:eastAsia="zh-CN"/>
                <w14:textFill>
                  <w14:solidFill>
                    <w14:schemeClr w14:val="tx1"/>
                  </w14:solidFill>
                </w14:textFill>
              </w:rPr>
              <w:t>S燃烧后产生。</w:t>
            </w:r>
          </w:p>
          <w:p>
            <w:pPr>
              <w:pStyle w:val="2"/>
              <w:snapToGrid/>
              <w:spacing w:before="0" w:after="0" w:line="360" w:lineRule="auto"/>
              <w:ind w:left="0" w:firstLine="422" w:firstLineChars="200"/>
              <w:rPr>
                <w:rFonts w:hint="default" w:ascii="Times New Roman" w:hAnsi="Times New Roman" w:eastAsia="宋体" w:cs="Times New Roman"/>
                <w:b/>
                <w:bCs w:val="0"/>
                <w:color w:val="000000" w:themeColor="text1"/>
                <w:kern w:val="0"/>
                <w:sz w:val="21"/>
                <w:szCs w:val="21"/>
                <w:u w:val="single"/>
                <w:lang w:eastAsia="zh-CN"/>
                <w14:textFill>
                  <w14:solidFill>
                    <w14:schemeClr w14:val="tx1"/>
                  </w14:solidFill>
                </w14:textFill>
              </w:rPr>
            </w:pPr>
            <w:r>
              <w:rPr>
                <w:rFonts w:hint="default" w:ascii="Times New Roman" w:hAnsi="Times New Roman" w:eastAsia="宋体" w:cs="Times New Roman"/>
                <w:b/>
                <w:bCs w:val="0"/>
                <w:color w:val="000000" w:themeColor="text1"/>
                <w:kern w:val="0"/>
                <w:sz w:val="21"/>
                <w:szCs w:val="21"/>
                <w:u w:val="single"/>
                <w:lang w:eastAsia="zh-CN"/>
                <w14:textFill>
                  <w14:solidFill>
                    <w14:schemeClr w14:val="tx1"/>
                  </w14:solidFill>
                </w14:textFill>
              </w:rPr>
              <w:t>NOx来源分析：根据氮氧化物产生机理可分为燃料型NOx、热力型NOx和快速型NOx。其中原料型NOx主要为原料中含有N元素，在燃烧过程中和O</w:t>
            </w:r>
            <w:r>
              <w:rPr>
                <w:rFonts w:hint="default" w:ascii="Times New Roman" w:hAnsi="Times New Roman" w:eastAsia="宋体" w:cs="Times New Roman"/>
                <w:b/>
                <w:bCs w:val="0"/>
                <w:color w:val="000000" w:themeColor="text1"/>
                <w:kern w:val="0"/>
                <w:sz w:val="21"/>
                <w:szCs w:val="21"/>
                <w:u w:val="single"/>
                <w:vertAlign w:val="subscript"/>
                <w:lang w:eastAsia="zh-CN"/>
                <w14:textFill>
                  <w14:solidFill>
                    <w14:schemeClr w14:val="tx1"/>
                  </w14:solidFill>
                </w14:textFill>
              </w:rPr>
              <w:t>2</w:t>
            </w:r>
            <w:r>
              <w:rPr>
                <w:rFonts w:hint="default" w:ascii="Times New Roman" w:hAnsi="Times New Roman" w:eastAsia="宋体" w:cs="Times New Roman"/>
                <w:b/>
                <w:bCs w:val="0"/>
                <w:color w:val="000000" w:themeColor="text1"/>
                <w:kern w:val="0"/>
                <w:sz w:val="21"/>
                <w:szCs w:val="21"/>
                <w:u w:val="single"/>
                <w:lang w:eastAsia="zh-CN"/>
                <w14:textFill>
                  <w14:solidFill>
                    <w14:schemeClr w14:val="tx1"/>
                  </w14:solidFill>
                </w14:textFill>
              </w:rPr>
              <w:t>结合生产的氮氧化物；热力型氮氧化物是在温度高于</w:t>
            </w:r>
            <w:r>
              <w:rPr>
                <w:rFonts w:hint="default" w:ascii="Times New Roman" w:hAnsi="Times New Roman" w:eastAsia="宋体" w:cs="Times New Roman"/>
                <w:b/>
                <w:bCs w:val="0"/>
                <w:color w:val="000000" w:themeColor="text1"/>
                <w:kern w:val="0"/>
                <w:sz w:val="21"/>
                <w:szCs w:val="21"/>
                <w:u w:val="single"/>
                <w:lang w:val="en-US" w:eastAsia="zh-CN"/>
                <w14:textFill>
                  <w14:solidFill>
                    <w14:schemeClr w14:val="tx1"/>
                  </w14:solidFill>
                </w14:textFill>
              </w:rPr>
              <w:t>8</w:t>
            </w:r>
            <w:r>
              <w:rPr>
                <w:rFonts w:hint="default" w:ascii="Times New Roman" w:hAnsi="Times New Roman" w:eastAsia="宋体" w:cs="Times New Roman"/>
                <w:b/>
                <w:bCs w:val="0"/>
                <w:color w:val="000000" w:themeColor="text1"/>
                <w:kern w:val="0"/>
                <w:sz w:val="21"/>
                <w:szCs w:val="21"/>
                <w:u w:val="single"/>
                <w:lang w:eastAsia="zh-CN"/>
                <w14:textFill>
                  <w14:solidFill>
                    <w14:schemeClr w14:val="tx1"/>
                  </w14:solidFill>
                </w14:textFill>
              </w:rPr>
              <w:t>00℃时，空气中氮气和氧气反应生成的氮氧化物，该类情况燃料燃烧时的过量空气系数大于1；快速型NO</w:t>
            </w:r>
            <w:r>
              <w:rPr>
                <w:rFonts w:hint="default" w:ascii="Times New Roman" w:hAnsi="Times New Roman" w:eastAsia="宋体" w:cs="Times New Roman"/>
                <w:b/>
                <w:bCs w:val="0"/>
                <w:color w:val="000000" w:themeColor="text1"/>
                <w:kern w:val="0"/>
                <w:sz w:val="21"/>
                <w:szCs w:val="21"/>
                <w:u w:val="single"/>
                <w:vertAlign w:val="subscript"/>
                <w:lang w:eastAsia="zh-CN"/>
                <w14:textFill>
                  <w14:solidFill>
                    <w14:schemeClr w14:val="tx1"/>
                  </w14:solidFill>
                </w14:textFill>
              </w:rPr>
              <w:t>x</w:t>
            </w:r>
            <w:r>
              <w:rPr>
                <w:rFonts w:hint="default" w:ascii="Times New Roman" w:hAnsi="Times New Roman" w:eastAsia="宋体" w:cs="Times New Roman"/>
                <w:b/>
                <w:bCs w:val="0"/>
                <w:color w:val="000000" w:themeColor="text1"/>
                <w:kern w:val="0"/>
                <w:sz w:val="21"/>
                <w:szCs w:val="21"/>
                <w:u w:val="single"/>
                <w:lang w:eastAsia="zh-CN"/>
                <w14:textFill>
                  <w14:solidFill>
                    <w14:schemeClr w14:val="tx1"/>
                  </w14:solidFill>
                </w14:textFill>
              </w:rPr>
              <w:t>是燃料中的碳氢化合物在燃料浓度较高区域燃烧时，所产生的烃和空气中N</w:t>
            </w:r>
            <w:r>
              <w:rPr>
                <w:rFonts w:hint="default" w:ascii="Times New Roman" w:hAnsi="Times New Roman" w:eastAsia="宋体" w:cs="Times New Roman"/>
                <w:b/>
                <w:bCs w:val="0"/>
                <w:color w:val="000000" w:themeColor="text1"/>
                <w:kern w:val="0"/>
                <w:sz w:val="21"/>
                <w:szCs w:val="21"/>
                <w:u w:val="single"/>
                <w:vertAlign w:val="subscript"/>
                <w:lang w:eastAsia="zh-CN"/>
                <w14:textFill>
                  <w14:solidFill>
                    <w14:schemeClr w14:val="tx1"/>
                  </w14:solidFill>
                </w14:textFill>
              </w:rPr>
              <w:t>2</w:t>
            </w:r>
            <w:r>
              <w:rPr>
                <w:rFonts w:hint="default" w:ascii="Times New Roman" w:hAnsi="Times New Roman" w:eastAsia="宋体" w:cs="Times New Roman"/>
                <w:b/>
                <w:bCs w:val="0"/>
                <w:color w:val="000000" w:themeColor="text1"/>
                <w:kern w:val="0"/>
                <w:sz w:val="21"/>
                <w:szCs w:val="21"/>
                <w:u w:val="single"/>
                <w:lang w:eastAsia="zh-CN"/>
                <w14:textFill>
                  <w14:solidFill>
                    <w14:schemeClr w14:val="tx1"/>
                  </w14:solidFill>
                </w14:textFill>
              </w:rPr>
              <w:t>反应生产的氮氧化物，该类情况燃料燃烧时的过量空气系数小于1。本项目主要为热力型NOx</w:t>
            </w:r>
            <w:r>
              <w:rPr>
                <w:rFonts w:hint="default" w:ascii="Times New Roman" w:hAnsi="Times New Roman" w:cs="Times New Roman"/>
                <w:b/>
                <w:bCs w:val="0"/>
                <w:color w:val="000000" w:themeColor="text1"/>
                <w:kern w:val="0"/>
                <w:sz w:val="21"/>
                <w:szCs w:val="21"/>
                <w:u w:val="single"/>
                <w:lang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cs="Times New Roman"/>
                <w:b/>
                <w:bCs w:val="0"/>
                <w:color w:val="000000" w:themeColor="text1"/>
                <w:kern w:val="0"/>
                <w:sz w:val="21"/>
                <w:szCs w:val="21"/>
                <w:u w:val="single"/>
                <w:lang w:val="en-US" w:eastAsia="zh-CN"/>
                <w14:textFill>
                  <w14:solidFill>
                    <w14:schemeClr w14:val="tx1"/>
                  </w14:solidFill>
                </w14:textFill>
              </w:rPr>
            </w:pPr>
            <w:r>
              <w:rPr>
                <w:rFonts w:hint="default" w:ascii="Times New Roman" w:hAnsi="Times New Roman" w:eastAsia="宋体" w:cs="Times New Roman"/>
                <w:b/>
                <w:bCs w:val="0"/>
                <w:color w:val="000000" w:themeColor="text1"/>
                <w:kern w:val="0"/>
                <w:sz w:val="21"/>
                <w:szCs w:val="21"/>
                <w:u w:val="single"/>
                <w:lang w:eastAsia="zh-CN"/>
                <w14:textFill>
                  <w14:solidFill>
                    <w14:schemeClr w14:val="tx1"/>
                  </w14:solidFill>
                </w14:textFill>
              </w:rPr>
              <w:t>由于</w:t>
            </w:r>
            <w:r>
              <w:rPr>
                <w:rFonts w:hint="default" w:ascii="Times New Roman" w:hAnsi="Times New Roman" w:eastAsia="宋体" w:cs="Times New Roman"/>
                <w:b/>
                <w:bCs w:val="0"/>
                <w:color w:val="000000" w:themeColor="text1"/>
                <w:kern w:val="0"/>
                <w:sz w:val="21"/>
                <w:szCs w:val="21"/>
                <w:u w:val="single"/>
                <w14:textFill>
                  <w14:solidFill>
                    <w14:schemeClr w14:val="tx1"/>
                  </w14:solidFill>
                </w14:textFill>
              </w:rPr>
              <w:t>本次新增天然气加热炉</w:t>
            </w:r>
            <w:r>
              <w:rPr>
                <w:rFonts w:hint="default" w:ascii="Times New Roman" w:hAnsi="Times New Roman" w:eastAsia="宋体" w:cs="Times New Roman"/>
                <w:b/>
                <w:bCs w:val="0"/>
                <w:color w:val="000000" w:themeColor="text1"/>
                <w:kern w:val="0"/>
                <w:sz w:val="21"/>
                <w:szCs w:val="21"/>
                <w:u w:val="single"/>
                <w:lang w:eastAsia="zh-CN"/>
                <w14:textFill>
                  <w14:solidFill>
                    <w14:schemeClr w14:val="tx1"/>
                  </w14:solidFill>
                </w14:textFill>
              </w:rPr>
              <w:t>炉型、加热方式均同现有工程加热炉基本相同</w:t>
            </w:r>
            <w:r>
              <w:rPr>
                <w:rFonts w:hint="default" w:ascii="Times New Roman" w:hAnsi="Times New Roman" w:eastAsia="宋体" w:cs="Times New Roman"/>
                <w:b/>
                <w:bCs w:val="0"/>
                <w:color w:val="000000" w:themeColor="text1"/>
                <w:kern w:val="0"/>
                <w:sz w:val="21"/>
                <w:szCs w:val="21"/>
                <w:u w:val="single"/>
                <w14:textFill>
                  <w14:solidFill>
                    <w14:schemeClr w14:val="tx1"/>
                  </w14:solidFill>
                </w14:textFill>
              </w:rPr>
              <w:t>，因此本次工程燃气加热炉废气排放情况类比现有工程加热炉废气排放量进行核算。</w:t>
            </w:r>
            <w:r>
              <w:rPr>
                <w:rFonts w:hint="default" w:ascii="Times New Roman" w:hAnsi="Times New Roman" w:eastAsia="宋体" w:cs="Times New Roman"/>
                <w:b/>
                <w:bCs w:val="0"/>
                <w:color w:val="000000" w:themeColor="text1"/>
                <w:kern w:val="0"/>
                <w:sz w:val="21"/>
                <w:szCs w:val="21"/>
                <w:u w:val="single"/>
                <w:lang w:eastAsia="zh-CN"/>
                <w14:textFill>
                  <w14:solidFill>
                    <w14:schemeClr w14:val="tx1"/>
                  </w14:solidFill>
                </w14:textFill>
              </w:rPr>
              <w:t>根据企业提供资料，现有工程</w:t>
            </w:r>
            <w:r>
              <w:rPr>
                <w:rFonts w:hint="default" w:ascii="Times New Roman" w:hAnsi="Times New Roman" w:eastAsia="宋体" w:cs="Times New Roman"/>
                <w:b/>
                <w:bCs w:val="0"/>
                <w:color w:val="000000" w:themeColor="text1"/>
                <w:kern w:val="0"/>
                <w:sz w:val="21"/>
                <w:szCs w:val="21"/>
                <w:u w:val="single"/>
                <w:lang w:val="en-US" w:eastAsia="zh-CN"/>
                <w14:textFill>
                  <w14:solidFill>
                    <w14:schemeClr w14:val="tx1"/>
                  </w14:solidFill>
                </w14:textFill>
              </w:rPr>
              <w:t>1#~3#加热炉主要为中温成型（550-900℃）工艺</w:t>
            </w:r>
            <w:r>
              <w:rPr>
                <w:rFonts w:hint="default" w:ascii="Times New Roman" w:hAnsi="Times New Roman" w:eastAsia="宋体" w:cs="Times New Roman"/>
                <w:b/>
                <w:bCs w:val="0"/>
                <w:color w:val="000000" w:themeColor="text1"/>
                <w:kern w:val="0"/>
                <w:sz w:val="21"/>
                <w:szCs w:val="21"/>
                <w:u w:val="single"/>
                <w:lang w:eastAsia="zh-CN"/>
                <w14:textFill>
                  <w14:solidFill>
                    <w14:schemeClr w14:val="tx1"/>
                  </w14:solidFill>
                </w14:textFill>
              </w:rPr>
              <w:t>，</w:t>
            </w:r>
            <w:r>
              <w:rPr>
                <w:rFonts w:hint="default" w:ascii="Times New Roman" w:hAnsi="Times New Roman" w:eastAsia="宋体" w:cs="Times New Roman"/>
                <w:b/>
                <w:bCs w:val="0"/>
                <w:color w:val="000000" w:themeColor="text1"/>
                <w:kern w:val="0"/>
                <w:sz w:val="21"/>
                <w:szCs w:val="21"/>
                <w:u w:val="single"/>
                <w:lang w:val="en-US" w:eastAsia="zh-CN"/>
                <w14:textFill>
                  <w14:solidFill>
                    <w14:schemeClr w14:val="tx1"/>
                  </w14:solidFill>
                </w14:textFill>
              </w:rPr>
              <w:t>4#~5#加热炉主要为高温成型（</w:t>
            </w:r>
            <w:r>
              <w:rPr>
                <w:rFonts w:hint="default" w:ascii="Times New Roman" w:hAnsi="Times New Roman" w:cs="Times New Roman"/>
                <w:b/>
                <w:bCs w:val="0"/>
                <w:color w:val="000000" w:themeColor="text1"/>
                <w:kern w:val="0"/>
                <w:sz w:val="21"/>
                <w:szCs w:val="21"/>
                <w:u w:val="single"/>
                <w:lang w:val="en-US" w:eastAsia="zh-CN"/>
                <w14:textFill>
                  <w14:solidFill>
                    <w14:schemeClr w14:val="tx1"/>
                  </w14:solidFill>
                </w14:textFill>
              </w:rPr>
              <w:t>600</w:t>
            </w:r>
            <w:r>
              <w:rPr>
                <w:rFonts w:hint="default" w:ascii="Times New Roman" w:hAnsi="Times New Roman" w:eastAsia="宋体" w:cs="Times New Roman"/>
                <w:b/>
                <w:bCs w:val="0"/>
                <w:color w:val="000000" w:themeColor="text1"/>
                <w:kern w:val="0"/>
                <w:sz w:val="21"/>
                <w:szCs w:val="21"/>
                <w:u w:val="single"/>
                <w:lang w:val="en-US" w:eastAsia="zh-CN"/>
                <w14:textFill>
                  <w14:solidFill>
                    <w14:schemeClr w14:val="tx1"/>
                  </w14:solidFill>
                </w14:textFill>
              </w:rPr>
              <w:t>-</w:t>
            </w:r>
            <w:r>
              <w:rPr>
                <w:rFonts w:hint="default" w:ascii="Times New Roman" w:hAnsi="Times New Roman" w:cs="Times New Roman"/>
                <w:b/>
                <w:bCs w:val="0"/>
                <w:color w:val="000000" w:themeColor="text1"/>
                <w:kern w:val="0"/>
                <w:sz w:val="21"/>
                <w:szCs w:val="21"/>
                <w:u w:val="single"/>
                <w:lang w:val="en-US" w:eastAsia="zh-CN"/>
                <w14:textFill>
                  <w14:solidFill>
                    <w14:schemeClr w14:val="tx1"/>
                  </w14:solidFill>
                </w14:textFill>
              </w:rPr>
              <w:t>10</w:t>
            </w:r>
            <w:r>
              <w:rPr>
                <w:rFonts w:hint="default" w:ascii="Times New Roman" w:hAnsi="Times New Roman" w:eastAsia="宋体" w:cs="Times New Roman"/>
                <w:b/>
                <w:bCs w:val="0"/>
                <w:color w:val="000000" w:themeColor="text1"/>
                <w:kern w:val="0"/>
                <w:sz w:val="21"/>
                <w:szCs w:val="21"/>
                <w:u w:val="single"/>
                <w:lang w:val="en-US" w:eastAsia="zh-CN"/>
                <w14:textFill>
                  <w14:solidFill>
                    <w14:schemeClr w14:val="tx1"/>
                  </w14:solidFill>
                </w14:textFill>
              </w:rPr>
              <w:t>00℃）工艺，本次扩建新增2台加热炉均为高温成型（600-</w:t>
            </w:r>
            <w:r>
              <w:rPr>
                <w:rFonts w:hint="default" w:ascii="Times New Roman" w:hAnsi="Times New Roman" w:cs="Times New Roman"/>
                <w:b/>
                <w:bCs w:val="0"/>
                <w:color w:val="000000" w:themeColor="text1"/>
                <w:kern w:val="0"/>
                <w:sz w:val="21"/>
                <w:szCs w:val="21"/>
                <w:u w:val="single"/>
                <w:lang w:val="en-US" w:eastAsia="zh-CN"/>
                <w14:textFill>
                  <w14:solidFill>
                    <w14:schemeClr w14:val="tx1"/>
                  </w14:solidFill>
                </w14:textFill>
              </w:rPr>
              <w:t>10</w:t>
            </w:r>
            <w:r>
              <w:rPr>
                <w:rFonts w:hint="default" w:ascii="Times New Roman" w:hAnsi="Times New Roman" w:eastAsia="宋体" w:cs="Times New Roman"/>
                <w:b/>
                <w:bCs w:val="0"/>
                <w:color w:val="000000" w:themeColor="text1"/>
                <w:kern w:val="0"/>
                <w:sz w:val="21"/>
                <w:szCs w:val="21"/>
                <w:u w:val="single"/>
                <w:lang w:val="en-US" w:eastAsia="zh-CN"/>
                <w14:textFill>
                  <w14:solidFill>
                    <w14:schemeClr w14:val="tx1"/>
                  </w14:solidFill>
                </w14:textFill>
              </w:rPr>
              <w:t>00℃）工艺，局部温度可达到1500℃，根据《降低加热炉热力型 NO</w:t>
            </w:r>
            <w:r>
              <w:rPr>
                <w:rFonts w:hint="default" w:ascii="Times New Roman" w:hAnsi="Times New Roman" w:eastAsia="宋体" w:cs="Times New Roman"/>
                <w:b/>
                <w:bCs w:val="0"/>
                <w:color w:val="000000" w:themeColor="text1"/>
                <w:kern w:val="0"/>
                <w:sz w:val="21"/>
                <w:szCs w:val="21"/>
                <w:u w:val="single"/>
                <w:vertAlign w:val="subscript"/>
                <w:lang w:val="en-US" w:eastAsia="zh-CN"/>
                <w14:textFill>
                  <w14:solidFill>
                    <w14:schemeClr w14:val="tx1"/>
                  </w14:solidFill>
                </w14:textFill>
              </w:rPr>
              <w:t>X</w:t>
            </w:r>
            <w:r>
              <w:rPr>
                <w:rFonts w:hint="default" w:ascii="Times New Roman" w:hAnsi="Times New Roman" w:eastAsia="宋体" w:cs="Times New Roman"/>
                <w:b/>
                <w:bCs w:val="0"/>
                <w:color w:val="000000" w:themeColor="text1"/>
                <w:kern w:val="0"/>
                <w:sz w:val="21"/>
                <w:szCs w:val="21"/>
                <w:u w:val="single"/>
                <w:lang w:val="en-US" w:eastAsia="zh-CN"/>
                <w14:textFill>
                  <w14:solidFill>
                    <w14:schemeClr w14:val="tx1"/>
                  </w14:solidFill>
                </w14:textFill>
              </w:rPr>
              <w:t>浓度控制技术的研究与应用》（河南冶金，李敬、李娜、郭晓生、李卓冉，2020年8月第28卷第4期）文献资料，同时根据氮氧化物的产生机理，热力型氮氧化物会随着温度的升高而增加，而本次新增2台加热炉作业温度比现有工程高温成型4#~5#加热炉成型温度略高，NOx的产生浓度也会比现有工程高。</w:t>
            </w:r>
            <w:r>
              <w:rPr>
                <w:rFonts w:hint="eastAsia" w:cs="Times New Roman"/>
                <w:b/>
                <w:bCs w:val="0"/>
                <w:color w:val="000000" w:themeColor="text1"/>
                <w:kern w:val="0"/>
                <w:sz w:val="21"/>
                <w:szCs w:val="21"/>
                <w:u w:val="single"/>
                <w:lang w:val="en-US" w:eastAsia="zh-CN"/>
                <w14:textFill>
                  <w14:solidFill>
                    <w14:schemeClr w14:val="tx1"/>
                  </w14:solidFill>
                </w14:textFill>
              </w:rPr>
              <w:t>因此，</w:t>
            </w:r>
            <w:r>
              <w:rPr>
                <w:rFonts w:hint="default" w:ascii="Times New Roman" w:hAnsi="Times New Roman" w:eastAsia="宋体" w:cs="Times New Roman"/>
                <w:b/>
                <w:bCs w:val="0"/>
                <w:color w:val="000000" w:themeColor="text1"/>
                <w:kern w:val="0"/>
                <w:sz w:val="21"/>
                <w:szCs w:val="21"/>
                <w:u w:val="single"/>
                <w:lang w:val="en-US" w:eastAsia="zh-CN"/>
                <w14:textFill>
                  <w14:solidFill>
                    <w14:schemeClr w14:val="tx1"/>
                  </w14:solidFill>
                </w14:textFill>
              </w:rPr>
              <w:t>NOx则根据现有工程加热炉监测结果同时结合文献资料，</w:t>
            </w:r>
            <w:r>
              <w:rPr>
                <w:rFonts w:hint="eastAsia" w:cs="Times New Roman"/>
                <w:b/>
                <w:bCs w:val="0"/>
                <w:color w:val="000000" w:themeColor="text1"/>
                <w:kern w:val="0"/>
                <w:sz w:val="21"/>
                <w:szCs w:val="21"/>
                <w:u w:val="single"/>
                <w:lang w:val="en-US" w:eastAsia="zh-CN"/>
                <w14:textFill>
                  <w14:solidFill>
                    <w14:schemeClr w14:val="tx1"/>
                  </w14:solidFill>
                </w14:textFill>
              </w:rPr>
              <w:t>从严</w:t>
            </w:r>
            <w:r>
              <w:rPr>
                <w:rFonts w:hint="default" w:ascii="Times New Roman" w:hAnsi="Times New Roman" w:eastAsia="宋体" w:cs="Times New Roman"/>
                <w:b/>
                <w:bCs w:val="0"/>
                <w:color w:val="000000" w:themeColor="text1"/>
                <w:kern w:val="0"/>
                <w:sz w:val="21"/>
                <w:szCs w:val="21"/>
                <w:u w:val="single"/>
                <w:lang w:val="en-US" w:eastAsia="zh-CN"/>
                <w14:textFill>
                  <w14:solidFill>
                    <w14:schemeClr w14:val="tx1"/>
                  </w14:solidFill>
                </w14:textFill>
              </w:rPr>
              <w:t>取值300mg/m</w:t>
            </w:r>
            <w:r>
              <w:rPr>
                <w:rFonts w:hint="default" w:ascii="Times New Roman" w:hAnsi="Times New Roman" w:eastAsia="宋体" w:cs="Times New Roman"/>
                <w:b/>
                <w:bCs w:val="0"/>
                <w:color w:val="000000" w:themeColor="text1"/>
                <w:kern w:val="0"/>
                <w:sz w:val="21"/>
                <w:szCs w:val="21"/>
                <w:u w:val="single"/>
                <w:vertAlign w:val="superscript"/>
                <w:lang w:val="en-US" w:eastAsia="zh-CN"/>
                <w14:textFill>
                  <w14:solidFill>
                    <w14:schemeClr w14:val="tx1"/>
                  </w14:solidFill>
                </w14:textFill>
              </w:rPr>
              <w:t>3</w:t>
            </w:r>
            <w:r>
              <w:rPr>
                <w:rFonts w:hint="default" w:ascii="Times New Roman" w:hAnsi="Times New Roman" w:eastAsia="宋体" w:cs="Times New Roman"/>
                <w:b/>
                <w:bCs w:val="0"/>
                <w:color w:val="000000" w:themeColor="text1"/>
                <w:kern w:val="0"/>
                <w:sz w:val="21"/>
                <w:szCs w:val="21"/>
                <w:u w:val="single"/>
                <w:lang w:val="en-US" w:eastAsia="zh-CN"/>
                <w14:textFill>
                  <w14:solidFill>
                    <w14:schemeClr w14:val="tx1"/>
                  </w14:solidFill>
                </w14:textFill>
              </w:rPr>
              <w:t>。本次评价废气量根据《排放源统计调查产排污核算方法和系数手册》</w:t>
            </w:r>
            <w:r>
              <w:rPr>
                <w:rFonts w:hint="default" w:ascii="Times New Roman" w:hAnsi="Times New Roman" w:cs="Times New Roman"/>
                <w:b/>
                <w:bCs w:val="0"/>
                <w:color w:val="000000" w:themeColor="text1"/>
                <w:kern w:val="0"/>
                <w:sz w:val="21"/>
                <w:szCs w:val="21"/>
                <w:u w:val="single"/>
                <w:lang w:val="en-US" w:eastAsia="zh-CN"/>
                <w14:textFill>
                  <w14:solidFill>
                    <w14:schemeClr w14:val="tx1"/>
                  </w14:solidFill>
                </w14:textFill>
              </w:rPr>
              <w:t>中产排污系数进行核算，</w:t>
            </w:r>
            <w:r>
              <w:rPr>
                <w:rFonts w:hint="eastAsia" w:cs="Times New Roman"/>
                <w:b/>
                <w:bCs w:val="0"/>
                <w:color w:val="000000" w:themeColor="text1"/>
                <w:kern w:val="0"/>
                <w:sz w:val="21"/>
                <w:szCs w:val="21"/>
                <w:u w:val="single"/>
                <w:lang w:val="en-US" w:eastAsia="zh-CN"/>
                <w14:textFill>
                  <w14:solidFill>
                    <w14:schemeClr w14:val="tx1"/>
                  </w14:solidFill>
                </w14:textFill>
              </w:rPr>
              <w:t>经计算</w:t>
            </w:r>
            <w:r>
              <w:rPr>
                <w:rFonts w:hint="default" w:ascii="Times New Roman" w:hAnsi="Times New Roman" w:cs="Times New Roman"/>
                <w:b/>
                <w:bCs w:val="0"/>
                <w:color w:val="000000" w:themeColor="text1"/>
                <w:kern w:val="0"/>
                <w:sz w:val="21"/>
                <w:szCs w:val="21"/>
                <w:u w:val="single"/>
                <w:lang w:val="en-US" w:eastAsia="zh-CN"/>
                <w14:textFill>
                  <w14:solidFill>
                    <w14:schemeClr w14:val="tx1"/>
                  </w14:solidFill>
                </w14:textFill>
              </w:rPr>
              <w:t>废气量6120</w:t>
            </w:r>
            <w:r>
              <w:rPr>
                <w:rFonts w:hint="default" w:ascii="Times New Roman" w:hAnsi="Times New Roman" w:eastAsia="宋体" w:cs="Times New Roman"/>
                <w:b/>
                <w:bCs w:val="0"/>
                <w:color w:val="000000" w:themeColor="text1"/>
                <w:kern w:val="0"/>
                <w:sz w:val="21"/>
                <w:szCs w:val="21"/>
                <w:u w:val="single"/>
                <w:lang w:val="en-US" w:eastAsia="zh-CN"/>
                <w14:textFill>
                  <w14:solidFill>
                    <w14:schemeClr w14:val="tx1"/>
                  </w14:solidFill>
                </w14:textFill>
              </w:rPr>
              <w:t>m</w:t>
            </w:r>
            <w:r>
              <w:rPr>
                <w:rFonts w:hint="default" w:ascii="Times New Roman" w:hAnsi="Times New Roman" w:eastAsia="宋体" w:cs="Times New Roman"/>
                <w:b/>
                <w:bCs w:val="0"/>
                <w:color w:val="000000" w:themeColor="text1"/>
                <w:kern w:val="0"/>
                <w:sz w:val="21"/>
                <w:szCs w:val="21"/>
                <w:u w:val="single"/>
                <w:vertAlign w:val="superscript"/>
                <w:lang w:val="en-US" w:eastAsia="zh-CN"/>
                <w14:textFill>
                  <w14:solidFill>
                    <w14:schemeClr w14:val="tx1"/>
                  </w14:solidFill>
                </w14:textFill>
              </w:rPr>
              <w:t>3</w:t>
            </w:r>
            <w:r>
              <w:rPr>
                <w:rFonts w:hint="default" w:ascii="Times New Roman" w:hAnsi="Times New Roman" w:eastAsia="宋体" w:cs="Times New Roman"/>
                <w:b/>
                <w:bCs w:val="0"/>
                <w:color w:val="000000" w:themeColor="text1"/>
                <w:kern w:val="0"/>
                <w:sz w:val="21"/>
                <w:szCs w:val="21"/>
                <w:u w:val="single"/>
                <w:lang w:val="en-US" w:eastAsia="zh-CN"/>
                <w14:textFill>
                  <w14:solidFill>
                    <w14:schemeClr w14:val="tx1"/>
                  </w14:solidFill>
                </w14:textFill>
              </w:rPr>
              <w:t>/</w:t>
            </w:r>
            <w:r>
              <w:rPr>
                <w:rFonts w:hint="default" w:ascii="Times New Roman" w:hAnsi="Times New Roman" w:cs="Times New Roman"/>
                <w:b/>
                <w:bCs w:val="0"/>
                <w:color w:val="000000" w:themeColor="text1"/>
                <w:kern w:val="0"/>
                <w:sz w:val="21"/>
                <w:szCs w:val="21"/>
                <w:u w:val="single"/>
                <w:lang w:val="en-US" w:eastAsia="zh-CN"/>
                <w14:textFill>
                  <w14:solidFill>
                    <w14:schemeClr w14:val="tx1"/>
                  </w14:solidFill>
                </w14:textFill>
              </w:rPr>
              <w:t>h</w:t>
            </w:r>
            <w:r>
              <w:rPr>
                <w:rFonts w:hint="default" w:ascii="Times New Roman" w:hAnsi="Times New Roman" w:eastAsia="宋体" w:cs="Times New Roman"/>
                <w:b/>
                <w:bCs w:val="0"/>
                <w:color w:val="000000" w:themeColor="text1"/>
                <w:kern w:val="0"/>
                <w:sz w:val="21"/>
                <w:szCs w:val="21"/>
                <w:u w:val="single"/>
                <w:lang w:val="en-US" w:eastAsia="zh-CN"/>
                <w14:textFill>
                  <w14:solidFill>
                    <w14:schemeClr w14:val="tx1"/>
                  </w14:solidFill>
                </w14:textFill>
              </w:rPr>
              <w:t>，颗粒物、二氧化硫产生浓度参照现有工程4#和5#加热炉实测数据中的高值近似</w:t>
            </w:r>
            <w:r>
              <w:rPr>
                <w:rFonts w:hint="eastAsia" w:cs="Times New Roman"/>
                <w:b/>
                <w:bCs w:val="0"/>
                <w:color w:val="000000" w:themeColor="text1"/>
                <w:kern w:val="0"/>
                <w:sz w:val="21"/>
                <w:szCs w:val="21"/>
                <w:u w:val="single"/>
                <w:lang w:val="en-US" w:eastAsia="zh-CN"/>
                <w14:textFill>
                  <w14:solidFill>
                    <w14:schemeClr w14:val="tx1"/>
                  </w14:solidFill>
                </w14:textFill>
              </w:rPr>
              <w:t>取</w:t>
            </w:r>
            <w:r>
              <w:rPr>
                <w:rFonts w:hint="default" w:ascii="Times New Roman" w:hAnsi="Times New Roman" w:eastAsia="宋体" w:cs="Times New Roman"/>
                <w:b/>
                <w:bCs w:val="0"/>
                <w:color w:val="000000" w:themeColor="text1"/>
                <w:kern w:val="0"/>
                <w:sz w:val="21"/>
                <w:szCs w:val="21"/>
                <w:u w:val="single"/>
                <w:lang w:val="en-US" w:eastAsia="zh-CN"/>
                <w14:textFill>
                  <w14:solidFill>
                    <w14:schemeClr w14:val="tx1"/>
                  </w14:solidFill>
                </w14:textFill>
              </w:rPr>
              <w:t>值，即颗粒物5mg/m</w:t>
            </w:r>
            <w:r>
              <w:rPr>
                <w:rFonts w:hint="default" w:ascii="Times New Roman" w:hAnsi="Times New Roman" w:eastAsia="宋体" w:cs="Times New Roman"/>
                <w:b/>
                <w:bCs w:val="0"/>
                <w:color w:val="000000" w:themeColor="text1"/>
                <w:kern w:val="0"/>
                <w:sz w:val="21"/>
                <w:szCs w:val="21"/>
                <w:u w:val="single"/>
                <w:vertAlign w:val="superscript"/>
                <w:lang w:val="en-US" w:eastAsia="zh-CN"/>
                <w14:textFill>
                  <w14:solidFill>
                    <w14:schemeClr w14:val="tx1"/>
                  </w14:solidFill>
                </w14:textFill>
              </w:rPr>
              <w:t>3</w:t>
            </w:r>
            <w:r>
              <w:rPr>
                <w:rFonts w:hint="default" w:ascii="Times New Roman" w:hAnsi="Times New Roman" w:eastAsia="宋体" w:cs="Times New Roman"/>
                <w:b/>
                <w:bCs w:val="0"/>
                <w:color w:val="000000" w:themeColor="text1"/>
                <w:kern w:val="0"/>
                <w:sz w:val="21"/>
                <w:szCs w:val="21"/>
                <w:u w:val="single"/>
                <w:lang w:val="en-US" w:eastAsia="zh-CN"/>
                <w14:textFill>
                  <w14:solidFill>
                    <w14:schemeClr w14:val="tx1"/>
                  </w14:solidFill>
                </w14:textFill>
              </w:rPr>
              <w:t>、二氧化硫9mg/m</w:t>
            </w:r>
            <w:r>
              <w:rPr>
                <w:rFonts w:hint="default" w:ascii="Times New Roman" w:hAnsi="Times New Roman" w:eastAsia="宋体" w:cs="Times New Roman"/>
                <w:b/>
                <w:bCs w:val="0"/>
                <w:color w:val="000000" w:themeColor="text1"/>
                <w:kern w:val="0"/>
                <w:sz w:val="21"/>
                <w:szCs w:val="21"/>
                <w:u w:val="single"/>
                <w:vertAlign w:val="superscript"/>
                <w:lang w:val="en-US" w:eastAsia="zh-CN"/>
                <w14:textFill>
                  <w14:solidFill>
                    <w14:schemeClr w14:val="tx1"/>
                  </w14:solidFill>
                </w14:textFill>
              </w:rPr>
              <w:t>3</w:t>
            </w:r>
            <w:r>
              <w:rPr>
                <w:rFonts w:hint="eastAsia" w:cs="Times New Roman"/>
                <w:b/>
                <w:bCs w:val="0"/>
                <w:color w:val="000000" w:themeColor="text1"/>
                <w:kern w:val="0"/>
                <w:sz w:val="21"/>
                <w:szCs w:val="21"/>
                <w:u w:val="single"/>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cs="Times New Roman"/>
                <w:b/>
                <w:bCs/>
                <w:color w:val="000000" w:themeColor="text1"/>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highlight w:val="none"/>
                <w:u w:val="single"/>
                <w:lang w:val="en-US" w:eastAsia="zh-CN"/>
                <w14:textFill>
                  <w14:solidFill>
                    <w14:schemeClr w14:val="tx1"/>
                  </w14:solidFill>
                </w14:textFill>
              </w:rPr>
              <w:t>经与建设单位沟通，</w:t>
            </w:r>
            <w:r>
              <w:rPr>
                <w:rFonts w:hint="eastAsia" w:cs="Times New Roman"/>
                <w:b/>
                <w:bCs/>
                <w:color w:val="000000" w:themeColor="text1"/>
                <w:highlight w:val="none"/>
                <w:u w:val="single"/>
                <w:lang w:val="en-US" w:eastAsia="zh-CN"/>
                <w14:textFill>
                  <w14:solidFill>
                    <w14:schemeClr w14:val="tx1"/>
                  </w14:solidFill>
                </w14:textFill>
              </w:rPr>
              <w:t>现有工程</w:t>
            </w:r>
            <w:r>
              <w:rPr>
                <w:rFonts w:hint="default" w:ascii="Times New Roman" w:hAnsi="Times New Roman" w:cs="Times New Roman"/>
                <w:b/>
                <w:bCs/>
                <w:color w:val="000000" w:themeColor="text1"/>
                <w:highlight w:val="none"/>
                <w:u w:val="single"/>
                <w:lang w:val="en-US" w:eastAsia="zh-CN"/>
                <w14:textFill>
                  <w14:solidFill>
                    <w14:schemeClr w14:val="tx1"/>
                  </w14:solidFill>
                </w14:textFill>
              </w:rPr>
              <w:t>设置的</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1套</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选择性催化还原（SCR）脱硝</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装置</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在设计时考虑了后期扩建情况，因此设计时预留部分余量</w:t>
            </w:r>
            <w:r>
              <w:rPr>
                <w:rFonts w:hint="eastAsia" w:cs="Times New Roman"/>
                <w:b/>
                <w:bCs/>
                <w:color w:val="000000" w:themeColor="text1"/>
                <w:highlight w:val="none"/>
                <w:u w:val="single"/>
                <w:lang w:val="en-US" w:eastAsia="zh-CN"/>
                <w14:textFill>
                  <w14:solidFill>
                    <w14:schemeClr w14:val="tx1"/>
                  </w14:solidFill>
                </w14:textFill>
              </w:rPr>
              <w:t>，因此</w:t>
            </w:r>
            <w:r>
              <w:rPr>
                <w:rFonts w:hint="default" w:ascii="Times New Roman" w:hAnsi="Times New Roman" w:cs="Times New Roman"/>
                <w:b/>
                <w:bCs/>
                <w:color w:val="000000" w:themeColor="text1"/>
                <w:highlight w:val="none"/>
                <w:u w:val="single"/>
                <w:lang w:val="en-US" w:eastAsia="zh-CN"/>
                <w14:textFill>
                  <w14:solidFill>
                    <w14:schemeClr w14:val="tx1"/>
                  </w14:solidFill>
                </w14:textFill>
              </w:rPr>
              <w:t>本次扩建工程燃气炉废气经收集后，</w:t>
            </w:r>
            <w:r>
              <w:rPr>
                <w:rFonts w:hint="eastAsia" w:cs="Times New Roman"/>
                <w:b/>
                <w:bCs/>
                <w:color w:val="000000" w:themeColor="text1"/>
                <w:highlight w:val="none"/>
                <w:u w:val="single"/>
                <w:lang w:val="en-US" w:eastAsia="zh-CN"/>
                <w14:textFill>
                  <w14:solidFill>
                    <w14:schemeClr w14:val="tx1"/>
                  </w14:solidFill>
                </w14:textFill>
              </w:rPr>
              <w:t>拟</w:t>
            </w:r>
            <w:r>
              <w:rPr>
                <w:rFonts w:hint="default" w:ascii="Times New Roman" w:hAnsi="Times New Roman" w:cs="Times New Roman"/>
                <w:b/>
                <w:bCs/>
                <w:color w:val="000000" w:themeColor="text1"/>
                <w:highlight w:val="none"/>
                <w:u w:val="single"/>
                <w:lang w:val="en-US" w:eastAsia="zh-CN"/>
                <w14:textFill>
                  <w14:solidFill>
                    <w14:schemeClr w14:val="tx1"/>
                  </w14:solidFill>
                </w14:textFill>
              </w:rPr>
              <w:t>通过管道引入现有工程设置的</w:t>
            </w:r>
            <w:r>
              <w:rPr>
                <w:rFonts w:hint="eastAsia" w:cs="Times New Roman"/>
                <w:b/>
                <w:bCs/>
                <w:color w:val="000000" w:themeColor="text1"/>
                <w:highlight w:val="none"/>
                <w:u w:val="single"/>
                <w:lang w:val="en-US" w:eastAsia="zh-CN"/>
                <w14:textFill>
                  <w14:solidFill>
                    <w14:schemeClr w14:val="tx1"/>
                  </w14:solidFill>
                </w14:textFill>
              </w:rPr>
              <w:t>1套</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选择性催化还原（SCR）脱硝</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装置</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进行</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处理</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。根据企业提供的现有SCR脱销装置设计资料，目前该SCR脱销装置最大废气处理量约为24000</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m</w:t>
            </w:r>
            <w:r>
              <w:rPr>
                <w:rFonts w:hint="default" w:ascii="Times New Roman" w:hAnsi="Times New Roman" w:eastAsia="宋体" w:cs="Times New Roman"/>
                <w:b/>
                <w:bCs/>
                <w:color w:val="000000" w:themeColor="text1"/>
                <w:kern w:val="0"/>
                <w:sz w:val="21"/>
                <w:szCs w:val="21"/>
                <w:highlight w:val="none"/>
                <w:u w:val="single"/>
                <w:vertAlign w:val="superscript"/>
                <w:lang w:val="en-US" w:eastAsia="zh-CN" w:bidi="ar-SA"/>
                <w14:textFill>
                  <w14:solidFill>
                    <w14:schemeClr w14:val="tx1"/>
                  </w14:solidFill>
                </w14:textFill>
              </w:rPr>
              <w:t>3</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/h</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，装置配套设置1台</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12000~</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25</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000</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m</w:t>
            </w:r>
            <w:r>
              <w:rPr>
                <w:rFonts w:hint="default" w:ascii="Times New Roman" w:hAnsi="Times New Roman" w:eastAsia="宋体" w:cs="Times New Roman"/>
                <w:b/>
                <w:bCs/>
                <w:color w:val="000000" w:themeColor="text1"/>
                <w:kern w:val="0"/>
                <w:sz w:val="21"/>
                <w:szCs w:val="21"/>
                <w:highlight w:val="none"/>
                <w:u w:val="single"/>
                <w:vertAlign w:val="superscript"/>
                <w:lang w:val="en-US" w:eastAsia="zh-CN" w:bidi="ar-SA"/>
                <w14:textFill>
                  <w14:solidFill>
                    <w14:schemeClr w14:val="tx1"/>
                  </w14:solidFill>
                </w14:textFill>
              </w:rPr>
              <w:t>3</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/h</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变频风机，另</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结合现有工程监测结果，现有工程燃气炉废气量目前最大约为14500m</w:t>
            </w:r>
            <w:r>
              <w:rPr>
                <w:rFonts w:hint="default" w:ascii="Times New Roman" w:hAnsi="Times New Roman" w:cs="Times New Roman"/>
                <w:b/>
                <w:bCs/>
                <w:color w:val="000000" w:themeColor="text1"/>
                <w:kern w:val="0"/>
                <w:sz w:val="21"/>
                <w:szCs w:val="21"/>
                <w:highlight w:val="none"/>
                <w:u w:val="single"/>
                <w:vertAlign w:val="superscript"/>
                <w:lang w:val="en-US" w:eastAsia="zh-CN" w:bidi="ar-SA"/>
                <w14:textFill>
                  <w14:solidFill>
                    <w14:schemeClr w14:val="tx1"/>
                  </w14:solidFill>
                </w14:textFill>
              </w:rPr>
              <w:t>3</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/h，</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因此尚预留9500</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m</w:t>
            </w:r>
            <w:r>
              <w:rPr>
                <w:rFonts w:hint="default" w:ascii="Times New Roman" w:hAnsi="Times New Roman" w:cs="Times New Roman"/>
                <w:b/>
                <w:bCs/>
                <w:color w:val="000000" w:themeColor="text1"/>
                <w:kern w:val="0"/>
                <w:sz w:val="21"/>
                <w:szCs w:val="21"/>
                <w:highlight w:val="none"/>
                <w:u w:val="single"/>
                <w:vertAlign w:val="superscript"/>
                <w:lang w:val="en-US" w:eastAsia="zh-CN" w:bidi="ar-SA"/>
                <w14:textFill>
                  <w14:solidFill>
                    <w14:schemeClr w14:val="tx1"/>
                  </w14:solidFill>
                </w14:textFill>
              </w:rPr>
              <w:t>3</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/h</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废气处理余量，</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本次扩建完成后新增废气量为6120m</w:t>
            </w:r>
            <w:r>
              <w:rPr>
                <w:rFonts w:hint="default" w:ascii="Times New Roman" w:hAnsi="Times New Roman" w:cs="Times New Roman"/>
                <w:b/>
                <w:bCs/>
                <w:color w:val="000000" w:themeColor="text1"/>
                <w:kern w:val="0"/>
                <w:sz w:val="21"/>
                <w:szCs w:val="21"/>
                <w:highlight w:val="none"/>
                <w:u w:val="single"/>
                <w:vertAlign w:val="superscript"/>
                <w:lang w:val="en-US" w:eastAsia="zh-CN" w:bidi="ar-SA"/>
                <w14:textFill>
                  <w14:solidFill>
                    <w14:schemeClr w14:val="tx1"/>
                  </w14:solidFill>
                </w14:textFill>
              </w:rPr>
              <w:t>3</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/h，因此</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现有工程</w:t>
            </w:r>
            <w:r>
              <w:rPr>
                <w:rFonts w:hint="default" w:ascii="Times New Roman" w:hAnsi="Times New Roman" w:cs="Times New Roman"/>
                <w:b/>
                <w:bCs/>
                <w:color w:val="000000" w:themeColor="text1"/>
                <w:highlight w:val="none"/>
                <w:u w:val="single"/>
                <w:lang w:val="en-US" w:eastAsia="zh-CN"/>
                <w14:textFill>
                  <w14:solidFill>
                    <w14:schemeClr w14:val="tx1"/>
                  </w14:solidFill>
                </w14:textFill>
              </w:rPr>
              <w:t>设置的</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1套</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选择性催化还原（SCR）脱硝</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装置能满足本次</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扩建</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工程燃气炉废气收集</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处理需求</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扩建后</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该脱销装置</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总废气量</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处理量共计</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为20620m</w:t>
            </w:r>
            <w:r>
              <w:rPr>
                <w:rFonts w:hint="default" w:ascii="Times New Roman" w:hAnsi="Times New Roman" w:cs="Times New Roman"/>
                <w:b/>
                <w:bCs/>
                <w:color w:val="000000" w:themeColor="text1"/>
                <w:kern w:val="0"/>
                <w:sz w:val="21"/>
                <w:szCs w:val="21"/>
                <w:highlight w:val="none"/>
                <w:u w:val="single"/>
                <w:vertAlign w:val="superscript"/>
                <w:lang w:val="en-US" w:eastAsia="zh-CN" w:bidi="ar-SA"/>
                <w14:textFill>
                  <w14:solidFill>
                    <w14:schemeClr w14:val="tx1"/>
                  </w14:solidFill>
                </w14:textFill>
              </w:rPr>
              <w:t>3</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/h</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。本次扩建工程</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废气依托的现有工程选择性催化还原（SCR）脱硝装置处理</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效率按照</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85</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%计算</w:t>
            </w:r>
            <w:r>
              <w:rPr>
                <w:rFonts w:hint="default" w:ascii="Times New Roman" w:hAnsi="Times New Roman" w:cs="Times New Roman"/>
                <w:b/>
                <w:bCs/>
                <w:color w:val="000000" w:themeColor="text1"/>
                <w:highlight w:val="none"/>
                <w:u w:val="single"/>
                <w:lang w:val="en-US" w:eastAsia="zh-CN"/>
                <w14:textFill>
                  <w14:solidFill>
                    <w14:schemeClr w14:val="tx1"/>
                  </w14:solidFill>
                </w14:textFill>
              </w:rPr>
              <w:t>，经计算本次扩建工程燃气炉废气污染物产排情况如下：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本次扩建工程加热炉废气产生及排放情况表</w:t>
            </w:r>
          </w:p>
          <w:tbl>
            <w:tblPr>
              <w:tblStyle w:val="21"/>
              <w:tblW w:w="4993"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14"/>
              <w:gridCol w:w="794"/>
              <w:gridCol w:w="689"/>
              <w:gridCol w:w="834"/>
              <w:gridCol w:w="834"/>
              <w:gridCol w:w="1272"/>
              <w:gridCol w:w="600"/>
              <w:gridCol w:w="840"/>
              <w:gridCol w:w="840"/>
              <w:gridCol w:w="61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7"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cs="Times New Roman"/>
                      <w:color w:val="000000" w:themeColor="text1"/>
                      <w:sz w:val="18"/>
                      <w:szCs w:val="18"/>
                      <w:lang w:eastAsia="zh-CN"/>
                      <w14:textFill>
                        <w14:solidFill>
                          <w14:schemeClr w14:val="tx1"/>
                        </w14:solidFill>
                      </w14:textFill>
                    </w:rPr>
                    <w:t>污染源</w:t>
                  </w:r>
                </w:p>
              </w:tc>
              <w:tc>
                <w:tcPr>
                  <w:tcW w:w="500"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cs="Times New Roman"/>
                      <w:color w:val="000000" w:themeColor="text1"/>
                      <w:sz w:val="18"/>
                      <w:szCs w:val="18"/>
                      <w:lang w:eastAsia="zh-CN"/>
                      <w14:textFill>
                        <w14:solidFill>
                          <w14:schemeClr w14:val="tx1"/>
                        </w14:solidFill>
                      </w14:textFill>
                    </w:rPr>
                    <w:t>污染物</w:t>
                  </w:r>
                </w:p>
              </w:tc>
              <w:tc>
                <w:tcPr>
                  <w:tcW w:w="434" w:type="pct"/>
                  <w:vMerge w:val="restart"/>
                  <w:tcBorders>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cs="Times New Roman"/>
                      <w:color w:val="000000" w:themeColor="text1"/>
                      <w:sz w:val="18"/>
                      <w:szCs w:val="18"/>
                      <w:lang w:eastAsia="zh-CN"/>
                      <w14:textFill>
                        <w14:solidFill>
                          <w14:schemeClr w14:val="tx1"/>
                        </w14:solidFill>
                      </w14:textFill>
                    </w:rPr>
                    <w:t>废气量</w:t>
                  </w:r>
                  <w:r>
                    <w:rPr>
                      <w:rFonts w:hint="default" w:ascii="Times New Roman" w:hAnsi="Times New Roman" w:cs="Times New Roman"/>
                      <w:b w:val="0"/>
                      <w:bCs/>
                      <w:color w:val="000000" w:themeColor="text1"/>
                      <w:kern w:val="0"/>
                      <w:sz w:val="21"/>
                      <w:szCs w:val="21"/>
                      <w:highlight w:val="none"/>
                      <w:lang w:val="en-US" w:eastAsia="zh-CN" w:bidi="ar-SA"/>
                      <w14:textFill>
                        <w14:solidFill>
                          <w14:schemeClr w14:val="tx1"/>
                        </w14:solidFill>
                      </w14:textFill>
                    </w:rPr>
                    <w:t>m</w:t>
                  </w:r>
                  <w:r>
                    <w:rPr>
                      <w:rFonts w:hint="default" w:ascii="Times New Roman" w:hAnsi="Times New Roman" w:cs="Times New Roman"/>
                      <w:b w:val="0"/>
                      <w:bCs/>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cs="Times New Roman"/>
                      <w:b w:val="0"/>
                      <w:bCs/>
                      <w:color w:val="000000" w:themeColor="text1"/>
                      <w:kern w:val="0"/>
                      <w:sz w:val="21"/>
                      <w:szCs w:val="21"/>
                      <w:highlight w:val="none"/>
                      <w:lang w:val="en-US" w:eastAsia="zh-CN" w:bidi="ar-SA"/>
                      <w14:textFill>
                        <w14:solidFill>
                          <w14:schemeClr w14:val="tx1"/>
                        </w14:solidFill>
                      </w14:textFill>
                    </w:rPr>
                    <w:t>/h</w:t>
                  </w:r>
                </w:p>
              </w:tc>
              <w:tc>
                <w:tcPr>
                  <w:tcW w:w="1050" w:type="pct"/>
                  <w:gridSpan w:val="2"/>
                  <w:tcBorders>
                    <w:left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eastAsia="zh-CN"/>
                      <w14:textFill>
                        <w14:solidFill>
                          <w14:schemeClr w14:val="tx1"/>
                        </w14:solidFill>
                      </w14:textFill>
                    </w:rPr>
                    <w:t>污染物产生</w:t>
                  </w:r>
                </w:p>
              </w:tc>
              <w:tc>
                <w:tcPr>
                  <w:tcW w:w="1179" w:type="pct"/>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cs="Times New Roman"/>
                      <w:color w:val="000000" w:themeColor="text1"/>
                      <w:sz w:val="18"/>
                      <w:szCs w:val="18"/>
                      <w:lang w:eastAsia="zh-CN"/>
                      <w14:textFill>
                        <w14:solidFill>
                          <w14:schemeClr w14:val="tx1"/>
                        </w14:solidFill>
                      </w14:textFill>
                    </w:rPr>
                    <w:t>治理设施</w:t>
                  </w:r>
                </w:p>
              </w:tc>
              <w:tc>
                <w:tcPr>
                  <w:tcW w:w="1058" w:type="pct"/>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cs="Times New Roman"/>
                      <w:color w:val="000000" w:themeColor="text1"/>
                      <w:sz w:val="18"/>
                      <w:szCs w:val="18"/>
                      <w:lang w:eastAsia="zh-CN"/>
                      <w14:textFill>
                        <w14:solidFill>
                          <w14:schemeClr w14:val="tx1"/>
                        </w14:solidFill>
                      </w14:textFill>
                    </w:rPr>
                    <w:t>污染物排放</w:t>
                  </w:r>
                </w:p>
              </w:tc>
              <w:tc>
                <w:tcPr>
                  <w:tcW w:w="389"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eastAsia="zh-CN"/>
                      <w14:textFill>
                        <w14:solidFill>
                          <w14:schemeClr w14:val="tx1"/>
                        </w14:solidFill>
                      </w14:textFill>
                    </w:rPr>
                    <w:t>排放时间</w:t>
                  </w:r>
                  <w:r>
                    <w:rPr>
                      <w:rFonts w:hint="default" w:ascii="Times New Roman" w:hAnsi="Times New Roman" w:cs="Times New Roman"/>
                      <w:color w:val="000000" w:themeColor="text1"/>
                      <w:sz w:val="18"/>
                      <w:szCs w:val="18"/>
                      <w:lang w:val="en-US" w:eastAsia="zh-CN"/>
                      <w14:textFill>
                        <w14:solidFill>
                          <w14:schemeClr w14:val="tx1"/>
                        </w14:solidFill>
                      </w14:textFill>
                    </w:rPr>
                    <w:t>h</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7"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500"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434" w:type="pct"/>
                  <w:vMerge w:val="continue"/>
                  <w:tcBorders>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p>
              </w:tc>
              <w:tc>
                <w:tcPr>
                  <w:tcW w:w="525" w:type="pct"/>
                  <w:tcBorders>
                    <w:top w:val="single" w:color="000000" w:sz="4" w:space="0"/>
                  </w:tcBorders>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产生浓度mg/m</w:t>
                  </w:r>
                  <w:r>
                    <w:rPr>
                      <w:rFonts w:hint="default" w:ascii="Times New Roman" w:hAnsi="Times New Roman" w:cs="Times New Roman"/>
                      <w:color w:val="000000" w:themeColor="text1"/>
                      <w:kern w:val="0"/>
                      <w:sz w:val="18"/>
                      <w:szCs w:val="18"/>
                      <w:vertAlign w:val="superscript"/>
                      <w14:textFill>
                        <w14:solidFill>
                          <w14:schemeClr w14:val="tx1"/>
                        </w14:solidFill>
                      </w14:textFill>
                    </w:rPr>
                    <w:t>3</w:t>
                  </w:r>
                </w:p>
              </w:tc>
              <w:tc>
                <w:tcPr>
                  <w:tcW w:w="525" w:type="pct"/>
                  <w:tcBorders>
                    <w:top w:val="single" w:color="000000" w:sz="4" w:space="0"/>
                  </w:tcBorders>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产生量</w:t>
                  </w:r>
                </w:p>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kern w:val="0"/>
                      <w:sz w:val="18"/>
                      <w:szCs w:val="18"/>
                      <w:lang w:val="en-US" w:eastAsia="zh-CN"/>
                      <w14:textFill>
                        <w14:solidFill>
                          <w14:schemeClr w14:val="tx1"/>
                        </w14:solidFill>
                      </w14:textFill>
                    </w:rPr>
                    <w:t>t/a</w:t>
                  </w:r>
                </w:p>
              </w:tc>
              <w:tc>
                <w:tcPr>
                  <w:tcW w:w="801"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cs="Times New Roman"/>
                      <w:color w:val="000000" w:themeColor="text1"/>
                      <w:sz w:val="18"/>
                      <w:szCs w:val="18"/>
                      <w:lang w:eastAsia="zh-CN"/>
                      <w14:textFill>
                        <w14:solidFill>
                          <w14:schemeClr w14:val="tx1"/>
                        </w14:solidFill>
                      </w14:textFill>
                    </w:rPr>
                    <w:t>工艺</w:t>
                  </w:r>
                </w:p>
              </w:tc>
              <w:tc>
                <w:tcPr>
                  <w:tcW w:w="378"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效率</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529" w:type="pct"/>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排放浓度mg/m</w:t>
                  </w:r>
                  <w:r>
                    <w:rPr>
                      <w:rFonts w:hint="default" w:ascii="Times New Roman" w:hAnsi="Times New Roman" w:cs="Times New Roman"/>
                      <w:color w:val="000000" w:themeColor="text1"/>
                      <w:kern w:val="0"/>
                      <w:sz w:val="18"/>
                      <w:szCs w:val="18"/>
                      <w:vertAlign w:val="superscript"/>
                      <w14:textFill>
                        <w14:solidFill>
                          <w14:schemeClr w14:val="tx1"/>
                        </w14:solidFill>
                      </w14:textFill>
                    </w:rPr>
                    <w:t>3</w:t>
                  </w:r>
                </w:p>
              </w:tc>
              <w:tc>
                <w:tcPr>
                  <w:tcW w:w="529" w:type="pct"/>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排放量</w:t>
                  </w:r>
                </w:p>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kern w:val="0"/>
                      <w:sz w:val="18"/>
                      <w:szCs w:val="18"/>
                      <w:lang w:val="en-US" w:eastAsia="zh-CN"/>
                      <w14:textFill>
                        <w14:solidFill>
                          <w14:schemeClr w14:val="tx1"/>
                        </w14:solidFill>
                      </w14:textFill>
                    </w:rPr>
                    <w:t>t/a</w:t>
                  </w:r>
                </w:p>
              </w:tc>
              <w:tc>
                <w:tcPr>
                  <w:tcW w:w="389"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7"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天然气加热炉</w:t>
                  </w:r>
                </w:p>
              </w:tc>
              <w:tc>
                <w:tcPr>
                  <w:tcW w:w="500" w:type="pct"/>
                  <w:vAlign w:val="center"/>
                </w:tcPr>
                <w:p>
                  <w:pPr>
                    <w:pStyle w:val="4"/>
                    <w:keepNext w:val="0"/>
                    <w:keepLines w:val="0"/>
                    <w:pageBreakBefore w:val="0"/>
                    <w:widowControl w:val="0"/>
                    <w:numPr>
                      <w:ilvl w:val="3"/>
                      <w:numId w:val="0"/>
                    </w:numPr>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t>颗粒物</w:t>
                  </w:r>
                </w:p>
              </w:tc>
              <w:tc>
                <w:tcPr>
                  <w:tcW w:w="434"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6120</w:t>
                  </w:r>
                </w:p>
              </w:tc>
              <w:tc>
                <w:tcPr>
                  <w:tcW w:w="525" w:type="pct"/>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5</w:t>
                  </w:r>
                </w:p>
              </w:tc>
              <w:tc>
                <w:tcPr>
                  <w:tcW w:w="525" w:type="pct"/>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0.0734</w:t>
                  </w:r>
                </w:p>
              </w:tc>
              <w:tc>
                <w:tcPr>
                  <w:tcW w:w="801"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outlineLvl w:val="9"/>
                    <w:rPr>
                      <w:rFonts w:hint="default" w:ascii="Times New Roman" w:hAnsi="Times New Roman" w:cs="Times New Roman" w:eastAsiaTheme="minorEastAsia"/>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eastAsiaTheme="minorEastAsia"/>
                      <w:snapToGrid w:val="0"/>
                      <w:color w:val="000000" w:themeColor="text1"/>
                      <w:kern w:val="0"/>
                      <w:sz w:val="18"/>
                      <w:szCs w:val="18"/>
                      <w:highlight w:val="none"/>
                      <w:lang w:val="en-US" w:eastAsia="zh-CN"/>
                      <w14:textFill>
                        <w14:solidFill>
                          <w14:schemeClr w14:val="tx1"/>
                        </w14:solidFill>
                      </w14:textFill>
                    </w:rPr>
                    <w:t>/</w:t>
                  </w:r>
                </w:p>
              </w:tc>
              <w:tc>
                <w:tcPr>
                  <w:tcW w:w="378"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w:t>
                  </w:r>
                </w:p>
              </w:tc>
              <w:tc>
                <w:tcPr>
                  <w:tcW w:w="840" w:type="dxa"/>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5</w:t>
                  </w:r>
                </w:p>
              </w:tc>
              <w:tc>
                <w:tcPr>
                  <w:tcW w:w="840" w:type="dxa"/>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0.0734</w:t>
                  </w:r>
                </w:p>
              </w:tc>
              <w:tc>
                <w:tcPr>
                  <w:tcW w:w="389"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2400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7"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p>
              </w:tc>
              <w:tc>
                <w:tcPr>
                  <w:tcW w:w="500" w:type="pct"/>
                  <w:vAlign w:val="center"/>
                </w:tcPr>
                <w:p>
                  <w:pPr>
                    <w:pStyle w:val="4"/>
                    <w:keepNext w:val="0"/>
                    <w:keepLines w:val="0"/>
                    <w:pageBreakBefore w:val="0"/>
                    <w:widowControl w:val="0"/>
                    <w:numPr>
                      <w:ilvl w:val="3"/>
                      <w:numId w:val="0"/>
                    </w:numPr>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t>SO</w:t>
                  </w:r>
                  <w:r>
                    <w:rPr>
                      <w:rFonts w:hint="default" w:ascii="Times New Roman" w:hAnsi="Times New Roman" w:cs="Times New Roman"/>
                      <w:b w:val="0"/>
                      <w:bCs w:val="0"/>
                      <w:color w:val="000000" w:themeColor="text1"/>
                      <w:sz w:val="18"/>
                      <w:szCs w:val="18"/>
                      <w:highlight w:val="none"/>
                      <w:vertAlign w:val="subscript"/>
                      <w:lang w:val="en-US" w:eastAsia="zh-CN"/>
                      <w14:textFill>
                        <w14:solidFill>
                          <w14:schemeClr w14:val="tx1"/>
                        </w14:solidFill>
                      </w14:textFill>
                    </w:rPr>
                    <w:t>2</w:t>
                  </w:r>
                </w:p>
              </w:tc>
              <w:tc>
                <w:tcPr>
                  <w:tcW w:w="434"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p>
              </w:tc>
              <w:tc>
                <w:tcPr>
                  <w:tcW w:w="525" w:type="pct"/>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9</w:t>
                  </w:r>
                </w:p>
              </w:tc>
              <w:tc>
                <w:tcPr>
                  <w:tcW w:w="525" w:type="pct"/>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0.1322</w:t>
                  </w:r>
                </w:p>
              </w:tc>
              <w:tc>
                <w:tcPr>
                  <w:tcW w:w="801"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outlineLvl w:val="9"/>
                    <w:rPr>
                      <w:rFonts w:hint="default" w:ascii="Times New Roman" w:hAnsi="Times New Roman" w:cs="Times New Roman" w:eastAsiaTheme="minorEastAsia"/>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eastAsiaTheme="minorEastAsia"/>
                      <w:snapToGrid w:val="0"/>
                      <w:color w:val="000000" w:themeColor="text1"/>
                      <w:kern w:val="0"/>
                      <w:sz w:val="18"/>
                      <w:szCs w:val="18"/>
                      <w:highlight w:val="none"/>
                      <w:lang w:val="en-US" w:eastAsia="zh-CN"/>
                      <w14:textFill>
                        <w14:solidFill>
                          <w14:schemeClr w14:val="tx1"/>
                        </w14:solidFill>
                      </w14:textFill>
                    </w:rPr>
                    <w:t>/</w:t>
                  </w:r>
                </w:p>
              </w:tc>
              <w:tc>
                <w:tcPr>
                  <w:tcW w:w="378"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c>
                <w:tcPr>
                  <w:tcW w:w="529" w:type="pct"/>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9</w:t>
                  </w:r>
                </w:p>
              </w:tc>
              <w:tc>
                <w:tcPr>
                  <w:tcW w:w="529" w:type="pct"/>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0.1322</w:t>
                  </w:r>
                </w:p>
              </w:tc>
              <w:tc>
                <w:tcPr>
                  <w:tcW w:w="389"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7"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p>
              </w:tc>
              <w:tc>
                <w:tcPr>
                  <w:tcW w:w="500" w:type="pct"/>
                  <w:vAlign w:val="center"/>
                </w:tcPr>
                <w:p>
                  <w:pPr>
                    <w:pStyle w:val="4"/>
                    <w:keepNext w:val="0"/>
                    <w:keepLines w:val="0"/>
                    <w:pageBreakBefore w:val="0"/>
                    <w:widowControl w:val="0"/>
                    <w:numPr>
                      <w:ilvl w:val="3"/>
                      <w:numId w:val="0"/>
                    </w:numPr>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vertAlign w:val="baseline"/>
                      <w:lang w:val="en-US" w:eastAsia="zh-CN"/>
                      <w14:textFill>
                        <w14:solidFill>
                          <w14:schemeClr w14:val="tx1"/>
                        </w14:solidFill>
                      </w14:textFill>
                    </w:rPr>
                    <w:t>NO</w:t>
                  </w:r>
                  <w:r>
                    <w:rPr>
                      <w:rFonts w:hint="default" w:ascii="Times New Roman" w:hAnsi="Times New Roman" w:cs="Times New Roman"/>
                      <w:b w:val="0"/>
                      <w:bCs w:val="0"/>
                      <w:color w:val="000000" w:themeColor="text1"/>
                      <w:sz w:val="18"/>
                      <w:szCs w:val="18"/>
                      <w:highlight w:val="none"/>
                      <w:vertAlign w:val="subscript"/>
                      <w:lang w:val="en-US" w:eastAsia="zh-CN"/>
                      <w14:textFill>
                        <w14:solidFill>
                          <w14:schemeClr w14:val="tx1"/>
                        </w14:solidFill>
                      </w14:textFill>
                    </w:rPr>
                    <w:t>x</w:t>
                  </w:r>
                </w:p>
              </w:tc>
              <w:tc>
                <w:tcPr>
                  <w:tcW w:w="434"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p>
              </w:tc>
              <w:tc>
                <w:tcPr>
                  <w:tcW w:w="525" w:type="pct"/>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300</w:t>
                  </w:r>
                </w:p>
              </w:tc>
              <w:tc>
                <w:tcPr>
                  <w:tcW w:w="525"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4.4064</w:t>
                  </w:r>
                </w:p>
              </w:tc>
              <w:tc>
                <w:tcPr>
                  <w:tcW w:w="801"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outlineLvl w:val="9"/>
                    <w:rPr>
                      <w:rFonts w:hint="default" w:ascii="Times New Roman" w:hAnsi="Times New Roman" w:cs="Times New Roman" w:eastAsiaTheme="minorEastAsia"/>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eastAsiaTheme="minorEastAsia"/>
                      <w:snapToGrid w:val="0"/>
                      <w:color w:val="000000" w:themeColor="text1"/>
                      <w:kern w:val="0"/>
                      <w:sz w:val="18"/>
                      <w:szCs w:val="18"/>
                      <w:highlight w:val="none"/>
                      <w:lang w:val="en-US" w:eastAsia="zh-CN"/>
                      <w14:textFill>
                        <w14:solidFill>
                          <w14:schemeClr w14:val="tx1"/>
                        </w14:solidFill>
                      </w14:textFill>
                    </w:rPr>
                    <w:t>选择性催化还原（SCR）脱硝装置</w:t>
                  </w:r>
                </w:p>
              </w:tc>
              <w:tc>
                <w:tcPr>
                  <w:tcW w:w="378"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85</w:t>
                  </w:r>
                </w:p>
              </w:tc>
              <w:tc>
                <w:tcPr>
                  <w:tcW w:w="529" w:type="pct"/>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45</w:t>
                  </w:r>
                </w:p>
              </w:tc>
              <w:tc>
                <w:tcPr>
                  <w:tcW w:w="529"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0.661</w:t>
                  </w:r>
                </w:p>
              </w:tc>
              <w:tc>
                <w:tcPr>
                  <w:tcW w:w="389"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lang w:val="en-US" w:eastAsia="zh-CN"/>
                      <w14:textFill>
                        <w14:solidFill>
                          <w14:schemeClr w14:val="tx1"/>
                        </w14:solidFill>
                      </w14:textFill>
                    </w:rPr>
                  </w:pPr>
                </w:p>
              </w:tc>
            </w:tr>
          </w:tbl>
          <w:p>
            <w:pPr>
              <w:keepNext w:val="0"/>
              <w:keepLines w:val="0"/>
              <w:pageBreakBefore w:val="0"/>
              <w:widowControl w:val="0"/>
              <w:kinsoku/>
              <w:wordWrap/>
              <w:overflowPunct/>
              <w:topLinePunct w:val="0"/>
              <w:autoSpaceDE/>
              <w:autoSpaceDN/>
              <w:bidi w:val="0"/>
              <w:adjustRightInd/>
              <w:snapToGrid/>
              <w:spacing w:line="360" w:lineRule="auto"/>
              <w:ind w:left="6" w:firstLine="420" w:firstLineChars="200"/>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vertAlign w:val="baseline"/>
                <w:lang w:val="en-US" w:eastAsia="zh-CN" w:bidi="ar-SA"/>
                <w14:textFill>
                  <w14:solidFill>
                    <w14:schemeClr w14:val="tx1"/>
                  </w14:solidFill>
                </w14:textFill>
              </w:rPr>
              <w:t>综上，本次工程燃气炉发废气</w:t>
            </w:r>
            <w:r>
              <w:rPr>
                <w:rFonts w:hint="default" w:ascii="Times New Roman" w:hAnsi="Times New Roman" w:cs="Times New Roman"/>
                <w:b w:val="0"/>
                <w:bCs/>
                <w:color w:val="000000" w:themeColor="text1"/>
                <w:kern w:val="0"/>
                <w:sz w:val="21"/>
                <w:szCs w:val="21"/>
                <w:highlight w:val="none"/>
                <w:vertAlign w:val="baseline"/>
                <w:lang w:val="en-US" w:eastAsia="zh-CN" w:bidi="ar-SA"/>
                <w14:textFill>
                  <w14:solidFill>
                    <w14:schemeClr w14:val="tx1"/>
                  </w14:solidFill>
                </w14:textFill>
              </w:rPr>
              <w:t>经选择性催化还原（SCR）脱硝</w:t>
            </w:r>
            <w:r>
              <w:rPr>
                <w:rFonts w:hint="default" w:ascii="Times New Roman" w:hAnsi="Times New Roman" w:eastAsia="宋体" w:cs="Times New Roman"/>
                <w:b w:val="0"/>
                <w:bCs/>
                <w:color w:val="000000" w:themeColor="text1"/>
                <w:kern w:val="0"/>
                <w:sz w:val="21"/>
                <w:szCs w:val="21"/>
                <w:highlight w:val="none"/>
                <w:vertAlign w:val="baseline"/>
                <w:lang w:val="en-US" w:eastAsia="zh-CN" w:bidi="ar-SA"/>
                <w14:textFill>
                  <w14:solidFill>
                    <w14:schemeClr w14:val="tx1"/>
                  </w14:solidFill>
                </w14:textFill>
              </w:rPr>
              <w:t>装置处理后，外排废气能够</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满足河南省地方标准《工业炉窑大气污染物排放标准》（DB41/1066-202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0）要求（颗粒物30mg/m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、SO</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200mg/m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、NO</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x</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300mg/m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、氨8</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b w:val="0"/>
                <w:bCs/>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同时满足《河南省重污染天气通用行业应急减排措施制定技术指南（2021年修订版)》中涉炉窑企业A级绩效指标PM、SO</w:t>
            </w:r>
            <w:r>
              <w:rPr>
                <w:rFonts w:hint="default" w:ascii="Times New Roman" w:hAnsi="Times New Roman" w:cs="Times New Roman"/>
                <w:color w:val="000000" w:themeColor="text1"/>
                <w:sz w:val="21"/>
                <w:szCs w:val="21"/>
                <w:vertAlign w:val="subscript"/>
                <w14:textFill>
                  <w14:solidFill>
                    <w14:schemeClr w14:val="tx1"/>
                  </w14:solidFill>
                </w14:textFill>
              </w:rPr>
              <w:t>2</w:t>
            </w:r>
            <w:r>
              <w:rPr>
                <w:rFonts w:hint="default" w:ascii="Times New Roman" w:hAnsi="Times New Roman" w:cs="Times New Roman"/>
                <w:color w:val="000000" w:themeColor="text1"/>
                <w:sz w:val="21"/>
                <w:szCs w:val="21"/>
                <w14:textFill>
                  <w14:solidFill>
                    <w14:schemeClr w14:val="tx1"/>
                  </w14:solidFill>
                </w14:textFill>
              </w:rPr>
              <w:t>、NO</w:t>
            </w:r>
            <w:r>
              <w:rPr>
                <w:rFonts w:hint="default" w:ascii="Times New Roman" w:hAnsi="Times New Roman" w:cs="Times New Roman"/>
                <w:color w:val="000000" w:themeColor="text1"/>
                <w:sz w:val="21"/>
                <w:szCs w:val="21"/>
                <w:vertAlign w:val="subscript"/>
                <w14:textFill>
                  <w14:solidFill>
                    <w14:schemeClr w14:val="tx1"/>
                  </w14:solidFill>
                </w14:textFill>
              </w:rPr>
              <w:t>x</w:t>
            </w:r>
            <w:r>
              <w:rPr>
                <w:rFonts w:hint="default" w:ascii="Times New Roman" w:hAnsi="Times New Roman" w:cs="Times New Roman"/>
                <w:color w:val="000000" w:themeColor="text1"/>
                <w:sz w:val="21"/>
                <w:szCs w:val="21"/>
                <w14:textFill>
                  <w14:solidFill>
                    <w14:schemeClr w14:val="tx1"/>
                  </w14:solidFill>
                </w14:textFill>
              </w:rPr>
              <w:t>排放浓度分别不高于10、50、100mg/m</w:t>
            </w:r>
            <w:r>
              <w:rPr>
                <w:rFonts w:hint="default" w:ascii="Times New Roman" w:hAnsi="Times New Roman" w:cs="Times New Roman"/>
                <w:color w:val="000000" w:themeColor="text1"/>
                <w:sz w:val="21"/>
                <w:szCs w:val="21"/>
                <w:vertAlign w:val="superscript"/>
                <w14:textFill>
                  <w14:solidFill>
                    <w14:schemeClr w14:val="tx1"/>
                  </w14:solidFill>
                </w14:textFill>
              </w:rPr>
              <w:t>3</w:t>
            </w:r>
            <w:r>
              <w:rPr>
                <w:rFonts w:hint="default" w:ascii="Times New Roman" w:hAnsi="Times New Roman" w:cs="Times New Roman"/>
                <w:color w:val="000000" w:themeColor="text1"/>
                <w:sz w:val="21"/>
                <w:szCs w:val="21"/>
                <w14:textFill>
                  <w14:solidFill>
                    <w14:schemeClr w14:val="tx1"/>
                  </w14:solidFill>
                </w14:textFill>
              </w:rPr>
              <w:t>（基准含氧量：9%）的限值要求。</w:t>
            </w:r>
          </w:p>
          <w:p>
            <w:pPr>
              <w:keepNext w:val="0"/>
              <w:keepLines w:val="0"/>
              <w:pageBreakBefore w:val="0"/>
              <w:widowControl w:val="0"/>
              <w:kinsoku/>
              <w:wordWrap/>
              <w:overflowPunct/>
              <w:topLinePunct w:val="0"/>
              <w:autoSpaceDE/>
              <w:autoSpaceDN/>
              <w:bidi w:val="0"/>
              <w:adjustRightInd/>
              <w:snapToGrid/>
              <w:spacing w:line="360" w:lineRule="auto"/>
              <w:ind w:left="6" w:firstLine="420" w:firstLineChars="200"/>
              <w:textAlignment w:val="auto"/>
              <w:rPr>
                <w:rFonts w:hint="default" w:ascii="Times New Roman" w:hAnsi="Times New Roman" w:eastAsia="宋体" w:cs="Times New Roman"/>
                <w:b w:val="0"/>
                <w:bCs/>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氨逃逸量：</w:t>
            </w:r>
            <w:r>
              <w:rPr>
                <w:rFonts w:hint="default" w:ascii="Times New Roman" w:hAnsi="Times New Roman" w:eastAsia="宋体" w:cs="Times New Roman"/>
                <w:b w:val="0"/>
                <w:bCs/>
                <w:color w:val="000000" w:themeColor="text1"/>
                <w:kern w:val="0"/>
                <w:sz w:val="21"/>
                <w:szCs w:val="21"/>
                <w:highlight w:val="none"/>
                <w:vertAlign w:val="baseline"/>
                <w:lang w:val="en-US" w:eastAsia="zh-CN" w:bidi="ar-SA"/>
                <w14:textFill>
                  <w14:solidFill>
                    <w14:schemeClr w14:val="tx1"/>
                  </w14:solidFill>
                </w14:textFill>
              </w:rPr>
              <w:t>项目SCR</w:t>
            </w:r>
            <w:r>
              <w:rPr>
                <w:rFonts w:hint="default" w:ascii="Times New Roman" w:hAnsi="Times New Roman" w:cs="Times New Roman"/>
                <w:b w:val="0"/>
                <w:bCs/>
                <w:color w:val="000000" w:themeColor="text1"/>
                <w:kern w:val="0"/>
                <w:sz w:val="21"/>
                <w:szCs w:val="21"/>
                <w:highlight w:val="none"/>
                <w:vertAlign w:val="baseline"/>
                <w:lang w:val="en-US" w:eastAsia="zh-CN" w:bidi="ar-SA"/>
                <w14:textFill>
                  <w14:solidFill>
                    <w14:schemeClr w14:val="tx1"/>
                  </w14:solidFill>
                </w14:textFill>
              </w:rPr>
              <w:t>脱硝</w:t>
            </w:r>
            <w:r>
              <w:rPr>
                <w:rFonts w:hint="default" w:ascii="Times New Roman" w:hAnsi="Times New Roman" w:eastAsia="宋体" w:cs="Times New Roman"/>
                <w:b w:val="0"/>
                <w:bCs/>
                <w:color w:val="000000" w:themeColor="text1"/>
                <w:kern w:val="0"/>
                <w:sz w:val="21"/>
                <w:szCs w:val="21"/>
                <w:highlight w:val="none"/>
                <w:vertAlign w:val="baseline"/>
                <w:lang w:val="en-US" w:eastAsia="zh-CN" w:bidi="ar-SA"/>
                <w14:textFill>
                  <w14:solidFill>
                    <w14:schemeClr w14:val="tx1"/>
                  </w14:solidFill>
                </w14:textFill>
              </w:rPr>
              <w:t>装置采用氨水作为还原剂，在</w:t>
            </w:r>
            <w:r>
              <w:rPr>
                <w:rFonts w:hint="default" w:ascii="Times New Roman" w:hAnsi="Times New Roman" w:cs="Times New Roman"/>
                <w:b w:val="0"/>
                <w:bCs/>
                <w:color w:val="000000" w:themeColor="text1"/>
                <w:kern w:val="0"/>
                <w:sz w:val="21"/>
                <w:szCs w:val="21"/>
                <w:highlight w:val="none"/>
                <w:vertAlign w:val="baseline"/>
                <w:lang w:val="en-US" w:eastAsia="zh-CN" w:bidi="ar-SA"/>
                <w14:textFill>
                  <w14:solidFill>
                    <w14:schemeClr w14:val="tx1"/>
                  </w14:solidFill>
                </w14:textFill>
              </w:rPr>
              <w:t>脱硝</w:t>
            </w:r>
            <w:r>
              <w:rPr>
                <w:rFonts w:hint="default" w:ascii="Times New Roman" w:hAnsi="Times New Roman" w:eastAsia="宋体" w:cs="Times New Roman"/>
                <w:b w:val="0"/>
                <w:bCs/>
                <w:color w:val="000000" w:themeColor="text1"/>
                <w:kern w:val="0"/>
                <w:sz w:val="21"/>
                <w:szCs w:val="21"/>
                <w:highlight w:val="none"/>
                <w:vertAlign w:val="baseline"/>
                <w:lang w:val="en-US" w:eastAsia="zh-CN" w:bidi="ar-SA"/>
                <w14:textFill>
                  <w14:solidFill>
                    <w14:schemeClr w14:val="tx1"/>
                  </w14:solidFill>
                </w14:textFill>
              </w:rPr>
              <w:t>系统运行过程中脱硝系统被喷入的氨一般均高于理论值，因此存在经后续烟气处理装置后仍未完全反应的氨气，根据企业提供SCR</w:t>
            </w:r>
            <w:r>
              <w:rPr>
                <w:rFonts w:hint="default" w:ascii="Times New Roman" w:hAnsi="Times New Roman" w:cs="Times New Roman"/>
                <w:b w:val="0"/>
                <w:bCs/>
                <w:color w:val="000000" w:themeColor="text1"/>
                <w:kern w:val="0"/>
                <w:sz w:val="21"/>
                <w:szCs w:val="21"/>
                <w:highlight w:val="none"/>
                <w:vertAlign w:val="baseline"/>
                <w:lang w:val="en-US" w:eastAsia="zh-CN" w:bidi="ar-SA"/>
                <w14:textFill>
                  <w14:solidFill>
                    <w14:schemeClr w14:val="tx1"/>
                  </w14:solidFill>
                </w14:textFill>
              </w:rPr>
              <w:t>脱硝</w:t>
            </w:r>
            <w:r>
              <w:rPr>
                <w:rFonts w:hint="default" w:ascii="Times New Roman" w:hAnsi="Times New Roman" w:eastAsia="宋体" w:cs="Times New Roman"/>
                <w:b w:val="0"/>
                <w:bCs/>
                <w:color w:val="000000" w:themeColor="text1"/>
                <w:kern w:val="0"/>
                <w:sz w:val="21"/>
                <w:szCs w:val="21"/>
                <w:highlight w:val="none"/>
                <w:vertAlign w:val="baseline"/>
                <w:lang w:val="en-US" w:eastAsia="zh-CN" w:bidi="ar-SA"/>
                <w14:textFill>
                  <w14:solidFill>
                    <w14:schemeClr w14:val="tx1"/>
                  </w14:solidFill>
                </w14:textFill>
              </w:rPr>
              <w:t>装置资料，</w:t>
            </w:r>
            <w:r>
              <w:rPr>
                <w:rFonts w:hint="default" w:ascii="Times New Roman" w:hAnsi="Times New Roman" w:cs="Times New Roman"/>
                <w:b w:val="0"/>
                <w:bCs/>
                <w:color w:val="000000" w:themeColor="text1"/>
                <w:kern w:val="0"/>
                <w:sz w:val="21"/>
                <w:szCs w:val="21"/>
                <w:highlight w:val="none"/>
                <w:vertAlign w:val="baseline"/>
                <w:lang w:val="en-US" w:eastAsia="zh-CN" w:bidi="ar-SA"/>
                <w14:textFill>
                  <w14:solidFill>
                    <w14:schemeClr w14:val="tx1"/>
                  </w14:solidFill>
                </w14:textFill>
              </w:rPr>
              <w:t>脱硝</w:t>
            </w:r>
            <w:r>
              <w:rPr>
                <w:rFonts w:hint="default" w:ascii="Times New Roman" w:hAnsi="Times New Roman" w:eastAsia="宋体" w:cs="Times New Roman"/>
                <w:b w:val="0"/>
                <w:bCs/>
                <w:color w:val="000000" w:themeColor="text1"/>
                <w:kern w:val="0"/>
                <w:sz w:val="21"/>
                <w:szCs w:val="21"/>
                <w:highlight w:val="none"/>
                <w:vertAlign w:val="baseline"/>
                <w:lang w:val="en-US" w:eastAsia="zh-CN" w:bidi="ar-SA"/>
                <w14:textFill>
                  <w14:solidFill>
                    <w14:schemeClr w14:val="tx1"/>
                  </w14:solidFill>
                </w14:textFill>
              </w:rPr>
              <w:t>设施建成后将安装氨逃逸在线监控装置，氨逃逸在线装置的报警限值为10ppm（折算浓度为7.6mg/m</w:t>
            </w:r>
            <w:r>
              <w:rPr>
                <w:rFonts w:hint="default" w:ascii="Times New Roman" w:hAnsi="Times New Roman" w:eastAsia="宋体" w:cs="Times New Roman"/>
                <w:b w:val="0"/>
                <w:bCs/>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0"/>
                <w:sz w:val="21"/>
                <w:szCs w:val="21"/>
                <w:highlight w:val="none"/>
                <w:vertAlign w:val="baseline"/>
                <w:lang w:val="en-US" w:eastAsia="zh-CN" w:bidi="ar-SA"/>
                <w14:textFill>
                  <w14:solidFill>
                    <w14:schemeClr w14:val="tx1"/>
                  </w14:solidFill>
                </w14:textFill>
              </w:rPr>
              <w:t>），本次按照最不利情况考虑，即按照氨逃逸装置报警限值考虑，则氨逃逸浓度为7.6mg/m</w:t>
            </w:r>
            <w:r>
              <w:rPr>
                <w:rFonts w:hint="default" w:ascii="Times New Roman" w:hAnsi="Times New Roman" w:eastAsia="宋体" w:cs="Times New Roman"/>
                <w:b w:val="0"/>
                <w:bCs/>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0"/>
                <w:sz w:val="21"/>
                <w:szCs w:val="21"/>
                <w:highlight w:val="none"/>
                <w:vertAlign w:val="baseline"/>
                <w:lang w:val="en-US" w:eastAsia="zh-CN" w:bidi="ar-SA"/>
                <w14:textFill>
                  <w14:solidFill>
                    <w14:schemeClr w14:val="tx1"/>
                  </w14:solidFill>
                </w14:textFill>
              </w:rPr>
              <w:t>，则经计算氨气逃逸量为0.</w:t>
            </w:r>
            <w:r>
              <w:rPr>
                <w:rFonts w:hint="default" w:ascii="Times New Roman" w:hAnsi="Times New Roman" w:cs="Times New Roman"/>
                <w:b w:val="0"/>
                <w:bCs/>
                <w:color w:val="000000" w:themeColor="text1"/>
                <w:kern w:val="0"/>
                <w:sz w:val="21"/>
                <w:szCs w:val="21"/>
                <w:highlight w:val="none"/>
                <w:vertAlign w:val="baseline"/>
                <w:lang w:val="en-US" w:eastAsia="zh-CN" w:bidi="ar-SA"/>
                <w14:textFill>
                  <w14:solidFill>
                    <w14:schemeClr w14:val="tx1"/>
                  </w14:solidFill>
                </w14:textFill>
              </w:rPr>
              <w:t>116</w:t>
            </w:r>
            <w:r>
              <w:rPr>
                <w:rFonts w:hint="default" w:ascii="Times New Roman" w:hAnsi="Times New Roman" w:eastAsia="宋体" w:cs="Times New Roman"/>
                <w:b w:val="0"/>
                <w:bCs/>
                <w:color w:val="000000" w:themeColor="text1"/>
                <w:kern w:val="0"/>
                <w:sz w:val="21"/>
                <w:szCs w:val="21"/>
                <w:highlight w:val="none"/>
                <w:vertAlign w:val="baseline"/>
                <w:lang w:val="en-US" w:eastAsia="zh-CN" w:bidi="ar-SA"/>
                <w14:textFill>
                  <w14:solidFill>
                    <w14:schemeClr w14:val="tx1"/>
                  </w14:solidFill>
                </w14:textFill>
              </w:rPr>
              <w:t>t/a</w:t>
            </w:r>
            <w:r>
              <w:rPr>
                <w:rFonts w:hint="eastAsia" w:cs="Times New Roman"/>
                <w:b w:val="0"/>
                <w:bCs/>
                <w:color w:val="000000" w:themeColor="text1"/>
                <w:kern w:val="0"/>
                <w:sz w:val="21"/>
                <w:szCs w:val="21"/>
                <w:highlight w:val="none"/>
                <w:vertAlign w:val="baseline"/>
                <w:lang w:val="en-US" w:eastAsia="zh-CN" w:bidi="ar-SA"/>
                <w14:textFill>
                  <w14:solidFill>
                    <w14:schemeClr w14:val="tx1"/>
                  </w14:solidFill>
                </w14:textFill>
              </w:rPr>
              <w:t>，满足</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河南省地方标准《工业炉窑大气污染物排放标准》（DB41/1066-202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0）要求</w:t>
            </w:r>
            <w:r>
              <w:rPr>
                <w:rFonts w:hint="eastAsia" w:cs="Times New Roman"/>
                <w:color w:val="000000" w:themeColor="text1"/>
                <w:sz w:val="21"/>
                <w:szCs w:val="21"/>
                <w:highlight w:val="none"/>
                <w:lang w:val="en-US" w:eastAsia="zh-CN"/>
                <w14:textFill>
                  <w14:solidFill>
                    <w14:schemeClr w14:val="tx1"/>
                  </w14:solidFill>
                </w14:textFill>
              </w:rPr>
              <w:t>（氨逃逸浓度低于8mg/m</w:t>
            </w:r>
            <w:r>
              <w:rPr>
                <w:rFonts w:hint="eastAsia" w:cs="Times New Roman"/>
                <w:color w:val="000000" w:themeColor="text1"/>
                <w:sz w:val="21"/>
                <w:szCs w:val="21"/>
                <w:highlight w:val="none"/>
                <w:vertAlign w:val="superscript"/>
                <w:lang w:val="en-US" w:eastAsia="zh-CN"/>
                <w14:textFill>
                  <w14:solidFill>
                    <w14:schemeClr w14:val="tx1"/>
                  </w14:solidFill>
                </w14:textFill>
              </w:rPr>
              <w:t>3</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b w:val="0"/>
                <w:bCs/>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同时满足《河南省重污染天气通用行业应急减排措施制定技术指南（2021年修订版)》中涉炉窑企业A级绩效指标</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要求</w:t>
            </w:r>
            <w:r>
              <w:rPr>
                <w:rFonts w:hint="eastAsia" w:cs="Times New Roman"/>
                <w:color w:val="000000" w:themeColor="text1"/>
                <w:sz w:val="21"/>
                <w:szCs w:val="21"/>
                <w:highlight w:val="none"/>
                <w:lang w:val="en-US" w:eastAsia="zh-CN"/>
                <w14:textFill>
                  <w14:solidFill>
                    <w14:schemeClr w14:val="tx1"/>
                  </w14:solidFill>
                </w14:textFill>
              </w:rPr>
              <w:t>（氨逃逸浓度低于8mg/m</w:t>
            </w:r>
            <w:r>
              <w:rPr>
                <w:rFonts w:hint="eastAsia" w:cs="Times New Roman"/>
                <w:color w:val="000000" w:themeColor="text1"/>
                <w:sz w:val="21"/>
                <w:szCs w:val="21"/>
                <w:highlight w:val="none"/>
                <w:vertAlign w:val="superscript"/>
                <w:lang w:val="en-US" w:eastAsia="zh-CN"/>
                <w14:textFill>
                  <w14:solidFill>
                    <w14:schemeClr w14:val="tx1"/>
                  </w14:solidFill>
                </w14:textFill>
              </w:rPr>
              <w:t>3</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fldChar w:fldCharType="begin"/>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instrText xml:space="preserve"> = 4 \* GB3 \* MERGEFORMAT </w:instrText>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fldChar w:fldCharType="separate"/>
            </w:r>
            <w:r>
              <w:rPr>
                <w:rFonts w:hint="default" w:ascii="Times New Roman" w:hAnsi="Times New Roman" w:cs="Times New Roman"/>
                <w:b/>
                <w:bCs/>
                <w:color w:val="000000" w:themeColor="text1"/>
                <w:highlight w:val="none"/>
                <w14:textFill>
                  <w14:solidFill>
                    <w14:schemeClr w14:val="tx1"/>
                  </w14:solidFill>
                </w14:textFill>
              </w:rPr>
              <w:t>④</w:t>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fldChar w:fldCharType="end"/>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酸洗工序废气</w:t>
            </w:r>
          </w:p>
          <w:p>
            <w:pPr>
              <w:keepNext w:val="0"/>
              <w:keepLines w:val="0"/>
              <w:pageBreakBefore w:val="0"/>
              <w:widowControl/>
              <w:suppressLineNumbers w:val="0"/>
              <w:tabs>
                <w:tab w:val="left" w:pos="1470"/>
              </w:tabs>
              <w:kinsoku/>
              <w:wordWrap/>
              <w:overflowPunct/>
              <w:topLinePunct w:val="0"/>
              <w:autoSpaceDE/>
              <w:autoSpaceDN/>
              <w:bidi w:val="0"/>
              <w:adjustRightInd/>
              <w:snapToGrid/>
              <w:spacing w:line="360" w:lineRule="auto"/>
              <w:ind w:left="0" w:leftChars="0" w:firstLine="422" w:firstLineChars="200"/>
              <w:jc w:val="left"/>
              <w:textAlignment w:val="auto"/>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b/>
                <w:bCs/>
                <w:color w:val="000000" w:themeColor="text1"/>
                <w:kern w:val="0"/>
                <w:sz w:val="21"/>
                <w:szCs w:val="21"/>
                <w:highlight w:val="none"/>
                <w:lang w:val="en-US" w:eastAsia="zh-CN" w:bidi="ar"/>
                <w14:textFill>
                  <w14:solidFill>
                    <w14:schemeClr w14:val="tx1"/>
                  </w14:solidFill>
                </w14:textFill>
              </w:rPr>
              <w:t>有组织废气产排情况：</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项目不锈钢类封头采用涂覆</w:t>
            </w:r>
            <w:r>
              <w:rPr>
                <w:rFonts w:hint="eastAsia" w:cs="Times New Roman"/>
                <w:color w:val="000000" w:themeColor="text1"/>
                <w:kern w:val="0"/>
                <w:sz w:val="21"/>
                <w:szCs w:val="21"/>
                <w:highlight w:val="none"/>
                <w:lang w:val="en-US" w:eastAsia="zh-CN" w:bidi="ar"/>
                <w14:textFill>
                  <w14:solidFill>
                    <w14:schemeClr w14:val="tx1"/>
                  </w14:solidFill>
                </w14:textFill>
              </w:rPr>
              <w:t>酸洗钝化膏</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的方式进行清理，涂覆过程</w:t>
            </w:r>
            <w:r>
              <w:rPr>
                <w:rFonts w:hint="eastAsia" w:cs="Times New Roman"/>
                <w:color w:val="000000" w:themeColor="text1"/>
                <w:kern w:val="0"/>
                <w:sz w:val="21"/>
                <w:szCs w:val="21"/>
                <w:highlight w:val="none"/>
                <w:lang w:val="en-US" w:eastAsia="zh-CN" w:bidi="ar"/>
                <w14:textFill>
                  <w14:solidFill>
                    <w14:schemeClr w14:val="tx1"/>
                  </w14:solidFill>
                </w14:textFill>
              </w:rPr>
              <w:t>酸洗钝化膏</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挥发会产生一定量酸雾废气，所产生的酸性废气</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一部分为</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硝酸与金属反应产生的氮氧化物，</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另一部分为</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一定量氢氟</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酸</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和硝酸混合的水蒸气和空气等不凝气</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（混合酸雾）</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组成。工程</w:t>
            </w:r>
            <w:r>
              <w:rPr>
                <w:rFonts w:hint="eastAsia" w:cs="Times New Roman"/>
                <w:color w:val="000000" w:themeColor="text1"/>
                <w:kern w:val="0"/>
                <w:sz w:val="21"/>
                <w:szCs w:val="21"/>
                <w:highlight w:val="none"/>
                <w:lang w:val="en-US" w:eastAsia="zh-CN" w:bidi="ar"/>
                <w14:textFill>
                  <w14:solidFill>
                    <w14:schemeClr w14:val="tx1"/>
                  </w14:solidFill>
                </w14:textFill>
              </w:rPr>
              <w:t>酸洗钝化膏</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用量约</w:t>
            </w:r>
            <w:r>
              <w:rPr>
                <w:rFonts w:hint="eastAsia" w:cs="Times New Roman"/>
                <w:color w:val="000000" w:themeColor="text1"/>
                <w:kern w:val="0"/>
                <w:sz w:val="21"/>
                <w:szCs w:val="21"/>
                <w:highlight w:val="none"/>
                <w:lang w:val="en-US" w:eastAsia="zh-CN" w:bidi="ar"/>
                <w14:textFill>
                  <w14:solidFill>
                    <w14:schemeClr w14:val="tx1"/>
                  </w14:solidFill>
                </w14:textFill>
              </w:rPr>
              <w:t>7</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t，</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参考《不锈钢容器的膏剂法酸洗钝化》（鲁振兴 王旭东 崔成杨 周环宇，海洋石油工程股份有限公司），同时结合</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企业提供资料，</w:t>
            </w:r>
            <w:r>
              <w:rPr>
                <w:rFonts w:hint="eastAsia" w:cs="Times New Roman"/>
                <w:color w:val="000000" w:themeColor="text1"/>
                <w:kern w:val="0"/>
                <w:sz w:val="21"/>
                <w:szCs w:val="21"/>
                <w:highlight w:val="none"/>
                <w:lang w:val="en-US" w:eastAsia="zh-CN" w:bidi="ar"/>
                <w14:textFill>
                  <w14:solidFill>
                    <w14:schemeClr w14:val="tx1"/>
                  </w14:solidFill>
                </w14:textFill>
              </w:rPr>
              <w:t>酸洗钝化膏</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配比为硝酸（68%）含量27.5%、氢氟酸（40%）含量10.75%、增稠剂含量40%、水含量21.75%，则折纯后硝酸量约为</w:t>
            </w:r>
            <w:r>
              <w:rPr>
                <w:rFonts w:hint="eastAsia" w:cs="Times New Roman"/>
                <w:color w:val="000000" w:themeColor="text1"/>
                <w:kern w:val="0"/>
                <w:sz w:val="21"/>
                <w:szCs w:val="21"/>
                <w:highlight w:val="none"/>
                <w:lang w:val="en-US" w:eastAsia="zh-CN" w:bidi="ar"/>
                <w14:textFill>
                  <w14:solidFill>
                    <w14:schemeClr w14:val="tx1"/>
                  </w14:solidFill>
                </w14:textFill>
              </w:rPr>
              <w:t>1.309</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t/a，氢氟酸量约为</w:t>
            </w:r>
            <w:r>
              <w:rPr>
                <w:rFonts w:hint="eastAsia" w:cs="Times New Roman"/>
                <w:color w:val="000000" w:themeColor="text1"/>
                <w:kern w:val="0"/>
                <w:sz w:val="21"/>
                <w:szCs w:val="21"/>
                <w:highlight w:val="none"/>
                <w:lang w:val="en-US" w:eastAsia="zh-CN" w:bidi="ar"/>
                <w14:textFill>
                  <w14:solidFill>
                    <w14:schemeClr w14:val="tx1"/>
                  </w14:solidFill>
                </w14:textFill>
              </w:rPr>
              <w:t>0.4515</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t/a。</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具体废气产生情况如下：</w:t>
            </w:r>
          </w:p>
          <w:p>
            <w:pPr>
              <w:keepNext w:val="0"/>
              <w:keepLines w:val="0"/>
              <w:pageBreakBefore w:val="0"/>
              <w:widowControl/>
              <w:suppressLineNumbers w:val="0"/>
              <w:tabs>
                <w:tab w:val="left" w:pos="1470"/>
              </w:tabs>
              <w:kinsoku/>
              <w:wordWrap/>
              <w:overflowPunct/>
              <w:topLinePunct w:val="0"/>
              <w:autoSpaceDE/>
              <w:autoSpaceDN/>
              <w:bidi w:val="0"/>
              <w:adjustRightInd/>
              <w:snapToGrid/>
              <w:spacing w:line="360" w:lineRule="auto"/>
              <w:ind w:left="0" w:leftChars="0" w:firstLine="482" w:firstLineChars="200"/>
              <w:jc w:val="left"/>
              <w:textAlignment w:val="auto"/>
              <w:rPr>
                <w:rFonts w:hint="default" w:ascii="Times New Roman" w:hAnsi="Times New Roman"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cs="Times New Roman"/>
                <w:b/>
                <w:bCs/>
                <w:color w:val="000000" w:themeColor="text1"/>
                <w:kern w:val="0"/>
                <w:sz w:val="21"/>
                <w:szCs w:val="21"/>
                <w:highlight w:val="none"/>
                <w:lang w:val="en-US" w:eastAsia="zh-CN" w:bidi="ar"/>
                <w14:textFill>
                  <w14:solidFill>
                    <w14:schemeClr w14:val="tx1"/>
                  </w14:solidFill>
                </w14:textFill>
              </w:rPr>
              <w:t>不凝气（混合酸雾）：</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参考《国内不锈钢酸洗技术》（金属制品，2011年10月，第37卷第5期，［文章编号］1003-4226.2011.05.009）文献资料，同时结合工程经验综合考虑，本次评价酸雾产生量按</w:t>
            </w:r>
            <w:r>
              <w:rPr>
                <w:rFonts w:hint="eastAsia" w:cs="Times New Roman"/>
                <w:color w:val="000000" w:themeColor="text1"/>
                <w:kern w:val="0"/>
                <w:sz w:val="21"/>
                <w:szCs w:val="21"/>
                <w:highlight w:val="none"/>
                <w:lang w:val="en-US" w:eastAsia="zh-CN" w:bidi="ar"/>
                <w14:textFill>
                  <w14:solidFill>
                    <w14:schemeClr w14:val="tx1"/>
                  </w14:solidFill>
                </w14:textFill>
              </w:rPr>
              <w:t>酸洗钝化膏</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消耗量的10%计，则挥发的</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氢氟酸</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约</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0.0</w:t>
            </w:r>
            <w:r>
              <w:rPr>
                <w:rFonts w:hint="eastAsia" w:cs="Times New Roman"/>
                <w:color w:val="000000" w:themeColor="text1"/>
                <w:kern w:val="0"/>
                <w:sz w:val="21"/>
                <w:szCs w:val="21"/>
                <w:highlight w:val="none"/>
                <w:lang w:val="en-US" w:eastAsia="zh-CN" w:bidi="ar"/>
                <w14:textFill>
                  <w14:solidFill>
                    <w14:schemeClr w14:val="tx1"/>
                  </w14:solidFill>
                </w14:textFill>
              </w:rPr>
              <w:t>452</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t/a，硝酸雾约</w:t>
            </w:r>
            <w:r>
              <w:rPr>
                <w:rFonts w:hint="eastAsia" w:cs="Times New Roman"/>
                <w:color w:val="000000" w:themeColor="text1"/>
                <w:kern w:val="0"/>
                <w:sz w:val="21"/>
                <w:szCs w:val="21"/>
                <w:highlight w:val="none"/>
                <w:lang w:val="en-US" w:eastAsia="zh-CN" w:bidi="ar"/>
                <w14:textFill>
                  <w14:solidFill>
                    <w14:schemeClr w14:val="tx1"/>
                  </w14:solidFill>
                </w14:textFill>
              </w:rPr>
              <w:t>0.1309</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t/a（其中挥发的硝酸雾易分解为NOx，</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根据硝酸的</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分解反应方程式</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4HNO</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=4NO</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+O</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+2H</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O</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eastAsia" w:cs="Times New Roman"/>
                <w:color w:val="000000" w:themeColor="text1"/>
                <w:kern w:val="0"/>
                <w:sz w:val="21"/>
                <w:szCs w:val="21"/>
                <w:highlight w:val="none"/>
                <w:lang w:val="en-US" w:eastAsia="zh-CN" w:bidi="ar"/>
                <w14:textFill>
                  <w14:solidFill>
                    <w14:schemeClr w14:val="tx1"/>
                  </w14:solidFill>
                </w14:textFill>
              </w:rPr>
              <w:t>可知，1mol硝酸分解产生1molNO</w:t>
            </w:r>
            <w:r>
              <w:rPr>
                <w:rFonts w:hint="eastAsia" w:cs="Times New Roman"/>
                <w:color w:val="000000" w:themeColor="text1"/>
                <w:kern w:val="0"/>
                <w:sz w:val="21"/>
                <w:szCs w:val="21"/>
                <w:highlight w:val="none"/>
                <w:vertAlign w:val="subscript"/>
                <w:lang w:val="en-US" w:eastAsia="zh-CN" w:bidi="ar"/>
                <w14:textFill>
                  <w14:solidFill>
                    <w14:schemeClr w14:val="tx1"/>
                  </w14:solidFill>
                </w14:textFill>
              </w:rPr>
              <w:t>2</w:t>
            </w:r>
            <w:r>
              <w:rPr>
                <w:rFonts w:hint="eastAsia"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本次按照全部分解计算，</w:t>
            </w:r>
            <w:r>
              <w:rPr>
                <w:rFonts w:hint="eastAsia" w:cs="Times New Roman"/>
                <w:color w:val="000000" w:themeColor="text1"/>
                <w:kern w:val="0"/>
                <w:sz w:val="21"/>
                <w:szCs w:val="21"/>
                <w:highlight w:val="none"/>
                <w:lang w:val="en-US" w:eastAsia="zh-CN" w:bidi="ar"/>
                <w14:textFill>
                  <w14:solidFill>
                    <w14:schemeClr w14:val="tx1"/>
                  </w14:solidFill>
                </w14:textFill>
              </w:rPr>
              <w:t>根据摩尔质量分数</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计算</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硝酸分解产生的</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NOx废气量为</w:t>
            </w:r>
            <w:r>
              <w:rPr>
                <w:rFonts w:hint="eastAsia" w:cs="Times New Roman"/>
                <w:color w:val="000000" w:themeColor="text1"/>
                <w:kern w:val="0"/>
                <w:sz w:val="21"/>
                <w:szCs w:val="21"/>
                <w:highlight w:val="none"/>
                <w:lang w:val="en-US" w:eastAsia="zh-CN" w:bidi="ar"/>
                <w14:textFill>
                  <w14:solidFill>
                    <w14:schemeClr w14:val="tx1"/>
                  </w14:solidFill>
                </w14:textFill>
              </w:rPr>
              <w:t>0.0956</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t/a）。</w:t>
            </w:r>
          </w:p>
          <w:p>
            <w:pPr>
              <w:keepNext w:val="0"/>
              <w:keepLines w:val="0"/>
              <w:widowControl/>
              <w:suppressLineNumbers w:val="0"/>
              <w:jc w:val="left"/>
              <w:rPr>
                <w:rFonts w:hint="default" w:ascii="Times New Roman" w:hAnsi="Times New Roman"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cs="Times New Roman"/>
                <w:b/>
                <w:bCs/>
                <w:color w:val="000000" w:themeColor="text1"/>
                <w:kern w:val="0"/>
                <w:sz w:val="21"/>
                <w:szCs w:val="21"/>
                <w:highlight w:val="none"/>
                <w:lang w:val="en-US" w:eastAsia="zh-CN" w:bidi="ar"/>
                <w14:textFill>
                  <w14:solidFill>
                    <w14:schemeClr w14:val="tx1"/>
                  </w14:solidFill>
                </w14:textFill>
              </w:rPr>
              <w:t>硝酸与金属反应产生的氮氧化物：</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参考</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《不锈钢酸洗过程中NOx的产生机制及控制》（化工环保，2019年第39卷第3期，［文章编号］1006-1878（2019）03-0315-06）</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，同时结合质量摩尔计算及经验，酸洗过程中使用1t的硝酸NOx产生量约0.24t，参考与反应的硝酸按照90%计，经计算NOx产生量为</w:t>
            </w:r>
            <w:r>
              <w:rPr>
                <w:rFonts w:hint="eastAsia" w:cs="Times New Roman"/>
                <w:color w:val="000000" w:themeColor="text1"/>
                <w:kern w:val="0"/>
                <w:sz w:val="21"/>
                <w:szCs w:val="21"/>
                <w:highlight w:val="none"/>
                <w:lang w:val="en-US" w:eastAsia="zh-CN" w:bidi="ar"/>
                <w14:textFill>
                  <w14:solidFill>
                    <w14:schemeClr w14:val="tx1"/>
                  </w14:solidFill>
                </w14:textFill>
              </w:rPr>
              <w:t>0.2827</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t/a。</w:t>
            </w:r>
          </w:p>
          <w:p>
            <w:pPr>
              <w:pStyle w:val="2"/>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t>综上，项目酸洗过程中硝酸酸雾（NOx计）产生量为</w:t>
            </w:r>
            <w:r>
              <w:rPr>
                <w:rFonts w:hint="eastAsia" w:cs="Times New Roman"/>
                <w:b w:val="0"/>
                <w:bCs w:val="0"/>
                <w:color w:val="000000" w:themeColor="text1"/>
                <w:kern w:val="0"/>
                <w:sz w:val="21"/>
                <w:szCs w:val="21"/>
                <w:highlight w:val="none"/>
                <w:lang w:val="en-US" w:eastAsia="zh-CN" w:bidi="ar"/>
                <w14:textFill>
                  <w14:solidFill>
                    <w14:schemeClr w14:val="tx1"/>
                  </w14:solidFill>
                </w14:textFill>
              </w:rPr>
              <w:t>0.3783</w:t>
            </w:r>
            <w: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t>t/a，氢氟酸酸雾产生量为</w:t>
            </w:r>
            <w:r>
              <w:rPr>
                <w:rFonts w:hint="eastAsia" w:cs="Times New Roman"/>
                <w:b w:val="0"/>
                <w:bCs w:val="0"/>
                <w:color w:val="000000" w:themeColor="text1"/>
                <w:kern w:val="0"/>
                <w:sz w:val="21"/>
                <w:szCs w:val="21"/>
                <w:highlight w:val="none"/>
                <w:lang w:val="en-US" w:eastAsia="zh-CN" w:bidi="ar"/>
                <w14:textFill>
                  <w14:solidFill>
                    <w14:schemeClr w14:val="tx1"/>
                  </w14:solidFill>
                </w14:textFill>
              </w:rPr>
              <w:t>0.0452</w:t>
            </w:r>
            <w: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t>t/a。</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项目拟</w:t>
            </w:r>
            <w: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t>于酸洗车间内</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设置</w:t>
            </w:r>
            <w: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t>1间二次密闭</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酸洗</w:t>
            </w:r>
            <w: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t>间</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（尺寸为7×10×7m），</w:t>
            </w:r>
            <w: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t>酸洗</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过程在封闭酸洗房内进行，涂膏酸洗废气经负压收集后，引入一套</w:t>
            </w:r>
            <w:r>
              <w:rPr>
                <w:rFonts w:hint="eastAsia" w:cs="Times New Roman"/>
                <w:b w:val="0"/>
                <w:bCs w:val="0"/>
                <w:color w:val="000000" w:themeColor="text1"/>
                <w:kern w:val="0"/>
                <w:sz w:val="21"/>
                <w:szCs w:val="21"/>
                <w:highlight w:val="none"/>
                <w:lang w:val="en-US" w:eastAsia="zh-CN" w:bidi="ar"/>
                <w14:textFill>
                  <w14:solidFill>
                    <w14:schemeClr w14:val="tx1"/>
                  </w14:solidFill>
                </w14:textFill>
              </w:rPr>
              <w:t>两级酸雾喷淋塔</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处理后，通过15m高排气筒（DA004）排放，风机风量</w:t>
            </w:r>
            <w:r>
              <w:rPr>
                <w:rFonts w:hint="eastAsia" w:cs="Times New Roman"/>
                <w:b w:val="0"/>
                <w:bCs w:val="0"/>
                <w:color w:val="000000" w:themeColor="text1"/>
                <w:kern w:val="0"/>
                <w:sz w:val="21"/>
                <w:szCs w:val="21"/>
                <w:highlight w:val="none"/>
                <w:lang w:val="en-US" w:eastAsia="zh-CN" w:bidi="ar"/>
                <w14:textFill>
                  <w14:solidFill>
                    <w14:schemeClr w14:val="tx1"/>
                  </w14:solidFill>
                </w14:textFill>
              </w:rPr>
              <w:t>20</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00mg/m</w:t>
            </w:r>
            <w:r>
              <w:rPr>
                <w:rFonts w:hint="default" w:ascii="Times New Roman" w:hAnsi="Times New Roman" w:eastAsia="宋体" w:cs="Times New Roman"/>
                <w:b w:val="0"/>
                <w:bCs w:val="0"/>
                <w:color w:val="000000" w:themeColor="text1"/>
                <w:kern w:val="0"/>
                <w:sz w:val="21"/>
                <w:szCs w:val="21"/>
                <w:highlight w:val="none"/>
                <w:vertAlign w:val="superscript"/>
                <w:lang w:val="en-US" w:eastAsia="zh-CN" w:bidi="ar"/>
                <w14:textFill>
                  <w14:solidFill>
                    <w14:schemeClr w14:val="tx1"/>
                  </w14:solidFill>
                </w14:textFill>
              </w:rPr>
              <w:t>3</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。酸洗房废气</w:t>
            </w:r>
            <w:r>
              <w:rPr>
                <w:rFonts w:hint="eastAsia" w:cs="Times New Roman"/>
                <w:b w:val="0"/>
                <w:bCs w:val="0"/>
                <w:color w:val="000000" w:themeColor="text1"/>
                <w:kern w:val="0"/>
                <w:sz w:val="21"/>
                <w:szCs w:val="21"/>
                <w:highlight w:val="none"/>
                <w:lang w:val="en-US" w:eastAsia="zh-CN" w:bidi="ar"/>
                <w14:textFill>
                  <w14:solidFill>
                    <w14:schemeClr w14:val="tx1"/>
                  </w14:solidFill>
                </w14:textFill>
              </w:rPr>
              <w:t>按照</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收集效率</w:t>
            </w:r>
            <w:r>
              <w:rPr>
                <w:rFonts w:hint="eastAsia" w:cs="Times New Roman"/>
                <w:b w:val="0"/>
                <w:bCs w:val="0"/>
                <w:color w:val="000000" w:themeColor="text1"/>
                <w:kern w:val="0"/>
                <w:sz w:val="21"/>
                <w:szCs w:val="21"/>
                <w:highlight w:val="none"/>
                <w:lang w:val="en-US" w:eastAsia="zh-CN" w:bidi="ar"/>
                <w14:textFill>
                  <w14:solidFill>
                    <w14:schemeClr w14:val="tx1"/>
                  </w14:solidFill>
                </w14:textFill>
              </w:rPr>
              <w:t>90</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%，处理效率90%</w:t>
            </w:r>
            <w:r>
              <w:rPr>
                <w:rFonts w:hint="eastAsia" w:cs="Times New Roman"/>
                <w:b w:val="0"/>
                <w:bCs w:val="0"/>
                <w:color w:val="000000" w:themeColor="text1"/>
                <w:kern w:val="0"/>
                <w:sz w:val="21"/>
                <w:szCs w:val="21"/>
                <w:highlight w:val="none"/>
                <w:lang w:val="en-US" w:eastAsia="zh-CN" w:bidi="ar"/>
                <w14:textFill>
                  <w14:solidFill>
                    <w14:schemeClr w14:val="tx1"/>
                  </w14:solidFill>
                </w14:textFill>
              </w:rPr>
              <w:t>计算</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，酸洗时间</w:t>
            </w:r>
            <w:r>
              <w:rPr>
                <w:rFonts w:hint="eastAsia" w:cs="Times New Roman"/>
                <w:b w:val="0"/>
                <w:bCs w:val="0"/>
                <w:color w:val="000000" w:themeColor="text1"/>
                <w:kern w:val="0"/>
                <w:sz w:val="21"/>
                <w:szCs w:val="21"/>
                <w:highlight w:val="none"/>
                <w:lang w:val="en-US" w:eastAsia="zh-CN" w:bidi="ar"/>
                <w14:textFill>
                  <w14:solidFill>
                    <w14:schemeClr w14:val="tx1"/>
                  </w14:solidFill>
                </w14:textFill>
              </w:rPr>
              <w:t>按照</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2400h/a</w:t>
            </w:r>
            <w:r>
              <w:rPr>
                <w:rFonts w:hint="eastAsia" w:cs="Times New Roman"/>
                <w:b w:val="0"/>
                <w:bCs w:val="0"/>
                <w:color w:val="000000" w:themeColor="text1"/>
                <w:kern w:val="0"/>
                <w:sz w:val="21"/>
                <w:szCs w:val="21"/>
                <w:highlight w:val="none"/>
                <w:lang w:val="en-US" w:eastAsia="zh-CN" w:bidi="ar"/>
                <w14:textFill>
                  <w14:solidFill>
                    <w14:schemeClr w14:val="tx1"/>
                  </w14:solidFill>
                </w14:textFill>
              </w:rPr>
              <w:t>计</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，则酸洗</w:t>
            </w:r>
            <w: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t>工序</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废气</w:t>
            </w:r>
            <w: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t>产排情况如下：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本次扩建工程</w:t>
            </w:r>
            <w:r>
              <w:rPr>
                <w:rFonts w:hint="eastAsia" w:eastAsia="黑体" w:cs="Times New Roman"/>
                <w:color w:val="000000" w:themeColor="text1"/>
                <w:sz w:val="21"/>
                <w:szCs w:val="21"/>
                <w:highlight w:val="none"/>
                <w:lang w:val="en-US" w:eastAsia="zh-CN"/>
                <w14:textFill>
                  <w14:solidFill>
                    <w14:schemeClr w14:val="tx1"/>
                  </w14:solidFill>
                </w14:textFill>
              </w:rPr>
              <w:t>酸洗工序</w:t>
            </w: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废气产生及排放情况表</w:t>
            </w:r>
          </w:p>
          <w:tbl>
            <w:tblPr>
              <w:tblStyle w:val="21"/>
              <w:tblW w:w="4993"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746"/>
              <w:gridCol w:w="621"/>
              <w:gridCol w:w="712"/>
              <w:gridCol w:w="640"/>
              <w:gridCol w:w="731"/>
              <w:gridCol w:w="638"/>
              <w:gridCol w:w="540"/>
              <w:gridCol w:w="715"/>
              <w:gridCol w:w="621"/>
              <w:gridCol w:w="787"/>
              <w:gridCol w:w="57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6"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产污工序</w:t>
                  </w:r>
                </w:p>
              </w:tc>
              <w:tc>
                <w:tcPr>
                  <w:tcW w:w="466"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污染物</w:t>
                  </w:r>
                </w:p>
              </w:tc>
              <w:tc>
                <w:tcPr>
                  <w:tcW w:w="395" w:type="pct"/>
                  <w:vMerge w:val="restart"/>
                  <w:tcBorders>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废气量</w:t>
                  </w:r>
                  <w:r>
                    <w:rPr>
                      <w:rFonts w:hint="default" w:ascii="Times New Roman" w:hAnsi="Times New Roman" w:cs="Times New Roman"/>
                      <w:b w:val="0"/>
                      <w:bCs/>
                      <w:color w:val="000000" w:themeColor="text1"/>
                      <w:kern w:val="0"/>
                      <w:sz w:val="21"/>
                      <w:szCs w:val="21"/>
                      <w:highlight w:val="none"/>
                      <w:lang w:val="en-US" w:eastAsia="zh-CN" w:bidi="ar-SA"/>
                      <w14:textFill>
                        <w14:solidFill>
                          <w14:schemeClr w14:val="tx1"/>
                        </w14:solidFill>
                      </w14:textFill>
                    </w:rPr>
                    <w:t>m</w:t>
                  </w:r>
                  <w:r>
                    <w:rPr>
                      <w:rFonts w:hint="default" w:ascii="Times New Roman" w:hAnsi="Times New Roman" w:cs="Times New Roman"/>
                      <w:b w:val="0"/>
                      <w:bCs/>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cs="Times New Roman"/>
                      <w:b w:val="0"/>
                      <w:bCs/>
                      <w:color w:val="000000" w:themeColor="text1"/>
                      <w:kern w:val="0"/>
                      <w:sz w:val="21"/>
                      <w:szCs w:val="21"/>
                      <w:highlight w:val="none"/>
                      <w:lang w:val="en-US" w:eastAsia="zh-CN" w:bidi="ar-SA"/>
                      <w14:textFill>
                        <w14:solidFill>
                          <w14:schemeClr w14:val="tx1"/>
                        </w14:solidFill>
                      </w14:textFill>
                    </w:rPr>
                    <w:t>/h</w:t>
                  </w:r>
                </w:p>
              </w:tc>
              <w:tc>
                <w:tcPr>
                  <w:tcW w:w="1323" w:type="pct"/>
                  <w:gridSpan w:val="3"/>
                  <w:tcBorders>
                    <w:left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污染物产生</w:t>
                  </w:r>
                </w:p>
              </w:tc>
              <w:tc>
                <w:tcPr>
                  <w:tcW w:w="722" w:type="pct"/>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治理设施</w:t>
                  </w:r>
                </w:p>
              </w:tc>
              <w:tc>
                <w:tcPr>
                  <w:tcW w:w="1348" w:type="pct"/>
                  <w:gridSpan w:val="3"/>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污染物排放</w:t>
                  </w:r>
                </w:p>
              </w:tc>
              <w:tc>
                <w:tcPr>
                  <w:tcW w:w="358"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排放时间</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h</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6"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466"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395" w:type="pct"/>
                  <w:vMerge w:val="continue"/>
                  <w:tcBorders>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p>
              </w:tc>
              <w:tc>
                <w:tcPr>
                  <w:tcW w:w="452" w:type="pct"/>
                  <w:tcBorders>
                    <w:top w:val="single" w:color="000000" w:sz="4" w:space="0"/>
                  </w:tcBorders>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产生浓度mg/m</w:t>
                  </w:r>
                  <w:r>
                    <w:rPr>
                      <w:rFonts w:hint="default" w:ascii="Times New Roman" w:hAnsi="Times New Roman" w:cs="Times New Roman"/>
                      <w:color w:val="000000" w:themeColor="text1"/>
                      <w:kern w:val="0"/>
                      <w:sz w:val="18"/>
                      <w:szCs w:val="18"/>
                      <w:highlight w:val="none"/>
                      <w:vertAlign w:val="superscript"/>
                      <w14:textFill>
                        <w14:solidFill>
                          <w14:schemeClr w14:val="tx1"/>
                        </w14:solidFill>
                      </w14:textFill>
                    </w:rPr>
                    <w:t>3</w:t>
                  </w:r>
                </w:p>
              </w:tc>
              <w:tc>
                <w:tcPr>
                  <w:tcW w:w="407" w:type="pct"/>
                  <w:tcBorders>
                    <w:top w:val="single" w:color="000000" w:sz="4" w:space="0"/>
                  </w:tcBorders>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产生速率</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kg/h</w:t>
                  </w:r>
                </w:p>
              </w:tc>
              <w:tc>
                <w:tcPr>
                  <w:tcW w:w="463" w:type="pct"/>
                  <w:tcBorders>
                    <w:top w:val="single" w:color="000000" w:sz="4" w:space="0"/>
                  </w:tcBorders>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产生量</w:t>
                  </w:r>
                </w:p>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t/a</w:t>
                  </w:r>
                </w:p>
              </w:tc>
              <w:tc>
                <w:tcPr>
                  <w:tcW w:w="378"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工艺</w:t>
                  </w:r>
                </w:p>
              </w:tc>
              <w:tc>
                <w:tcPr>
                  <w:tcW w:w="344"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效率</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w:t>
                  </w:r>
                </w:p>
              </w:tc>
              <w:tc>
                <w:tcPr>
                  <w:tcW w:w="454" w:type="pct"/>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排放浓度mg/m</w:t>
                  </w:r>
                  <w:r>
                    <w:rPr>
                      <w:rFonts w:hint="default" w:ascii="Times New Roman" w:hAnsi="Times New Roman" w:cs="Times New Roman"/>
                      <w:color w:val="000000" w:themeColor="text1"/>
                      <w:kern w:val="0"/>
                      <w:sz w:val="18"/>
                      <w:szCs w:val="18"/>
                      <w:highlight w:val="none"/>
                      <w:vertAlign w:val="superscript"/>
                      <w14:textFill>
                        <w14:solidFill>
                          <w14:schemeClr w14:val="tx1"/>
                        </w14:solidFill>
                      </w14:textFill>
                    </w:rPr>
                    <w:t>3</w:t>
                  </w:r>
                </w:p>
              </w:tc>
              <w:tc>
                <w:tcPr>
                  <w:tcW w:w="395" w:type="pct"/>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排放速率</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kg/h</w:t>
                  </w:r>
                </w:p>
              </w:tc>
              <w:tc>
                <w:tcPr>
                  <w:tcW w:w="497" w:type="pct"/>
                  <w:vAlign w:val="center"/>
                </w:tcPr>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排放量</w:t>
                  </w:r>
                </w:p>
                <w:p>
                  <w:pPr>
                    <w:keepNext w:val="0"/>
                    <w:keepLines w:val="0"/>
                    <w:pageBreakBefore w:val="0"/>
                    <w:widowControl/>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t/a</w:t>
                  </w:r>
                </w:p>
              </w:tc>
              <w:tc>
                <w:tcPr>
                  <w:tcW w:w="358"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6"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酸洗工序</w:t>
                  </w:r>
                </w:p>
              </w:tc>
              <w:tc>
                <w:tcPr>
                  <w:tcW w:w="466" w:type="pct"/>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氢氟酸雾</w:t>
                  </w:r>
                </w:p>
              </w:tc>
              <w:tc>
                <w:tcPr>
                  <w:tcW w:w="395"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20</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00</w:t>
                  </w:r>
                </w:p>
              </w:tc>
              <w:tc>
                <w:tcPr>
                  <w:tcW w:w="452"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eastAsia" w:cs="Times New Roman"/>
                      <w:b w:val="0"/>
                      <w:bCs w:val="0"/>
                      <w:color w:val="000000" w:themeColor="text1"/>
                      <w:sz w:val="18"/>
                      <w:szCs w:val="18"/>
                      <w:highlight w:val="none"/>
                      <w:u w:val="none"/>
                      <w:lang w:val="en-US" w:eastAsia="zh-CN"/>
                      <w14:textFill>
                        <w14:solidFill>
                          <w14:schemeClr w14:val="tx1"/>
                        </w14:solidFill>
                      </w14:textFill>
                    </w:rPr>
                    <w:t>8.48</w:t>
                  </w:r>
                </w:p>
              </w:tc>
              <w:tc>
                <w:tcPr>
                  <w:tcW w:w="407"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eastAsia" w:cs="Times New Roman"/>
                      <w:b w:val="0"/>
                      <w:bCs w:val="0"/>
                      <w:color w:val="000000" w:themeColor="text1"/>
                      <w:sz w:val="18"/>
                      <w:szCs w:val="18"/>
                      <w:highlight w:val="none"/>
                      <w:u w:val="none"/>
                      <w:lang w:val="en-US" w:eastAsia="zh-CN"/>
                      <w14:textFill>
                        <w14:solidFill>
                          <w14:schemeClr w14:val="tx1"/>
                        </w14:solidFill>
                      </w14:textFill>
                    </w:rPr>
                    <w:t>0.017</w:t>
                  </w:r>
                </w:p>
              </w:tc>
              <w:tc>
                <w:tcPr>
                  <w:tcW w:w="463" w:type="pct"/>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eastAsia" w:cs="Times New Roman"/>
                      <w:b w:val="0"/>
                      <w:bCs w:val="0"/>
                      <w:color w:val="000000" w:themeColor="text1"/>
                      <w:sz w:val="18"/>
                      <w:szCs w:val="18"/>
                      <w:highlight w:val="none"/>
                      <w:u w:val="none"/>
                      <w:lang w:val="en-US" w:eastAsia="zh-CN"/>
                      <w14:textFill>
                        <w14:solidFill>
                          <w14:schemeClr w14:val="tx1"/>
                        </w14:solidFill>
                      </w14:textFill>
                    </w:rPr>
                    <w:t>0.0407</w:t>
                  </w:r>
                </w:p>
              </w:tc>
              <w:tc>
                <w:tcPr>
                  <w:tcW w:w="378"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outlineLvl w:val="9"/>
                    <w:rPr>
                      <w:rFonts w:hint="default" w:ascii="Times New Roman" w:hAnsi="Times New Roman" w:cs="Times New Roman" w:eastAsiaTheme="minorEastAsia"/>
                      <w:snapToGrid w:val="0"/>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eastAsiaTheme="minorEastAsia"/>
                      <w:snapToGrid w:val="0"/>
                      <w:color w:val="000000" w:themeColor="text1"/>
                      <w:kern w:val="0"/>
                      <w:sz w:val="18"/>
                      <w:szCs w:val="18"/>
                      <w:highlight w:val="none"/>
                      <w:lang w:val="en-US" w:eastAsia="zh-CN"/>
                      <w14:textFill>
                        <w14:solidFill>
                          <w14:schemeClr w14:val="tx1"/>
                        </w14:solidFill>
                      </w14:textFill>
                    </w:rPr>
                    <w:t>两级喷淋+15m高排气筒</w:t>
                  </w:r>
                </w:p>
              </w:tc>
              <w:tc>
                <w:tcPr>
                  <w:tcW w:w="344"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90</w:t>
                  </w:r>
                </w:p>
              </w:tc>
              <w:tc>
                <w:tcPr>
                  <w:tcW w:w="454" w:type="pct"/>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eastAsia" w:cs="Times New Roman"/>
                      <w:b w:val="0"/>
                      <w:bCs w:val="0"/>
                      <w:color w:val="000000" w:themeColor="text1"/>
                      <w:sz w:val="18"/>
                      <w:szCs w:val="18"/>
                      <w:highlight w:val="none"/>
                      <w:u w:val="none"/>
                      <w:lang w:val="en-US" w:eastAsia="zh-CN"/>
                      <w14:textFill>
                        <w14:solidFill>
                          <w14:schemeClr w14:val="tx1"/>
                        </w14:solidFill>
                      </w14:textFill>
                    </w:rPr>
                    <w:t>0.85</w:t>
                  </w:r>
                </w:p>
              </w:tc>
              <w:tc>
                <w:tcPr>
                  <w:tcW w:w="395" w:type="pct"/>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eastAsia" w:cs="Times New Roman"/>
                      <w:b w:val="0"/>
                      <w:bCs w:val="0"/>
                      <w:color w:val="000000" w:themeColor="text1"/>
                      <w:sz w:val="18"/>
                      <w:szCs w:val="18"/>
                      <w:highlight w:val="none"/>
                      <w:u w:val="none"/>
                      <w:lang w:val="en-US" w:eastAsia="zh-CN"/>
                      <w14:textFill>
                        <w14:solidFill>
                          <w14:schemeClr w14:val="tx1"/>
                        </w14:solidFill>
                      </w14:textFill>
                    </w:rPr>
                    <w:t>0.002</w:t>
                  </w:r>
                </w:p>
              </w:tc>
              <w:tc>
                <w:tcPr>
                  <w:tcW w:w="497" w:type="pct"/>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kern w:val="2"/>
                      <w:sz w:val="18"/>
                      <w:szCs w:val="18"/>
                      <w:highlight w:val="none"/>
                      <w:u w:val="none"/>
                      <w:lang w:val="en-US" w:eastAsia="zh-CN" w:bidi="ar-SA"/>
                      <w14:textFill>
                        <w14:solidFill>
                          <w14:schemeClr w14:val="tx1"/>
                        </w14:solidFill>
                      </w14:textFill>
                    </w:rPr>
                  </w:pPr>
                  <w:r>
                    <w:rPr>
                      <w:rFonts w:hint="eastAsia" w:cs="Times New Roman"/>
                      <w:b w:val="0"/>
                      <w:bCs w:val="0"/>
                      <w:color w:val="000000" w:themeColor="text1"/>
                      <w:kern w:val="2"/>
                      <w:sz w:val="18"/>
                      <w:szCs w:val="18"/>
                      <w:highlight w:val="none"/>
                      <w:u w:val="none"/>
                      <w:lang w:val="en-US" w:eastAsia="zh-CN" w:bidi="ar-SA"/>
                      <w14:textFill>
                        <w14:solidFill>
                          <w14:schemeClr w14:val="tx1"/>
                        </w14:solidFill>
                      </w14:textFill>
                    </w:rPr>
                    <w:t>0.0041</w:t>
                  </w:r>
                </w:p>
              </w:tc>
              <w:tc>
                <w:tcPr>
                  <w:tcW w:w="358"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2400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6"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p>
              </w:tc>
              <w:tc>
                <w:tcPr>
                  <w:tcW w:w="466" w:type="pct"/>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硝酸雾（NOx计）</w:t>
                  </w:r>
                </w:p>
              </w:tc>
              <w:tc>
                <w:tcPr>
                  <w:tcW w:w="395"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lang w:val="en-US" w:eastAsia="zh-CN"/>
                      <w14:textFill>
                        <w14:solidFill>
                          <w14:schemeClr w14:val="tx1"/>
                        </w14:solidFill>
                      </w14:textFill>
                    </w:rPr>
                  </w:pPr>
                </w:p>
              </w:tc>
              <w:tc>
                <w:tcPr>
                  <w:tcW w:w="452"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eastAsia" w:cs="Times New Roman"/>
                      <w:b w:val="0"/>
                      <w:bCs w:val="0"/>
                      <w:color w:val="000000" w:themeColor="text1"/>
                      <w:sz w:val="18"/>
                      <w:szCs w:val="18"/>
                      <w:highlight w:val="none"/>
                      <w:u w:val="none"/>
                      <w:lang w:val="en-US" w:eastAsia="zh-CN"/>
                      <w14:textFill>
                        <w14:solidFill>
                          <w14:schemeClr w14:val="tx1"/>
                        </w14:solidFill>
                      </w14:textFill>
                    </w:rPr>
                    <w:t>70.94</w:t>
                  </w:r>
                </w:p>
              </w:tc>
              <w:tc>
                <w:tcPr>
                  <w:tcW w:w="407"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eastAsia" w:cs="Times New Roman"/>
                      <w:b w:val="0"/>
                      <w:bCs w:val="0"/>
                      <w:color w:val="000000" w:themeColor="text1"/>
                      <w:sz w:val="18"/>
                      <w:szCs w:val="18"/>
                      <w:highlight w:val="none"/>
                      <w:u w:val="none"/>
                      <w:lang w:val="en-US" w:eastAsia="zh-CN"/>
                      <w14:textFill>
                        <w14:solidFill>
                          <w14:schemeClr w14:val="tx1"/>
                        </w14:solidFill>
                      </w14:textFill>
                    </w:rPr>
                    <w:t>0.142</w:t>
                  </w:r>
                </w:p>
              </w:tc>
              <w:tc>
                <w:tcPr>
                  <w:tcW w:w="463"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eastAsia" w:cs="Times New Roman"/>
                      <w:b w:val="0"/>
                      <w:bCs w:val="0"/>
                      <w:color w:val="000000" w:themeColor="text1"/>
                      <w:sz w:val="18"/>
                      <w:szCs w:val="18"/>
                      <w:highlight w:val="none"/>
                      <w:u w:val="none"/>
                      <w:lang w:val="en-US" w:eastAsia="zh-CN"/>
                      <w14:textFill>
                        <w14:solidFill>
                          <w14:schemeClr w14:val="tx1"/>
                        </w14:solidFill>
                      </w14:textFill>
                    </w:rPr>
                    <w:t>0.3405</w:t>
                  </w:r>
                </w:p>
              </w:tc>
              <w:tc>
                <w:tcPr>
                  <w:tcW w:w="378"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outlineLvl w:val="9"/>
                    <w:rPr>
                      <w:rFonts w:hint="default" w:ascii="Times New Roman" w:hAnsi="Times New Roman" w:cs="Times New Roman" w:eastAsiaTheme="minorEastAsia"/>
                      <w:snapToGrid w:val="0"/>
                      <w:color w:val="000000" w:themeColor="text1"/>
                      <w:kern w:val="0"/>
                      <w:sz w:val="18"/>
                      <w:szCs w:val="18"/>
                      <w:highlight w:val="none"/>
                      <w:lang w:val="en-US" w:eastAsia="zh-CN"/>
                      <w14:textFill>
                        <w14:solidFill>
                          <w14:schemeClr w14:val="tx1"/>
                        </w14:solidFill>
                      </w14:textFill>
                    </w:rPr>
                  </w:pPr>
                </w:p>
              </w:tc>
              <w:tc>
                <w:tcPr>
                  <w:tcW w:w="344"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90</w:t>
                  </w:r>
                </w:p>
              </w:tc>
              <w:tc>
                <w:tcPr>
                  <w:tcW w:w="454" w:type="pct"/>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eastAsia" w:cs="Times New Roman"/>
                      <w:b w:val="0"/>
                      <w:bCs w:val="0"/>
                      <w:color w:val="000000" w:themeColor="text1"/>
                      <w:sz w:val="18"/>
                      <w:szCs w:val="18"/>
                      <w:highlight w:val="none"/>
                      <w:u w:val="none"/>
                      <w:lang w:val="en-US" w:eastAsia="zh-CN"/>
                      <w14:textFill>
                        <w14:solidFill>
                          <w14:schemeClr w14:val="tx1"/>
                        </w14:solidFill>
                      </w14:textFill>
                    </w:rPr>
                    <w:t>7.09</w:t>
                  </w:r>
                </w:p>
              </w:tc>
              <w:tc>
                <w:tcPr>
                  <w:tcW w:w="395" w:type="pct"/>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eastAsia" w:cs="Times New Roman"/>
                      <w:b w:val="0"/>
                      <w:bCs w:val="0"/>
                      <w:color w:val="000000" w:themeColor="text1"/>
                      <w:sz w:val="18"/>
                      <w:szCs w:val="18"/>
                      <w:highlight w:val="none"/>
                      <w:u w:val="none"/>
                      <w:lang w:val="en-US" w:eastAsia="zh-CN"/>
                      <w14:textFill>
                        <w14:solidFill>
                          <w14:schemeClr w14:val="tx1"/>
                        </w14:solidFill>
                      </w14:textFill>
                    </w:rPr>
                    <w:t>0.014</w:t>
                  </w:r>
                </w:p>
              </w:tc>
              <w:tc>
                <w:tcPr>
                  <w:tcW w:w="497" w:type="pct"/>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eastAsia" w:cs="Times New Roman"/>
                      <w:b w:val="0"/>
                      <w:bCs w:val="0"/>
                      <w:color w:val="000000" w:themeColor="text1"/>
                      <w:sz w:val="18"/>
                      <w:szCs w:val="18"/>
                      <w:highlight w:val="none"/>
                      <w:u w:val="none"/>
                      <w:lang w:val="en-US" w:eastAsia="zh-CN"/>
                      <w14:textFill>
                        <w14:solidFill>
                          <w14:schemeClr w14:val="tx1"/>
                        </w14:solidFill>
                      </w14:textFill>
                    </w:rPr>
                    <w:t>0.0341</w:t>
                  </w:r>
                </w:p>
              </w:tc>
              <w:tc>
                <w:tcPr>
                  <w:tcW w:w="358"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lang w:val="en-US" w:eastAsia="zh-CN"/>
                      <w14:textFill>
                        <w14:solidFill>
                          <w14:schemeClr w14:val="tx1"/>
                        </w14:solidFill>
                      </w14:textFill>
                    </w:rPr>
                  </w:pPr>
                </w:p>
              </w:tc>
            </w:tr>
          </w:tbl>
          <w:p>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jc w:val="both"/>
              <w:textAlignment w:val="auto"/>
              <w:rPr>
                <w:rFonts w:hint="default" w:ascii="Times New Roman" w:hAnsi="Times New Roman" w:cs="Times New Roman"/>
                <w:bCs/>
                <w:color w:val="000000" w:themeColor="text1"/>
                <w:kern w:val="0"/>
                <w:szCs w:val="21"/>
                <w:highlight w:val="none"/>
                <w:lang w:eastAsia="zh-CN"/>
                <w14:textFill>
                  <w14:solidFill>
                    <w14:schemeClr w14:val="tx1"/>
                  </w14:solidFill>
                </w14:textFill>
              </w:rPr>
            </w:pPr>
            <w:r>
              <w:rPr>
                <w:rFonts w:hint="default" w:ascii="Times New Roman" w:hAnsi="Times New Roman" w:cs="Times New Roman"/>
                <w:bCs/>
                <w:color w:val="000000" w:themeColor="text1"/>
                <w:kern w:val="0"/>
                <w:szCs w:val="21"/>
                <w:highlight w:val="none"/>
                <w:lang w:eastAsia="zh-CN"/>
                <w14:textFill>
                  <w14:solidFill>
                    <w14:schemeClr w14:val="tx1"/>
                  </w14:solidFill>
                </w14:textFill>
              </w:rPr>
              <w:t>由上表可知，本项目酸洗工序废气经采用两级喷淋处理后，外排废气能够满足《大气污染物综合排放标准》（GB16297-1996）表2要求（氟化物最高允许排放浓度9mg/m</w:t>
            </w:r>
            <w:r>
              <w:rPr>
                <w:rFonts w:hint="default" w:ascii="Times New Roman" w:hAnsi="Times New Roman" w:cs="Times New Roman"/>
                <w:bCs/>
                <w:color w:val="000000" w:themeColor="text1"/>
                <w:kern w:val="0"/>
                <w:szCs w:val="21"/>
                <w:highlight w:val="none"/>
                <w:vertAlign w:val="superscript"/>
                <w:lang w:eastAsia="zh-CN"/>
                <w14:textFill>
                  <w14:solidFill>
                    <w14:schemeClr w14:val="tx1"/>
                  </w14:solidFill>
                </w14:textFill>
              </w:rPr>
              <w:t>3</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，15m高排气筒最高允许排放速率3.5kg/h；硝酸雾（以NOx计）最高允许排放浓度240mg/m</w:t>
            </w:r>
            <w:r>
              <w:rPr>
                <w:rFonts w:hint="default" w:ascii="Times New Roman" w:hAnsi="Times New Roman" w:cs="Times New Roman"/>
                <w:bCs/>
                <w:color w:val="000000" w:themeColor="text1"/>
                <w:kern w:val="0"/>
                <w:szCs w:val="21"/>
                <w:highlight w:val="none"/>
                <w:vertAlign w:val="superscript"/>
                <w:lang w:eastAsia="zh-CN"/>
                <w14:textFill>
                  <w14:solidFill>
                    <w14:schemeClr w14:val="tx1"/>
                  </w14:solidFill>
                </w14:textFill>
              </w:rPr>
              <w:t>3</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，15m高排气筒最高允许排放速率0.1kg/h）。</w:t>
            </w:r>
          </w:p>
          <w:p>
            <w:pPr>
              <w:keepNext w:val="0"/>
              <w:keepLines w:val="0"/>
              <w:pageBreakBefore w:val="0"/>
              <w:widowControl w:val="0"/>
              <w:kinsoku/>
              <w:wordWrap/>
              <w:overflowPunct/>
              <w:topLinePunct w:val="0"/>
              <w:autoSpaceDE w:val="0"/>
              <w:autoSpaceDN w:val="0"/>
              <w:bidi w:val="0"/>
              <w:adjustRightInd/>
              <w:snapToGrid/>
              <w:spacing w:line="360" w:lineRule="auto"/>
              <w:ind w:left="0" w:firstLine="422" w:firstLineChars="200"/>
              <w:jc w:val="both"/>
              <w:textAlignment w:val="auto"/>
              <w:rPr>
                <w:rFonts w:hint="default" w:ascii="Times New Roman" w:hAnsi="Times New Roman" w:cs="Times New Roman"/>
                <w:b w:val="0"/>
                <w:bCs/>
                <w:color w:val="000000" w:themeColor="text1"/>
                <w:kern w:val="0"/>
                <w:szCs w:val="21"/>
                <w:highlight w:val="none"/>
                <w:lang w:val="en-US" w:eastAsia="zh-CN"/>
                <w14:textFill>
                  <w14:solidFill>
                    <w14:schemeClr w14:val="tx1"/>
                  </w14:solidFill>
                </w14:textFill>
              </w:rPr>
            </w:pPr>
            <w:r>
              <w:rPr>
                <w:rFonts w:hint="default" w:ascii="Times New Roman" w:hAnsi="Times New Roman" w:cs="Times New Roman"/>
                <w:b/>
                <w:bCs w:val="0"/>
                <w:color w:val="000000" w:themeColor="text1"/>
                <w:kern w:val="0"/>
                <w:szCs w:val="21"/>
                <w:highlight w:val="none"/>
                <w:lang w:eastAsia="zh-CN"/>
                <w14:textFill>
                  <w14:solidFill>
                    <w14:schemeClr w14:val="tx1"/>
                  </w14:solidFill>
                </w14:textFill>
              </w:rPr>
              <w:t>无组织废气产排情况：</w:t>
            </w:r>
            <w:r>
              <w:rPr>
                <w:rFonts w:hint="default" w:ascii="Times New Roman" w:hAnsi="Times New Roman" w:cs="Times New Roman"/>
                <w:b w:val="0"/>
                <w:bCs/>
                <w:color w:val="000000" w:themeColor="text1"/>
                <w:kern w:val="0"/>
                <w:szCs w:val="21"/>
                <w:highlight w:val="none"/>
                <w:lang w:eastAsia="zh-CN"/>
                <w14:textFill>
                  <w14:solidFill>
                    <w14:schemeClr w14:val="tx1"/>
                  </w14:solidFill>
                </w14:textFill>
              </w:rPr>
              <w:t>酸洗过程未经收集废气均</w:t>
            </w:r>
            <w:r>
              <w:rPr>
                <w:rFonts w:hint="eastAsia" w:cs="Times New Roman"/>
                <w:b w:val="0"/>
                <w:bCs/>
                <w:color w:val="000000" w:themeColor="text1"/>
                <w:kern w:val="0"/>
                <w:szCs w:val="21"/>
                <w:highlight w:val="none"/>
                <w:lang w:eastAsia="zh-CN"/>
                <w14:textFill>
                  <w14:solidFill>
                    <w14:schemeClr w14:val="tx1"/>
                  </w14:solidFill>
                </w14:textFill>
              </w:rPr>
              <w:t>以</w:t>
            </w:r>
            <w:r>
              <w:rPr>
                <w:rFonts w:hint="default" w:ascii="Times New Roman" w:hAnsi="Times New Roman" w:cs="Times New Roman"/>
                <w:b w:val="0"/>
                <w:bCs/>
                <w:color w:val="000000" w:themeColor="text1"/>
                <w:kern w:val="0"/>
                <w:szCs w:val="21"/>
                <w:highlight w:val="none"/>
                <w:lang w:eastAsia="zh-CN"/>
                <w14:textFill>
                  <w14:solidFill>
                    <w14:schemeClr w14:val="tx1"/>
                  </w14:solidFill>
                </w14:textFill>
              </w:rPr>
              <w:t>无组织形式排放，经计算无组织酸雾废气量为氢氟酸雾（氟化物）</w:t>
            </w:r>
            <w:r>
              <w:rPr>
                <w:rFonts w:hint="default" w:ascii="Times New Roman" w:hAnsi="Times New Roman" w:cs="Times New Roman"/>
                <w:b w:val="0"/>
                <w:bCs/>
                <w:color w:val="000000" w:themeColor="text1"/>
                <w:kern w:val="0"/>
                <w:szCs w:val="21"/>
                <w:highlight w:val="none"/>
                <w:lang w:val="en-US" w:eastAsia="zh-CN"/>
                <w14:textFill>
                  <w14:solidFill>
                    <w14:schemeClr w14:val="tx1"/>
                  </w14:solidFill>
                </w14:textFill>
              </w:rPr>
              <w:t>0.00</w:t>
            </w:r>
            <w:r>
              <w:rPr>
                <w:rFonts w:hint="eastAsia" w:cs="Times New Roman"/>
                <w:b w:val="0"/>
                <w:bCs/>
                <w:color w:val="000000" w:themeColor="text1"/>
                <w:kern w:val="0"/>
                <w:szCs w:val="21"/>
                <w:highlight w:val="none"/>
                <w:lang w:val="en-US" w:eastAsia="zh-CN"/>
                <w14:textFill>
                  <w14:solidFill>
                    <w14:schemeClr w14:val="tx1"/>
                  </w14:solidFill>
                </w14:textFill>
              </w:rPr>
              <w:t>45</w:t>
            </w:r>
            <w:r>
              <w:rPr>
                <w:rFonts w:hint="default" w:ascii="Times New Roman" w:hAnsi="Times New Roman" w:cs="Times New Roman"/>
                <w:b w:val="0"/>
                <w:bCs/>
                <w:color w:val="000000" w:themeColor="text1"/>
                <w:kern w:val="0"/>
                <w:szCs w:val="21"/>
                <w:highlight w:val="none"/>
                <w:lang w:val="en-US" w:eastAsia="zh-CN"/>
                <w14:textFill>
                  <w14:solidFill>
                    <w14:schemeClr w14:val="tx1"/>
                  </w14:solidFill>
                </w14:textFill>
              </w:rPr>
              <w:t>t/a</w:t>
            </w:r>
            <w:r>
              <w:rPr>
                <w:rFonts w:hint="default" w:ascii="Times New Roman" w:hAnsi="Times New Roman" w:cs="Times New Roman"/>
                <w:b w:val="0"/>
                <w:bCs/>
                <w:color w:val="000000" w:themeColor="text1"/>
                <w:kern w:val="0"/>
                <w:szCs w:val="21"/>
                <w:highlight w:val="none"/>
                <w:lang w:eastAsia="zh-CN"/>
                <w14:textFill>
                  <w14:solidFill>
                    <w14:schemeClr w14:val="tx1"/>
                  </w14:solidFill>
                </w14:textFill>
              </w:rPr>
              <w:t>、硝酸雾（</w:t>
            </w:r>
            <w: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t>NOx计</w:t>
            </w:r>
            <w:r>
              <w:rPr>
                <w:rFonts w:hint="default" w:ascii="Times New Roman" w:hAnsi="Times New Roman" w:cs="Times New Roman"/>
                <w:b w:val="0"/>
                <w:bCs/>
                <w:color w:val="000000" w:themeColor="text1"/>
                <w:kern w:val="0"/>
                <w:szCs w:val="21"/>
                <w:highlight w:val="none"/>
                <w:lang w:eastAsia="zh-CN"/>
                <w14:textFill>
                  <w14:solidFill>
                    <w14:schemeClr w14:val="tx1"/>
                  </w14:solidFill>
                </w14:textFill>
              </w:rPr>
              <w:t>）</w:t>
            </w:r>
            <w:r>
              <w:rPr>
                <w:rFonts w:hint="eastAsia" w:cs="Times New Roman"/>
                <w:b w:val="0"/>
                <w:bCs/>
                <w:color w:val="000000" w:themeColor="text1"/>
                <w:kern w:val="0"/>
                <w:szCs w:val="21"/>
                <w:highlight w:val="none"/>
                <w:lang w:val="en-US" w:eastAsia="zh-CN"/>
                <w14:textFill>
                  <w14:solidFill>
                    <w14:schemeClr w14:val="tx1"/>
                  </w14:solidFill>
                </w14:textFill>
              </w:rPr>
              <w:t>0.0378</w:t>
            </w:r>
            <w:r>
              <w:rPr>
                <w:rFonts w:hint="default" w:ascii="Times New Roman" w:hAnsi="Times New Roman" w:cs="Times New Roman"/>
                <w:b w:val="0"/>
                <w:bCs/>
                <w:color w:val="000000" w:themeColor="text1"/>
                <w:kern w:val="0"/>
                <w:szCs w:val="21"/>
                <w:highlight w:val="none"/>
                <w:lang w:val="en-US" w:eastAsia="zh-CN"/>
                <w14:textFill>
                  <w14:solidFill>
                    <w14:schemeClr w14:val="tx1"/>
                  </w14:solidFill>
                </w14:textFill>
              </w:rPr>
              <w:t>t/a。</w:t>
            </w:r>
          </w:p>
          <w:p>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jc w:val="both"/>
              <w:textAlignment w:val="auto"/>
              <w:rPr>
                <w:rFonts w:hint="default" w:ascii="Times New Roman" w:hAnsi="Times New Roman" w:cs="Times New Roman"/>
                <w:bCs/>
                <w:color w:val="000000" w:themeColor="text1"/>
                <w:spacing w:val="-10"/>
                <w:szCs w:val="21"/>
                <w:highlight w:val="cyan"/>
                <w:lang w:val="en-US"/>
                <w14:textFill>
                  <w14:solidFill>
                    <w14:schemeClr w14:val="tx1"/>
                  </w14:solidFill>
                </w14:textFill>
              </w:rPr>
            </w:pPr>
            <w:r>
              <w:rPr>
                <w:rFonts w:hint="default" w:ascii="Times New Roman" w:hAnsi="Times New Roman" w:cs="Times New Roman"/>
                <w:bCs/>
                <w:color w:val="000000" w:themeColor="text1"/>
                <w:kern w:val="0"/>
                <w:szCs w:val="21"/>
                <w:highlight w:val="none"/>
                <w:lang w:eastAsia="zh-CN"/>
                <w14:textFill>
                  <w14:solidFill>
                    <w14:schemeClr w14:val="tx1"/>
                  </w14:solidFill>
                </w14:textFill>
              </w:rPr>
              <w:t>综上所述，项目扩建前后全厂废气产排情况汇总如下：</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br w:type="textWrapping"/>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br w:type="textWrapping"/>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br w:type="textWrapping"/>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br w:type="textWrapping"/>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br w:type="textWrapping"/>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br w:type="textWrapping"/>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br w:type="textWrapping"/>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br w:type="textWrapping"/>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br w:type="textWrapping"/>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br w:type="textWrapping"/>
            </w:r>
          </w:p>
        </w:tc>
      </w:tr>
    </w:tbl>
    <w:p>
      <w:pPr>
        <w:adjustRightInd w:val="0"/>
        <w:snapToGrid w:val="0"/>
        <w:spacing w:line="360" w:lineRule="auto"/>
        <w:rPr>
          <w:rFonts w:hint="default" w:ascii="Times New Roman" w:hAnsi="Times New Roman" w:cs="Times New Roman"/>
          <w:b/>
          <w:color w:val="000000" w:themeColor="text1"/>
          <w:kern w:val="0"/>
          <w:sz w:val="28"/>
          <w:szCs w:val="28"/>
          <w:highlight w:val="cyan"/>
          <w14:textFill>
            <w14:solidFill>
              <w14:schemeClr w14:val="tx1"/>
            </w14:solidFill>
          </w14:textFill>
        </w:rPr>
        <w:sectPr>
          <w:pgSz w:w="11907" w:h="16840"/>
          <w:pgMar w:top="1803" w:right="1440" w:bottom="1803" w:left="1440"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6" w:hRule="atLeast"/>
          <w:jc w:val="center"/>
        </w:trPr>
        <w:tc>
          <w:tcPr>
            <w:tcW w:w="5000" w:type="pct"/>
            <w:vAlign w:val="top"/>
          </w:tcPr>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360" w:lineRule="auto"/>
              <w:ind w:leftChars="0" w:firstLine="422" w:firstLineChars="200"/>
              <w:jc w:val="both"/>
              <w:textAlignment w:val="auto"/>
              <w:rPr>
                <w:rFonts w:hint="default" w:ascii="Times New Roman" w:hAnsi="Times New Roman" w:cs="Times New Roman"/>
                <w:b/>
                <w:bCs/>
                <w:color w:val="000000" w:themeColor="text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fldChar w:fldCharType="begin"/>
            </w:r>
            <w:r>
              <w:rPr>
                <w:rFonts w:hint="default" w:ascii="Times New Roman" w:hAnsi="Times New Roman" w:cs="Times New Roman"/>
                <w:b/>
                <w:bCs/>
                <w:color w:val="000000" w:themeColor="text1"/>
                <w:highlight w:val="none"/>
                <w:lang w:val="en-US" w:eastAsia="zh-CN"/>
                <w14:textFill>
                  <w14:solidFill>
                    <w14:schemeClr w14:val="tx1"/>
                  </w14:solidFill>
                </w14:textFill>
              </w:rPr>
              <w:instrText xml:space="preserve"> = 1 \* GB3 \* MERGEFORMAT </w:instrText>
            </w:r>
            <w:r>
              <w:rPr>
                <w:rFonts w:hint="default" w:ascii="Times New Roman" w:hAnsi="Times New Roman" w:cs="Times New Roman"/>
                <w:b/>
                <w:bCs/>
                <w:color w:val="000000" w:themeColor="text1"/>
                <w:highlight w:val="none"/>
                <w:lang w:val="en-US" w:eastAsia="zh-CN"/>
                <w14:textFill>
                  <w14:solidFill>
                    <w14:schemeClr w14:val="tx1"/>
                  </w14:solidFill>
                </w14:textFill>
              </w:rPr>
              <w:fldChar w:fldCharType="separate"/>
            </w:r>
            <w:r>
              <w:rPr>
                <w:rFonts w:hint="default" w:ascii="Times New Roman" w:hAnsi="Times New Roman" w:cs="Times New Roman"/>
                <w:b/>
                <w:bCs/>
                <w:color w:val="000000" w:themeColor="text1"/>
                <w14:textFill>
                  <w14:solidFill>
                    <w14:schemeClr w14:val="tx1"/>
                  </w14:solidFill>
                </w14:textFill>
              </w:rPr>
              <w:t>①</w:t>
            </w:r>
            <w:r>
              <w:rPr>
                <w:rFonts w:hint="default" w:ascii="Times New Roman" w:hAnsi="Times New Roman" w:cs="Times New Roman"/>
                <w:b/>
                <w:bCs/>
                <w:color w:val="000000" w:themeColor="text1"/>
                <w:highlight w:val="none"/>
                <w:lang w:val="en-US" w:eastAsia="zh-CN"/>
                <w14:textFill>
                  <w14:solidFill>
                    <w14:schemeClr w14:val="tx1"/>
                  </w14:solidFill>
                </w14:textFill>
              </w:rPr>
              <w:fldChar w:fldCharType="end"/>
            </w:r>
            <w:r>
              <w:rPr>
                <w:rFonts w:hint="default" w:ascii="Times New Roman" w:hAnsi="Times New Roman" w:cs="Times New Roman"/>
                <w:b/>
                <w:bCs/>
                <w:color w:val="000000" w:themeColor="text1"/>
                <w:highlight w:val="none"/>
                <w:lang w:val="en-US" w:eastAsia="zh-CN"/>
                <w14:textFill>
                  <w14:solidFill>
                    <w14:schemeClr w14:val="tx1"/>
                  </w14:solidFill>
                </w14:textFill>
              </w:rPr>
              <w:t>本次扩建工程废气产生及排放情况汇总如下：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有组织废气产排放及治理设施情况汇总一览表（本次扩建工程）</w:t>
            </w:r>
          </w:p>
          <w:tbl>
            <w:tblPr>
              <w:tblStyle w:val="21"/>
              <w:tblW w:w="4998" w:type="pct"/>
              <w:jc w:val="center"/>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1138"/>
              <w:gridCol w:w="916"/>
              <w:gridCol w:w="985"/>
              <w:gridCol w:w="884"/>
              <w:gridCol w:w="961"/>
              <w:gridCol w:w="961"/>
              <w:gridCol w:w="3052"/>
              <w:gridCol w:w="802"/>
              <w:gridCol w:w="945"/>
              <w:gridCol w:w="900"/>
              <w:gridCol w:w="877"/>
              <w:gridCol w:w="808"/>
            </w:tblGrid>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430" w:type="pct"/>
                  <w:vMerge w:val="restart"/>
                  <w:tcBorders>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排放源</w:t>
                  </w:r>
                </w:p>
              </w:tc>
              <w:tc>
                <w:tcPr>
                  <w:tcW w:w="346" w:type="pct"/>
                  <w:vMerge w:val="restart"/>
                  <w:tcBorders>
                    <w:lef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产污环节</w:t>
                  </w:r>
                </w:p>
              </w:tc>
              <w:tc>
                <w:tcPr>
                  <w:tcW w:w="372" w:type="pct"/>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污染物</w:t>
                  </w: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种类</w:t>
                  </w:r>
                </w:p>
              </w:tc>
              <w:tc>
                <w:tcPr>
                  <w:tcW w:w="334" w:type="pct"/>
                  <w:vMerge w:val="restart"/>
                  <w:tcBorders>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废气量</w:t>
                  </w:r>
                  <w:r>
                    <w:rPr>
                      <w:rFonts w:hint="default" w:ascii="Times New Roman" w:hAnsi="Times New Roman" w:cs="Times New Roman"/>
                      <w:color w:val="000000" w:themeColor="text1"/>
                      <w:kern w:val="0"/>
                      <w:sz w:val="18"/>
                      <w:szCs w:val="18"/>
                      <w:highlight w:val="none"/>
                      <w14:textFill>
                        <w14:solidFill>
                          <w14:schemeClr w14:val="tx1"/>
                        </w14:solidFill>
                      </w14:textFill>
                    </w:rPr>
                    <w:t>m</w:t>
                  </w:r>
                  <w:r>
                    <w:rPr>
                      <w:rFonts w:hint="default" w:ascii="Times New Roman" w:hAnsi="Times New Roman" w:cs="Times New Roman"/>
                      <w:color w:val="000000" w:themeColor="text1"/>
                      <w:kern w:val="0"/>
                      <w:sz w:val="18"/>
                      <w:szCs w:val="18"/>
                      <w:highlight w:val="none"/>
                      <w:vertAlign w:val="superscript"/>
                      <w14:textFill>
                        <w14:solidFill>
                          <w14:schemeClr w14:val="tx1"/>
                        </w14:solidFill>
                      </w14:textFill>
                    </w:rPr>
                    <w:t>3</w:t>
                  </w:r>
                  <w:r>
                    <w:rPr>
                      <w:rFonts w:hint="default" w:ascii="Times New Roman" w:hAnsi="Times New Roman" w:cs="Times New Roman"/>
                      <w:color w:val="000000" w:themeColor="text1"/>
                      <w:kern w:val="0"/>
                      <w:sz w:val="18"/>
                      <w:szCs w:val="18"/>
                      <w:highlight w:val="none"/>
                      <w14:textFill>
                        <w14:solidFill>
                          <w14:schemeClr w14:val="tx1"/>
                        </w14:solidFill>
                      </w14:textFill>
                    </w:rPr>
                    <w:t>/h</w:t>
                  </w:r>
                </w:p>
              </w:tc>
              <w:tc>
                <w:tcPr>
                  <w:tcW w:w="726" w:type="pct"/>
                  <w:gridSpan w:val="2"/>
                  <w:tcBorders>
                    <w:left w:val="single" w:color="auto" w:sz="4" w:space="0"/>
                    <w:bottom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污染物产生</w:t>
                  </w: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情况</w:t>
                  </w:r>
                </w:p>
              </w:tc>
              <w:tc>
                <w:tcPr>
                  <w:tcW w:w="1456" w:type="pct"/>
                  <w:gridSpan w:val="2"/>
                  <w:tcBorders>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治理措施</w:t>
                  </w:r>
                </w:p>
              </w:tc>
              <w:tc>
                <w:tcPr>
                  <w:tcW w:w="1028" w:type="pct"/>
                  <w:gridSpan w:val="3"/>
                  <w:tcBorders>
                    <w:lef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污染物排放</w:t>
                  </w: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情况</w:t>
                  </w:r>
                </w:p>
              </w:tc>
              <w:tc>
                <w:tcPr>
                  <w:tcW w:w="305" w:type="pct"/>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排放时间h</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430" w:type="pct"/>
                  <w:vMerge w:val="continue"/>
                  <w:tcBorders>
                    <w:right w:val="single" w:color="auto" w:sz="4" w:space="0"/>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346" w:type="pct"/>
                  <w:vMerge w:val="continue"/>
                  <w:tcBorders>
                    <w:left w:val="single" w:color="auto" w:sz="4" w:space="0"/>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372"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334" w:type="pct"/>
                  <w:vMerge w:val="continue"/>
                  <w:tcBorders>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363" w:type="pct"/>
                  <w:tcBorders>
                    <w:lef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产生浓度mg/m</w:t>
                  </w:r>
                  <w:r>
                    <w:rPr>
                      <w:rFonts w:hint="default" w:ascii="Times New Roman" w:hAnsi="Times New Roman" w:cs="Times New Roman"/>
                      <w:color w:val="000000" w:themeColor="text1"/>
                      <w:kern w:val="0"/>
                      <w:sz w:val="18"/>
                      <w:szCs w:val="18"/>
                      <w:highlight w:val="none"/>
                      <w:vertAlign w:val="superscript"/>
                      <w14:textFill>
                        <w14:solidFill>
                          <w14:schemeClr w14:val="tx1"/>
                        </w14:solidFill>
                      </w14:textFill>
                    </w:rPr>
                    <w:t>3</w:t>
                  </w:r>
                </w:p>
              </w:tc>
              <w:tc>
                <w:tcPr>
                  <w:tcW w:w="363"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产生量</w:t>
                  </w:r>
                </w:p>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t/a</w:t>
                  </w:r>
                </w:p>
              </w:tc>
              <w:tc>
                <w:tcPr>
                  <w:tcW w:w="1153" w:type="pct"/>
                  <w:tcBorders>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治理</w:t>
                  </w:r>
                  <w:r>
                    <w:rPr>
                      <w:rFonts w:hint="default" w:ascii="Times New Roman" w:hAnsi="Times New Roman" w:cs="Times New Roman"/>
                      <w:color w:val="000000" w:themeColor="text1"/>
                      <w:kern w:val="0"/>
                      <w:sz w:val="18"/>
                      <w:szCs w:val="18"/>
                      <w:highlight w:val="none"/>
                      <w14:textFill>
                        <w14:solidFill>
                          <w14:schemeClr w14:val="tx1"/>
                        </w14:solidFill>
                      </w14:textFill>
                    </w:rPr>
                    <w:t>工艺</w:t>
                  </w:r>
                </w:p>
              </w:tc>
              <w:tc>
                <w:tcPr>
                  <w:tcW w:w="303" w:type="pct"/>
                  <w:tcBorders>
                    <w:left w:val="single" w:color="auto" w:sz="4" w:space="0"/>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治理效率%</w:t>
                  </w:r>
                </w:p>
              </w:tc>
              <w:tc>
                <w:tcPr>
                  <w:tcW w:w="357" w:type="pct"/>
                  <w:tcBorders>
                    <w:lef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排放浓度mg/m</w:t>
                  </w:r>
                  <w:r>
                    <w:rPr>
                      <w:rFonts w:hint="default" w:ascii="Times New Roman" w:hAnsi="Times New Roman" w:cs="Times New Roman"/>
                      <w:color w:val="000000" w:themeColor="text1"/>
                      <w:kern w:val="0"/>
                      <w:sz w:val="18"/>
                      <w:szCs w:val="18"/>
                      <w:highlight w:val="none"/>
                      <w:vertAlign w:val="superscript"/>
                      <w14:textFill>
                        <w14:solidFill>
                          <w14:schemeClr w14:val="tx1"/>
                        </w14:solidFill>
                      </w14:textFill>
                    </w:rPr>
                    <w:t>3</w:t>
                  </w:r>
                </w:p>
              </w:tc>
              <w:tc>
                <w:tcPr>
                  <w:tcW w:w="340"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排放速率</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kg/h</w:t>
                  </w:r>
                </w:p>
              </w:tc>
              <w:tc>
                <w:tcPr>
                  <w:tcW w:w="331"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排放量</w:t>
                  </w:r>
                </w:p>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t/a</w:t>
                  </w:r>
                </w:p>
              </w:tc>
              <w:tc>
                <w:tcPr>
                  <w:tcW w:w="305"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430" w:type="pct"/>
                  <w:vMerge w:val="restart"/>
                  <w:tcBorders>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1#生产车间</w:t>
                  </w:r>
                </w:p>
              </w:tc>
              <w:tc>
                <w:tcPr>
                  <w:tcW w:w="346" w:type="pct"/>
                  <w:vMerge w:val="restart"/>
                  <w:tcBorders>
                    <w:lef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0"/>
                      <w:sz w:val="18"/>
                      <w:szCs w:val="18"/>
                      <w:highlight w:val="none"/>
                      <w:u w:val="single"/>
                      <w:lang w:eastAsia="zh-CN"/>
                      <w14:textFill>
                        <w14:solidFill>
                          <w14:schemeClr w14:val="tx1"/>
                        </w14:solidFill>
                      </w14:textFill>
                    </w:rPr>
                  </w:pPr>
                  <w:r>
                    <w:rPr>
                      <w:rFonts w:hint="default" w:ascii="Times New Roman" w:hAnsi="Times New Roman" w:cs="Times New Roman"/>
                      <w:b/>
                      <w:bCs/>
                      <w:color w:val="000000" w:themeColor="text1"/>
                      <w:kern w:val="0"/>
                      <w:sz w:val="18"/>
                      <w:szCs w:val="18"/>
                      <w:highlight w:val="none"/>
                      <w:u w:val="single"/>
                      <w:lang w:eastAsia="zh-CN"/>
                      <w14:textFill>
                        <w14:solidFill>
                          <w14:schemeClr w14:val="tx1"/>
                        </w14:solidFill>
                      </w14:textFill>
                    </w:rPr>
                    <w:t>加热炉燃气工序</w:t>
                  </w:r>
                </w:p>
              </w:tc>
              <w:tc>
                <w:tcPr>
                  <w:tcW w:w="372"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0"/>
                      <w:sz w:val="18"/>
                      <w:szCs w:val="18"/>
                      <w:highlight w:val="none"/>
                      <w:u w:val="single"/>
                      <w:lang w:eastAsia="zh-CN"/>
                      <w14:textFill>
                        <w14:solidFill>
                          <w14:schemeClr w14:val="tx1"/>
                        </w14:solidFill>
                      </w14:textFill>
                    </w:rPr>
                  </w:pPr>
                  <w:r>
                    <w:rPr>
                      <w:rFonts w:hint="default" w:ascii="Times New Roman" w:hAnsi="Times New Roman" w:cs="Times New Roman"/>
                      <w:b/>
                      <w:bCs/>
                      <w:color w:val="000000" w:themeColor="text1"/>
                      <w:kern w:val="0"/>
                      <w:sz w:val="18"/>
                      <w:szCs w:val="18"/>
                      <w:highlight w:val="none"/>
                      <w:u w:val="single"/>
                      <w:lang w:eastAsia="zh-CN"/>
                      <w14:textFill>
                        <w14:solidFill>
                          <w14:schemeClr w14:val="tx1"/>
                        </w14:solidFill>
                      </w14:textFill>
                    </w:rPr>
                    <w:t>颗粒物</w:t>
                  </w:r>
                </w:p>
              </w:tc>
              <w:tc>
                <w:tcPr>
                  <w:tcW w:w="334" w:type="pct"/>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kern w:val="0"/>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kern w:val="0"/>
                      <w:sz w:val="18"/>
                      <w:szCs w:val="18"/>
                      <w:highlight w:val="none"/>
                      <w:u w:val="single"/>
                      <w:lang w:val="en-US" w:eastAsia="zh-CN"/>
                      <w14:textFill>
                        <w14:solidFill>
                          <w14:schemeClr w14:val="tx1"/>
                        </w14:solidFill>
                      </w14:textFill>
                    </w:rPr>
                    <w:t>6120</w:t>
                  </w:r>
                </w:p>
              </w:tc>
              <w:tc>
                <w:tcPr>
                  <w:tcW w:w="363" w:type="pct"/>
                  <w:tcBorders>
                    <w:tl2br w:val="nil"/>
                    <w:tr2bl w:val="nil"/>
                  </w:tcBorders>
                  <w:shd w:val="clear" w:color="auto" w:fill="auto"/>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cyan"/>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5</w:t>
                  </w:r>
                </w:p>
              </w:tc>
              <w:tc>
                <w:tcPr>
                  <w:tcW w:w="363"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cyan"/>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0.0734</w:t>
                  </w:r>
                </w:p>
              </w:tc>
              <w:tc>
                <w:tcPr>
                  <w:tcW w:w="1153" w:type="pct"/>
                  <w:vMerge w:val="restart"/>
                  <w:tcBorders>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选择性催化还原（SCR）</w:t>
                  </w:r>
                  <w:r>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t>脱硝</w:t>
                  </w:r>
                  <w:r>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t>装置</w:t>
                  </w:r>
                  <w:r>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t>（TA001）</w:t>
                  </w:r>
                  <w:r>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t>+15m高排气筒（DA00</w:t>
                  </w:r>
                  <w:r>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t>1</w:t>
                  </w:r>
                  <w:r>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t>）</w:t>
                  </w:r>
                </w:p>
              </w:tc>
              <w:tc>
                <w:tcPr>
                  <w:tcW w:w="303" w:type="pct"/>
                  <w:tcBorders>
                    <w:top w:val="single" w:color="auto" w:sz="4" w:space="0"/>
                    <w:left w:val="single" w:color="auto" w:sz="4" w:space="0"/>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t>/</w:t>
                  </w:r>
                </w:p>
              </w:tc>
              <w:tc>
                <w:tcPr>
                  <w:tcW w:w="357" w:type="pct"/>
                  <w:tcBorders>
                    <w:top w:val="single" w:color="auto" w:sz="4" w:space="0"/>
                    <w:left w:val="single" w:color="auto" w:sz="4" w:space="0"/>
                    <w:tl2br w:val="nil"/>
                    <w:tr2bl w:val="nil"/>
                  </w:tcBorders>
                  <w:shd w:val="clear" w:color="auto" w:fill="auto"/>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2"/>
                      <w:sz w:val="18"/>
                      <w:szCs w:val="18"/>
                      <w:highlight w:val="cyan"/>
                      <w:u w:val="singl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5</w:t>
                  </w:r>
                </w:p>
              </w:tc>
              <w:tc>
                <w:tcPr>
                  <w:tcW w:w="340" w:type="pct"/>
                  <w:tcBorders>
                    <w:top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t>0.0306</w:t>
                  </w:r>
                </w:p>
              </w:tc>
              <w:tc>
                <w:tcPr>
                  <w:tcW w:w="331" w:type="pct"/>
                  <w:tcBorders>
                    <w:top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kern w:val="2"/>
                      <w:sz w:val="18"/>
                      <w:szCs w:val="18"/>
                      <w:highlight w:val="cyan"/>
                      <w:u w:val="singl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0.0734</w:t>
                  </w:r>
                </w:p>
              </w:tc>
              <w:tc>
                <w:tcPr>
                  <w:tcW w:w="305" w:type="pct"/>
                  <w:vMerge w:val="restart"/>
                  <w:tcBorders>
                    <w:top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2400</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430" w:type="pct"/>
                  <w:vMerge w:val="continue"/>
                  <w:tcBorders>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p>
              </w:tc>
              <w:tc>
                <w:tcPr>
                  <w:tcW w:w="346" w:type="pct"/>
                  <w:vMerge w:val="continue"/>
                  <w:tcBorders>
                    <w:lef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0"/>
                      <w:sz w:val="18"/>
                      <w:szCs w:val="18"/>
                      <w:highlight w:val="none"/>
                      <w:u w:val="single"/>
                      <w:lang w:eastAsia="zh-CN"/>
                      <w14:textFill>
                        <w14:solidFill>
                          <w14:schemeClr w14:val="tx1"/>
                        </w14:solidFill>
                      </w14:textFill>
                    </w:rPr>
                  </w:pPr>
                </w:p>
              </w:tc>
              <w:tc>
                <w:tcPr>
                  <w:tcW w:w="372"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0"/>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kern w:val="0"/>
                      <w:sz w:val="18"/>
                      <w:szCs w:val="18"/>
                      <w:highlight w:val="none"/>
                      <w:u w:val="single"/>
                      <w:lang w:val="en-US" w:eastAsia="zh-CN"/>
                      <w14:textFill>
                        <w14:solidFill>
                          <w14:schemeClr w14:val="tx1"/>
                        </w14:solidFill>
                      </w14:textFill>
                    </w:rPr>
                    <w:t>SO</w:t>
                  </w:r>
                  <w:r>
                    <w:rPr>
                      <w:rFonts w:hint="default" w:ascii="Times New Roman" w:hAnsi="Times New Roman" w:cs="Times New Roman"/>
                      <w:b/>
                      <w:bCs/>
                      <w:color w:val="000000" w:themeColor="text1"/>
                      <w:kern w:val="0"/>
                      <w:sz w:val="18"/>
                      <w:szCs w:val="18"/>
                      <w:highlight w:val="none"/>
                      <w:u w:val="single"/>
                      <w:vertAlign w:val="subscript"/>
                      <w:lang w:val="en-US" w:eastAsia="zh-CN"/>
                      <w14:textFill>
                        <w14:solidFill>
                          <w14:schemeClr w14:val="tx1"/>
                        </w14:solidFill>
                      </w14:textFill>
                    </w:rPr>
                    <w:t>2</w:t>
                  </w:r>
                </w:p>
              </w:tc>
              <w:tc>
                <w:tcPr>
                  <w:tcW w:w="334"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0"/>
                      <w:sz w:val="18"/>
                      <w:szCs w:val="18"/>
                      <w:highlight w:val="none"/>
                      <w:u w:val="single"/>
                      <w14:textFill>
                        <w14:solidFill>
                          <w14:schemeClr w14:val="tx1"/>
                        </w14:solidFill>
                      </w14:textFill>
                    </w:rPr>
                  </w:pPr>
                </w:p>
              </w:tc>
              <w:tc>
                <w:tcPr>
                  <w:tcW w:w="363" w:type="pct"/>
                  <w:tcBorders>
                    <w:tl2br w:val="nil"/>
                    <w:tr2bl w:val="nil"/>
                  </w:tcBorders>
                  <w:shd w:val="clear" w:color="auto" w:fill="auto"/>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cyan"/>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9</w:t>
                  </w:r>
                </w:p>
              </w:tc>
              <w:tc>
                <w:tcPr>
                  <w:tcW w:w="363"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cyan"/>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0.1322</w:t>
                  </w:r>
                </w:p>
              </w:tc>
              <w:tc>
                <w:tcPr>
                  <w:tcW w:w="1153" w:type="pct"/>
                  <w:vMerge w:val="continue"/>
                  <w:tcBorders>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p>
              </w:tc>
              <w:tc>
                <w:tcPr>
                  <w:tcW w:w="303" w:type="pct"/>
                  <w:tcBorders>
                    <w:top w:val="single" w:color="auto" w:sz="4" w:space="0"/>
                    <w:bottom w:val="single" w:color="auto" w:sz="4" w:space="0"/>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0"/>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kern w:val="0"/>
                      <w:sz w:val="18"/>
                      <w:szCs w:val="18"/>
                      <w:highlight w:val="none"/>
                      <w:u w:val="single"/>
                      <w:lang w:val="en-US" w:eastAsia="zh-CN"/>
                      <w14:textFill>
                        <w14:solidFill>
                          <w14:schemeClr w14:val="tx1"/>
                        </w14:solidFill>
                      </w14:textFill>
                    </w:rPr>
                    <w:t>/</w:t>
                  </w:r>
                </w:p>
              </w:tc>
              <w:tc>
                <w:tcPr>
                  <w:tcW w:w="357" w:type="pct"/>
                  <w:tcBorders>
                    <w:top w:val="single" w:color="auto" w:sz="4" w:space="0"/>
                    <w:left w:val="single" w:color="auto" w:sz="4" w:space="0"/>
                    <w:bottom w:val="single" w:color="auto" w:sz="4" w:space="0"/>
                    <w:tl2br w:val="nil"/>
                    <w:tr2bl w:val="nil"/>
                  </w:tcBorders>
                  <w:shd w:val="clear" w:color="auto" w:fill="auto"/>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2"/>
                      <w:sz w:val="18"/>
                      <w:szCs w:val="18"/>
                      <w:highlight w:val="cyan"/>
                      <w:u w:val="singl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9</w:t>
                  </w:r>
                </w:p>
              </w:tc>
              <w:tc>
                <w:tcPr>
                  <w:tcW w:w="340" w:type="pct"/>
                  <w:tcBorders>
                    <w:top w:val="single" w:color="auto" w:sz="4" w:space="0"/>
                    <w:bottom w:val="single" w:color="auto" w:sz="4" w:space="0"/>
                    <w:tl2br w:val="nil"/>
                    <w:tr2bl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t>0.0255</w:t>
                  </w:r>
                </w:p>
              </w:tc>
              <w:tc>
                <w:tcPr>
                  <w:tcW w:w="331" w:type="pct"/>
                  <w:tcBorders>
                    <w:top w:val="single" w:color="auto" w:sz="4" w:space="0"/>
                    <w:bottom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kern w:val="2"/>
                      <w:sz w:val="18"/>
                      <w:szCs w:val="18"/>
                      <w:highlight w:val="cyan"/>
                      <w:u w:val="singl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0.1322</w:t>
                  </w:r>
                </w:p>
              </w:tc>
              <w:tc>
                <w:tcPr>
                  <w:tcW w:w="305"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pP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430" w:type="pct"/>
                  <w:vMerge w:val="continue"/>
                  <w:tcBorders>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p>
              </w:tc>
              <w:tc>
                <w:tcPr>
                  <w:tcW w:w="346" w:type="pct"/>
                  <w:vMerge w:val="continue"/>
                  <w:tcBorders>
                    <w:lef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0"/>
                      <w:sz w:val="18"/>
                      <w:szCs w:val="18"/>
                      <w:highlight w:val="none"/>
                      <w:u w:val="single"/>
                      <w:lang w:eastAsia="zh-CN"/>
                      <w14:textFill>
                        <w14:solidFill>
                          <w14:schemeClr w14:val="tx1"/>
                        </w14:solidFill>
                      </w14:textFill>
                    </w:rPr>
                  </w:pPr>
                </w:p>
              </w:tc>
              <w:tc>
                <w:tcPr>
                  <w:tcW w:w="372"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0"/>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kern w:val="0"/>
                      <w:sz w:val="18"/>
                      <w:szCs w:val="18"/>
                      <w:highlight w:val="none"/>
                      <w:u w:val="single"/>
                      <w:lang w:val="en-US" w:eastAsia="zh-CN"/>
                      <w14:textFill>
                        <w14:solidFill>
                          <w14:schemeClr w14:val="tx1"/>
                        </w14:solidFill>
                      </w14:textFill>
                    </w:rPr>
                    <w:t>NO</w:t>
                  </w:r>
                  <w:r>
                    <w:rPr>
                      <w:rFonts w:hint="default" w:ascii="Times New Roman" w:hAnsi="Times New Roman" w:cs="Times New Roman"/>
                      <w:b/>
                      <w:bCs/>
                      <w:color w:val="000000" w:themeColor="text1"/>
                      <w:kern w:val="0"/>
                      <w:sz w:val="18"/>
                      <w:szCs w:val="18"/>
                      <w:highlight w:val="none"/>
                      <w:u w:val="single"/>
                      <w:vertAlign w:val="subscript"/>
                      <w:lang w:val="en-US" w:eastAsia="zh-CN"/>
                      <w14:textFill>
                        <w14:solidFill>
                          <w14:schemeClr w14:val="tx1"/>
                        </w14:solidFill>
                      </w14:textFill>
                    </w:rPr>
                    <w:t>x</w:t>
                  </w:r>
                </w:p>
              </w:tc>
              <w:tc>
                <w:tcPr>
                  <w:tcW w:w="334"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0"/>
                      <w:sz w:val="18"/>
                      <w:szCs w:val="18"/>
                      <w:highlight w:val="none"/>
                      <w:u w:val="single"/>
                      <w14:textFill>
                        <w14:solidFill>
                          <w14:schemeClr w14:val="tx1"/>
                        </w14:solidFill>
                      </w14:textFill>
                    </w:rPr>
                  </w:pPr>
                </w:p>
              </w:tc>
              <w:tc>
                <w:tcPr>
                  <w:tcW w:w="363" w:type="pct"/>
                  <w:tcBorders>
                    <w:tl2br w:val="nil"/>
                    <w:tr2bl w:val="nil"/>
                  </w:tcBorders>
                  <w:shd w:val="clear" w:color="auto" w:fill="auto"/>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cyan"/>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300</w:t>
                  </w:r>
                </w:p>
              </w:tc>
              <w:tc>
                <w:tcPr>
                  <w:tcW w:w="363"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cyan"/>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4.4064</w:t>
                  </w:r>
                </w:p>
              </w:tc>
              <w:tc>
                <w:tcPr>
                  <w:tcW w:w="1153" w:type="pct"/>
                  <w:vMerge w:val="continue"/>
                  <w:tcBorders>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p>
              </w:tc>
              <w:tc>
                <w:tcPr>
                  <w:tcW w:w="303" w:type="pct"/>
                  <w:tcBorders>
                    <w:top w:val="single" w:color="auto" w:sz="4" w:space="0"/>
                    <w:bottom w:val="single" w:color="auto" w:sz="4" w:space="0"/>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0"/>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kern w:val="0"/>
                      <w:sz w:val="18"/>
                      <w:szCs w:val="18"/>
                      <w:highlight w:val="none"/>
                      <w:u w:val="single"/>
                      <w:lang w:val="en-US" w:eastAsia="zh-CN"/>
                      <w14:textFill>
                        <w14:solidFill>
                          <w14:schemeClr w14:val="tx1"/>
                        </w14:solidFill>
                      </w14:textFill>
                    </w:rPr>
                    <w:t>85</w:t>
                  </w:r>
                </w:p>
              </w:tc>
              <w:tc>
                <w:tcPr>
                  <w:tcW w:w="357" w:type="pct"/>
                  <w:tcBorders>
                    <w:top w:val="single" w:color="auto" w:sz="4" w:space="0"/>
                    <w:left w:val="single" w:color="auto" w:sz="4" w:space="0"/>
                    <w:bottom w:val="single" w:color="auto" w:sz="4" w:space="0"/>
                    <w:tl2br w:val="nil"/>
                    <w:tr2bl w:val="nil"/>
                  </w:tcBorders>
                  <w:shd w:val="clear" w:color="auto" w:fill="auto"/>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2"/>
                      <w:sz w:val="18"/>
                      <w:szCs w:val="18"/>
                      <w:highlight w:val="cyan"/>
                      <w:u w:val="singl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45</w:t>
                  </w:r>
                </w:p>
              </w:tc>
              <w:tc>
                <w:tcPr>
                  <w:tcW w:w="340" w:type="pct"/>
                  <w:tcBorders>
                    <w:top w:val="single" w:color="auto" w:sz="4" w:space="0"/>
                    <w:bottom w:val="single" w:color="auto" w:sz="4" w:space="0"/>
                    <w:tl2br w:val="nil"/>
                    <w:tr2bl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t>0.275</w:t>
                  </w:r>
                </w:p>
              </w:tc>
              <w:tc>
                <w:tcPr>
                  <w:tcW w:w="331" w:type="pct"/>
                  <w:tcBorders>
                    <w:top w:val="single" w:color="auto" w:sz="4" w:space="0"/>
                    <w:bottom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kern w:val="2"/>
                      <w:sz w:val="18"/>
                      <w:szCs w:val="18"/>
                      <w:highlight w:val="cyan"/>
                      <w:u w:val="singl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0.661</w:t>
                  </w:r>
                </w:p>
              </w:tc>
              <w:tc>
                <w:tcPr>
                  <w:tcW w:w="305"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pP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430" w:type="pct"/>
                  <w:vMerge w:val="continue"/>
                  <w:tcBorders>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p>
              </w:tc>
              <w:tc>
                <w:tcPr>
                  <w:tcW w:w="346" w:type="pct"/>
                  <w:vMerge w:val="continue"/>
                  <w:tcBorders>
                    <w:lef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0"/>
                      <w:sz w:val="18"/>
                      <w:szCs w:val="18"/>
                      <w:highlight w:val="none"/>
                      <w:u w:val="single"/>
                      <w:lang w:eastAsia="zh-CN"/>
                      <w14:textFill>
                        <w14:solidFill>
                          <w14:schemeClr w14:val="tx1"/>
                        </w14:solidFill>
                      </w14:textFill>
                    </w:rPr>
                  </w:pPr>
                </w:p>
              </w:tc>
              <w:tc>
                <w:tcPr>
                  <w:tcW w:w="372"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0"/>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kern w:val="0"/>
                      <w:sz w:val="18"/>
                      <w:szCs w:val="18"/>
                      <w:highlight w:val="none"/>
                      <w:u w:val="single"/>
                      <w:lang w:val="en-US" w:eastAsia="zh-CN"/>
                      <w14:textFill>
                        <w14:solidFill>
                          <w14:schemeClr w14:val="tx1"/>
                        </w14:solidFill>
                      </w14:textFill>
                    </w:rPr>
                    <w:t>NH</w:t>
                  </w:r>
                  <w:r>
                    <w:rPr>
                      <w:rFonts w:hint="default" w:ascii="Times New Roman" w:hAnsi="Times New Roman" w:cs="Times New Roman"/>
                      <w:b/>
                      <w:bCs/>
                      <w:color w:val="000000" w:themeColor="text1"/>
                      <w:kern w:val="0"/>
                      <w:sz w:val="18"/>
                      <w:szCs w:val="18"/>
                      <w:highlight w:val="none"/>
                      <w:u w:val="single"/>
                      <w:vertAlign w:val="subscript"/>
                      <w:lang w:val="en-US" w:eastAsia="zh-CN"/>
                      <w14:textFill>
                        <w14:solidFill>
                          <w14:schemeClr w14:val="tx1"/>
                        </w14:solidFill>
                      </w14:textFill>
                    </w:rPr>
                    <w:t>3</w:t>
                  </w:r>
                </w:p>
              </w:tc>
              <w:tc>
                <w:tcPr>
                  <w:tcW w:w="334"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0"/>
                      <w:sz w:val="18"/>
                      <w:szCs w:val="18"/>
                      <w:highlight w:val="none"/>
                      <w:u w:val="single"/>
                      <w14:textFill>
                        <w14:solidFill>
                          <w14:schemeClr w14:val="tx1"/>
                        </w14:solidFill>
                      </w14:textFill>
                    </w:rPr>
                  </w:pPr>
                </w:p>
              </w:tc>
              <w:tc>
                <w:tcPr>
                  <w:tcW w:w="363" w:type="pct"/>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w:t>
                  </w:r>
                </w:p>
              </w:tc>
              <w:tc>
                <w:tcPr>
                  <w:tcW w:w="363" w:type="pct"/>
                  <w:tcBorders>
                    <w:tl2br w:val="nil"/>
                    <w:tr2bl w:val="nil"/>
                  </w:tcBorders>
                  <w:shd w:val="clear" w:color="auto" w:fill="auto"/>
                  <w:vAlign w:val="center"/>
                </w:tcPr>
                <w:p>
                  <w:pPr>
                    <w:keepNext w:val="0"/>
                    <w:keepLines w:val="0"/>
                    <w:pageBreakBefore w:val="0"/>
                    <w:widowControl/>
                    <w:suppressLineNumbers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b/>
                      <w:bCs/>
                      <w:i w:val="0"/>
                      <w:iCs w:val="0"/>
                      <w:color w:val="000000" w:themeColor="text1"/>
                      <w:kern w:val="0"/>
                      <w:sz w:val="18"/>
                      <w:szCs w:val="18"/>
                      <w:u w:val="single"/>
                      <w:lang w:val="en-US" w:eastAsia="zh-CN" w:bidi="ar"/>
                      <w14:textFill>
                        <w14:solidFill>
                          <w14:schemeClr w14:val="tx1"/>
                        </w14:solidFill>
                      </w14:textFill>
                    </w:rPr>
                  </w:pPr>
                  <w:r>
                    <w:rPr>
                      <w:rFonts w:hint="default" w:ascii="Times New Roman" w:hAnsi="Times New Roman" w:cs="Times New Roman"/>
                      <w:b/>
                      <w:bCs/>
                      <w:i w:val="0"/>
                      <w:iCs w:val="0"/>
                      <w:color w:val="000000" w:themeColor="text1"/>
                      <w:kern w:val="0"/>
                      <w:sz w:val="18"/>
                      <w:szCs w:val="18"/>
                      <w:u w:val="single"/>
                      <w:lang w:val="en-US" w:eastAsia="zh-CN" w:bidi="ar"/>
                      <w14:textFill>
                        <w14:solidFill>
                          <w14:schemeClr w14:val="tx1"/>
                        </w14:solidFill>
                      </w14:textFill>
                    </w:rPr>
                    <w:t>/</w:t>
                  </w:r>
                </w:p>
              </w:tc>
              <w:tc>
                <w:tcPr>
                  <w:tcW w:w="1153" w:type="pct"/>
                  <w:vMerge w:val="continue"/>
                  <w:tcBorders>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kern w:val="2"/>
                      <w:sz w:val="18"/>
                      <w:szCs w:val="18"/>
                      <w:highlight w:val="none"/>
                      <w:u w:val="single"/>
                      <w:lang w:val="en-US" w:eastAsia="zh-CN" w:bidi="ar-SA"/>
                      <w14:textFill>
                        <w14:solidFill>
                          <w14:schemeClr w14:val="tx1"/>
                        </w14:solidFill>
                      </w14:textFill>
                    </w:rPr>
                  </w:pPr>
                </w:p>
              </w:tc>
              <w:tc>
                <w:tcPr>
                  <w:tcW w:w="303" w:type="pct"/>
                  <w:tcBorders>
                    <w:top w:val="single" w:color="auto" w:sz="4" w:space="0"/>
                    <w:bottom w:val="single" w:color="auto" w:sz="4" w:space="0"/>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0"/>
                      <w:sz w:val="18"/>
                      <w:szCs w:val="18"/>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kern w:val="0"/>
                      <w:sz w:val="18"/>
                      <w:szCs w:val="18"/>
                      <w:highlight w:val="none"/>
                      <w:u w:val="single"/>
                      <w:lang w:val="en-US" w:eastAsia="zh-CN"/>
                      <w14:textFill>
                        <w14:solidFill>
                          <w14:schemeClr w14:val="tx1"/>
                        </w14:solidFill>
                      </w14:textFill>
                    </w:rPr>
                    <w:t>/</w:t>
                  </w:r>
                </w:p>
              </w:tc>
              <w:tc>
                <w:tcPr>
                  <w:tcW w:w="357" w:type="pct"/>
                  <w:tcBorders>
                    <w:top w:val="single" w:color="auto" w:sz="4" w:space="0"/>
                    <w:left w:val="single" w:color="auto" w:sz="4" w:space="0"/>
                    <w:bottom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t>7.9</w:t>
                  </w:r>
                </w:p>
              </w:tc>
              <w:tc>
                <w:tcPr>
                  <w:tcW w:w="340" w:type="pct"/>
                  <w:tcBorders>
                    <w:top w:val="single" w:color="auto" w:sz="4" w:space="0"/>
                    <w:bottom w:val="single" w:color="auto" w:sz="4" w:space="0"/>
                    <w:tl2br w:val="nil"/>
                    <w:tr2bl w:val="nil"/>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t xml:space="preserve">0.048 </w:t>
                  </w:r>
                </w:p>
              </w:tc>
              <w:tc>
                <w:tcPr>
                  <w:tcW w:w="331" w:type="pct"/>
                  <w:tcBorders>
                    <w:top w:val="single" w:color="auto" w:sz="4" w:space="0"/>
                    <w:bottom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bCs/>
                      <w:color w:val="000000" w:themeColor="text1"/>
                      <w:sz w:val="18"/>
                      <w:szCs w:val="18"/>
                      <w:highlight w:val="none"/>
                      <w:u w:val="singl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bidi="ar-SA"/>
                      <w14:textFill>
                        <w14:solidFill>
                          <w14:schemeClr w14:val="tx1"/>
                        </w14:solidFill>
                      </w14:textFill>
                    </w:rPr>
                    <w:t>0.116</w:t>
                  </w:r>
                </w:p>
              </w:tc>
              <w:tc>
                <w:tcPr>
                  <w:tcW w:w="305"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pP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430" w:type="pct"/>
                  <w:vMerge w:val="continue"/>
                  <w:tcBorders>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p>
              </w:tc>
              <w:tc>
                <w:tcPr>
                  <w:tcW w:w="346" w:type="pct"/>
                  <w:tcBorders>
                    <w:lef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t>切割工序</w:t>
                  </w:r>
                </w:p>
              </w:tc>
              <w:tc>
                <w:tcPr>
                  <w:tcW w:w="372"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颗粒物</w:t>
                  </w:r>
                </w:p>
              </w:tc>
              <w:tc>
                <w:tcPr>
                  <w:tcW w:w="8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10000</w:t>
                  </w:r>
                </w:p>
              </w:tc>
              <w:tc>
                <w:tcPr>
                  <w:tcW w:w="96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3567.2</w:t>
                  </w:r>
                </w:p>
              </w:tc>
              <w:tc>
                <w:tcPr>
                  <w:tcW w:w="96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cs="Times New Roman"/>
                      <w:i w:val="0"/>
                      <w:iCs w:val="0"/>
                      <w:color w:val="000000" w:themeColor="text1"/>
                      <w:kern w:val="0"/>
                      <w:sz w:val="18"/>
                      <w:szCs w:val="18"/>
                      <w:highlight w:val="none"/>
                      <w:u w:val="none"/>
                      <w:lang w:val="en-US" w:eastAsia="zh-CN" w:bidi="ar"/>
                      <w14:textFill>
                        <w14:solidFill>
                          <w14:schemeClr w14:val="tx1"/>
                        </w14:solidFill>
                      </w14:textFill>
                    </w:rPr>
                    <w:t>42.8064</w:t>
                  </w:r>
                </w:p>
              </w:tc>
              <w:tc>
                <w:tcPr>
                  <w:tcW w:w="3052"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密闭间</w:t>
                  </w: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+负压集气罩+</w:t>
                  </w:r>
                </w:p>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脉冲袋式除尘器</w:t>
                  </w: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（TA002）</w:t>
                  </w: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+15m高排气筒（DA00</w:t>
                  </w: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w:t>
                  </w:r>
                </w:p>
              </w:tc>
              <w:tc>
                <w:tcPr>
                  <w:tcW w:w="802" w:type="dxa"/>
                  <w:tcBorders>
                    <w:top w:val="single" w:color="auto" w:sz="4" w:space="0"/>
                    <w:bottom w:val="single" w:color="auto" w:sz="4" w:space="0"/>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99.9</w:t>
                  </w:r>
                </w:p>
              </w:tc>
              <w:tc>
                <w:tcPr>
                  <w:tcW w:w="945" w:type="dxa"/>
                  <w:tcBorders>
                    <w:top w:val="single" w:color="auto" w:sz="4" w:space="0"/>
                    <w:left w:val="single" w:color="auto" w:sz="4" w:space="0"/>
                    <w:bottom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eastAsia" w:cs="Times New Roman"/>
                      <w:color w:val="000000" w:themeColor="text1"/>
                      <w:kern w:val="0"/>
                      <w:sz w:val="18"/>
                      <w:szCs w:val="18"/>
                      <w:highlight w:val="none"/>
                      <w:lang w:val="en-US" w:eastAsia="zh-CN" w:bidi="ar-SA"/>
                      <w14:textFill>
                        <w14:solidFill>
                          <w14:schemeClr w14:val="tx1"/>
                        </w14:solidFill>
                      </w14:textFill>
                    </w:rPr>
                    <w:t>3.57</w:t>
                  </w:r>
                </w:p>
              </w:tc>
              <w:tc>
                <w:tcPr>
                  <w:tcW w:w="900" w:type="dxa"/>
                  <w:tcBorders>
                    <w:top w:val="single" w:color="auto" w:sz="4" w:space="0"/>
                    <w:bottom w:val="single" w:color="auto" w:sz="4" w:space="0"/>
                    <w:tl2br w:val="nil"/>
                    <w:tr2bl w:val="nil"/>
                  </w:tcBorders>
                  <w:shd w:val="clear" w:color="auto" w:fill="auto"/>
                  <w:noWrap/>
                  <w:vAlign w:val="center"/>
                </w:tcPr>
                <w:p>
                  <w:pPr>
                    <w:keepNext w:val="0"/>
                    <w:keepLines w:val="0"/>
                    <w:pageBreakBefore w:val="0"/>
                    <w:widowControl/>
                    <w:suppressLineNumbers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0.036</w:t>
                  </w:r>
                </w:p>
              </w:tc>
              <w:tc>
                <w:tcPr>
                  <w:tcW w:w="877" w:type="dxa"/>
                  <w:tcBorders>
                    <w:top w:val="single" w:color="auto" w:sz="4" w:space="0"/>
                    <w:bottom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cs="Times New Roman"/>
                      <w:color w:val="000000" w:themeColor="text1"/>
                      <w:kern w:val="2"/>
                      <w:sz w:val="18"/>
                      <w:szCs w:val="18"/>
                      <w:highlight w:val="none"/>
                      <w:lang w:val="en-US" w:eastAsia="zh-CN" w:bidi="ar-SA"/>
                      <w14:textFill>
                        <w14:solidFill>
                          <w14:schemeClr w14:val="tx1"/>
                        </w14:solidFill>
                      </w14:textFill>
                    </w:rPr>
                  </w:pPr>
                  <w:r>
                    <w:rPr>
                      <w:rFonts w:hint="eastAsia" w:cs="Times New Roman"/>
                      <w:color w:val="000000" w:themeColor="text1"/>
                      <w:kern w:val="2"/>
                      <w:sz w:val="18"/>
                      <w:szCs w:val="18"/>
                      <w:highlight w:val="none"/>
                      <w:lang w:val="en-US" w:eastAsia="zh-CN" w:bidi="ar-SA"/>
                      <w14:textFill>
                        <w14:solidFill>
                          <w14:schemeClr w14:val="tx1"/>
                        </w14:solidFill>
                      </w14:textFill>
                    </w:rPr>
                    <w:t>0.0428</w:t>
                  </w:r>
                </w:p>
              </w:tc>
              <w:tc>
                <w:tcPr>
                  <w:tcW w:w="80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cs="Times New Roman"/>
                      <w:color w:val="000000" w:themeColor="text1"/>
                      <w:kern w:val="2"/>
                      <w:sz w:val="18"/>
                      <w:szCs w:val="18"/>
                      <w:highlight w:val="none"/>
                      <w:lang w:val="en-US" w:eastAsia="zh-CN" w:bidi="ar-SA"/>
                      <w14:textFill>
                        <w14:solidFill>
                          <w14:schemeClr w14:val="tx1"/>
                        </w14:solidFill>
                      </w14:textFill>
                    </w:rPr>
                  </w:pPr>
                  <w:r>
                    <w:rPr>
                      <w:rFonts w:hint="eastAsia" w:cs="Times New Roman"/>
                      <w:color w:val="000000" w:themeColor="text1"/>
                      <w:kern w:val="0"/>
                      <w:sz w:val="18"/>
                      <w:szCs w:val="18"/>
                      <w:highlight w:val="none"/>
                      <w:lang w:val="en-US" w:eastAsia="zh-CN" w:bidi="ar-SA"/>
                      <w14:textFill>
                        <w14:solidFill>
                          <w14:schemeClr w14:val="tx1"/>
                        </w14:solidFill>
                      </w14:textFill>
                    </w:rPr>
                    <w:t>1200</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430" w:type="pct"/>
                  <w:tcBorders>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2#、3#</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生产车间</w:t>
                  </w:r>
                </w:p>
              </w:tc>
              <w:tc>
                <w:tcPr>
                  <w:tcW w:w="346" w:type="pct"/>
                  <w:tcBorders>
                    <w:lef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t>焊接</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、打磨工序</w:t>
                  </w:r>
                </w:p>
              </w:tc>
              <w:tc>
                <w:tcPr>
                  <w:tcW w:w="372"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颗粒物</w:t>
                  </w:r>
                </w:p>
              </w:tc>
              <w:tc>
                <w:tcPr>
                  <w:tcW w:w="884"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10000</w:t>
                  </w:r>
                </w:p>
              </w:tc>
              <w:tc>
                <w:tcPr>
                  <w:tcW w:w="96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4683.58</w:t>
                  </w:r>
                </w:p>
              </w:tc>
              <w:tc>
                <w:tcPr>
                  <w:tcW w:w="96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cs="Times New Roman"/>
                      <w:i w:val="0"/>
                      <w:iCs w:val="0"/>
                      <w:color w:val="000000" w:themeColor="text1"/>
                      <w:kern w:val="0"/>
                      <w:sz w:val="18"/>
                      <w:szCs w:val="18"/>
                      <w:highlight w:val="none"/>
                      <w:u w:val="none"/>
                      <w:lang w:val="en-US" w:eastAsia="zh-CN" w:bidi="ar"/>
                      <w14:textFill>
                        <w14:solidFill>
                          <w14:schemeClr w14:val="tx1"/>
                        </w14:solidFill>
                      </w14:textFill>
                    </w:rPr>
                    <w:t>56.203</w:t>
                  </w:r>
                </w:p>
              </w:tc>
              <w:tc>
                <w:tcPr>
                  <w:tcW w:w="3052"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密闭间</w:t>
                  </w: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+负压集气罩+</w:t>
                  </w:r>
                </w:p>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脉冲袋式除尘器</w:t>
                  </w: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（TA003）</w:t>
                  </w: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+15m高排气筒（DA00</w:t>
                  </w: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w:t>
                  </w:r>
                </w:p>
              </w:tc>
              <w:tc>
                <w:tcPr>
                  <w:tcW w:w="802" w:type="dxa"/>
                  <w:tcBorders>
                    <w:top w:val="single" w:color="auto" w:sz="4" w:space="0"/>
                    <w:bottom w:val="single" w:color="auto" w:sz="4" w:space="0"/>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99.9</w:t>
                  </w:r>
                </w:p>
              </w:tc>
              <w:tc>
                <w:tcPr>
                  <w:tcW w:w="945" w:type="dxa"/>
                  <w:tcBorders>
                    <w:top w:val="single" w:color="auto" w:sz="4" w:space="0"/>
                    <w:left w:val="single" w:color="auto" w:sz="4" w:space="0"/>
                    <w:bottom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eastAsia" w:cs="Times New Roman"/>
                      <w:color w:val="000000" w:themeColor="text1"/>
                      <w:kern w:val="2"/>
                      <w:sz w:val="18"/>
                      <w:szCs w:val="18"/>
                      <w:highlight w:val="none"/>
                      <w:lang w:val="en-US" w:eastAsia="zh-CN" w:bidi="ar-SA"/>
                      <w14:textFill>
                        <w14:solidFill>
                          <w14:schemeClr w14:val="tx1"/>
                        </w14:solidFill>
                      </w14:textFill>
                    </w:rPr>
                    <w:t>4.68</w:t>
                  </w:r>
                </w:p>
              </w:tc>
              <w:tc>
                <w:tcPr>
                  <w:tcW w:w="900" w:type="dxa"/>
                  <w:tcBorders>
                    <w:top w:val="single" w:color="auto" w:sz="4" w:space="0"/>
                    <w:bottom w:val="single" w:color="auto" w:sz="4" w:space="0"/>
                    <w:tl2br w:val="nil"/>
                    <w:tr2bl w:val="nil"/>
                  </w:tcBorders>
                  <w:shd w:val="clear" w:color="auto" w:fill="auto"/>
                  <w:noWrap/>
                  <w:vAlign w:val="center"/>
                </w:tcPr>
                <w:p>
                  <w:pPr>
                    <w:keepNext w:val="0"/>
                    <w:keepLines w:val="0"/>
                    <w:pageBreakBefore w:val="0"/>
                    <w:widowControl/>
                    <w:suppressLineNumbers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cs="Times New Roman"/>
                      <w:i w:val="0"/>
                      <w:iCs w:val="0"/>
                      <w:color w:val="000000" w:themeColor="text1"/>
                      <w:kern w:val="0"/>
                      <w:sz w:val="18"/>
                      <w:szCs w:val="18"/>
                      <w:highlight w:val="none"/>
                      <w:u w:val="none"/>
                      <w:lang w:val="en-US" w:eastAsia="zh-CN" w:bidi="ar"/>
                      <w14:textFill>
                        <w14:solidFill>
                          <w14:schemeClr w14:val="tx1"/>
                        </w14:solidFill>
                      </w14:textFill>
                    </w:rPr>
                    <w:t>0.047</w:t>
                  </w:r>
                </w:p>
              </w:tc>
              <w:tc>
                <w:tcPr>
                  <w:tcW w:w="877" w:type="dxa"/>
                  <w:tcBorders>
                    <w:top w:val="single" w:color="auto" w:sz="4" w:space="0"/>
                    <w:bottom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cs="Times New Roman"/>
                      <w:color w:val="000000" w:themeColor="text1"/>
                      <w:kern w:val="2"/>
                      <w:sz w:val="18"/>
                      <w:szCs w:val="18"/>
                      <w:highlight w:val="none"/>
                      <w:lang w:val="en-US" w:eastAsia="zh-CN" w:bidi="ar-SA"/>
                      <w14:textFill>
                        <w14:solidFill>
                          <w14:schemeClr w14:val="tx1"/>
                        </w14:solidFill>
                      </w14:textFill>
                    </w:rPr>
                  </w:pPr>
                  <w:r>
                    <w:rPr>
                      <w:rFonts w:hint="eastAsia" w:cs="Times New Roman"/>
                      <w:color w:val="000000" w:themeColor="text1"/>
                      <w:kern w:val="2"/>
                      <w:sz w:val="18"/>
                      <w:szCs w:val="18"/>
                      <w:highlight w:val="none"/>
                      <w:lang w:val="en-US" w:eastAsia="zh-CN" w:bidi="ar-SA"/>
                      <w14:textFill>
                        <w14:solidFill>
                          <w14:schemeClr w14:val="tx1"/>
                        </w14:solidFill>
                      </w14:textFill>
                    </w:rPr>
                    <w:t>0.0562</w:t>
                  </w:r>
                </w:p>
              </w:tc>
              <w:tc>
                <w:tcPr>
                  <w:tcW w:w="80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pPr>
                  <w:r>
                    <w:rPr>
                      <w:rFonts w:hint="eastAsia" w:cs="Times New Roman"/>
                      <w:color w:val="000000" w:themeColor="text1"/>
                      <w:kern w:val="0"/>
                      <w:sz w:val="18"/>
                      <w:szCs w:val="18"/>
                      <w:highlight w:val="none"/>
                      <w:lang w:val="en-US" w:eastAsia="zh-CN" w:bidi="ar-SA"/>
                      <w14:textFill>
                        <w14:solidFill>
                          <w14:schemeClr w14:val="tx1"/>
                        </w14:solidFill>
                      </w14:textFill>
                    </w:rPr>
                    <w:t>1200</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430" w:type="pct"/>
                  <w:vMerge w:val="restart"/>
                  <w:tcBorders>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4#酸洗车间</w:t>
                  </w:r>
                </w:p>
              </w:tc>
              <w:tc>
                <w:tcPr>
                  <w:tcW w:w="346" w:type="pct"/>
                  <w:vMerge w:val="restart"/>
                  <w:tcBorders>
                    <w:lef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酸洗工序</w:t>
                  </w:r>
                </w:p>
              </w:tc>
              <w:tc>
                <w:tcPr>
                  <w:tcW w:w="372"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氢氟酸雾</w:t>
                  </w:r>
                </w:p>
              </w:tc>
              <w:tc>
                <w:tcPr>
                  <w:tcW w:w="334" w:type="pct"/>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2000</w:t>
                  </w:r>
                </w:p>
              </w:tc>
              <w:tc>
                <w:tcPr>
                  <w:tcW w:w="961"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8.48</w:t>
                  </w:r>
                </w:p>
              </w:tc>
              <w:tc>
                <w:tcPr>
                  <w:tcW w:w="961"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0.0407</w:t>
                  </w:r>
                </w:p>
              </w:tc>
              <w:tc>
                <w:tcPr>
                  <w:tcW w:w="1153" w:type="pct"/>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密闭间+集气罩+</w:t>
                  </w:r>
                  <w:r>
                    <w:rPr>
                      <w:rFonts w:hint="eastAsia" w:cs="Times New Roman"/>
                      <w:color w:val="000000" w:themeColor="text1"/>
                      <w:kern w:val="0"/>
                      <w:sz w:val="18"/>
                      <w:szCs w:val="18"/>
                      <w:highlight w:val="none"/>
                      <w:lang w:val="en-US" w:eastAsia="zh-CN" w:bidi="ar-SA"/>
                      <w14:textFill>
                        <w14:solidFill>
                          <w14:schemeClr w14:val="tx1"/>
                        </w14:solidFill>
                      </w14:textFill>
                    </w:rPr>
                    <w:t>两级酸雾喷淋塔</w:t>
                  </w: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（TA004）+</w:t>
                  </w: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15m高排气筒（DA00</w:t>
                  </w: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w:t>
                  </w:r>
                </w:p>
              </w:tc>
              <w:tc>
                <w:tcPr>
                  <w:tcW w:w="303" w:type="pct"/>
                  <w:tcBorders>
                    <w:top w:val="single" w:color="auto" w:sz="4" w:space="0"/>
                    <w:bottom w:val="single" w:color="auto" w:sz="4" w:space="0"/>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90</w:t>
                  </w:r>
                </w:p>
              </w:tc>
              <w:tc>
                <w:tcPr>
                  <w:tcW w:w="945" w:type="dxa"/>
                  <w:tcBorders>
                    <w:top w:val="single" w:color="auto" w:sz="4" w:space="0"/>
                    <w:left w:val="single" w:color="auto" w:sz="4" w:space="0"/>
                    <w:bottom w:val="single" w:color="auto" w:sz="4" w:space="0"/>
                    <w:tl2br w:val="nil"/>
                    <w:tr2bl w:val="nil"/>
                  </w:tcBorders>
                  <w:shd w:val="clear" w:color="auto" w:fill="auto"/>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pPr>
                  <w:r>
                    <w:rPr>
                      <w:rFonts w:hint="eastAsia" w:cs="Times New Roman"/>
                      <w:color w:val="000000" w:themeColor="text1"/>
                      <w:kern w:val="0"/>
                      <w:sz w:val="18"/>
                      <w:szCs w:val="18"/>
                      <w:highlight w:val="none"/>
                      <w:lang w:val="en-US" w:eastAsia="zh-CN" w:bidi="ar-SA"/>
                      <w14:textFill>
                        <w14:solidFill>
                          <w14:schemeClr w14:val="tx1"/>
                        </w14:solidFill>
                      </w14:textFill>
                    </w:rPr>
                    <w:t>0.85</w:t>
                  </w:r>
                </w:p>
              </w:tc>
              <w:tc>
                <w:tcPr>
                  <w:tcW w:w="900" w:type="dxa"/>
                  <w:tcBorders>
                    <w:top w:val="single" w:color="auto" w:sz="4" w:space="0"/>
                    <w:bottom w:val="single" w:color="auto" w:sz="4" w:space="0"/>
                    <w:tl2br w:val="nil"/>
                    <w:tr2bl w:val="nil"/>
                  </w:tcBorders>
                  <w:shd w:val="clear" w:color="auto" w:fill="auto"/>
                  <w:noWrap/>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0.002</w:t>
                  </w:r>
                </w:p>
              </w:tc>
              <w:tc>
                <w:tcPr>
                  <w:tcW w:w="877" w:type="dxa"/>
                  <w:tcBorders>
                    <w:top w:val="single" w:color="auto" w:sz="4" w:space="0"/>
                    <w:bottom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0.0041</w:t>
                  </w:r>
                </w:p>
              </w:tc>
              <w:tc>
                <w:tcPr>
                  <w:tcW w:w="305" w:type="pct"/>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pPr>
                  <w:r>
                    <w:rPr>
                      <w:rFonts w:hint="eastAsia" w:cs="Times New Roman"/>
                      <w:color w:val="000000" w:themeColor="text1"/>
                      <w:kern w:val="0"/>
                      <w:sz w:val="18"/>
                      <w:szCs w:val="18"/>
                      <w:highlight w:val="none"/>
                      <w:lang w:val="en-US" w:eastAsia="zh-CN" w:bidi="ar-SA"/>
                      <w14:textFill>
                        <w14:solidFill>
                          <w14:schemeClr w14:val="tx1"/>
                        </w14:solidFill>
                      </w14:textFill>
                    </w:rPr>
                    <w:t>24</w:t>
                  </w: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00</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430" w:type="pct"/>
                  <w:vMerge w:val="continue"/>
                  <w:tcBorders>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p>
              </w:tc>
              <w:tc>
                <w:tcPr>
                  <w:tcW w:w="346" w:type="pct"/>
                  <w:vMerge w:val="continue"/>
                  <w:tcBorders>
                    <w:lef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p>
              </w:tc>
              <w:tc>
                <w:tcPr>
                  <w:tcW w:w="372"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硝酸雾（NOx计）</w:t>
                  </w:r>
                </w:p>
              </w:tc>
              <w:tc>
                <w:tcPr>
                  <w:tcW w:w="334"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p>
              </w:tc>
              <w:tc>
                <w:tcPr>
                  <w:tcW w:w="961"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70.94</w:t>
                  </w:r>
                </w:p>
              </w:tc>
              <w:tc>
                <w:tcPr>
                  <w:tcW w:w="961"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0.3405</w:t>
                  </w:r>
                </w:p>
              </w:tc>
              <w:tc>
                <w:tcPr>
                  <w:tcW w:w="1153" w:type="pct"/>
                  <w:vMerge w:val="continue"/>
                  <w:tcBorders>
                    <w:bottom w:val="single" w:color="000000"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p>
              </w:tc>
              <w:tc>
                <w:tcPr>
                  <w:tcW w:w="303" w:type="pct"/>
                  <w:tcBorders>
                    <w:top w:val="single" w:color="auto" w:sz="4" w:space="0"/>
                    <w:bottom w:val="single" w:color="000000" w:sz="4" w:space="0"/>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90</w:t>
                  </w:r>
                </w:p>
              </w:tc>
              <w:tc>
                <w:tcPr>
                  <w:tcW w:w="945" w:type="dxa"/>
                  <w:tcBorders>
                    <w:top w:val="single" w:color="auto" w:sz="4" w:space="0"/>
                    <w:left w:val="single" w:color="auto" w:sz="4" w:space="0"/>
                    <w:bottom w:val="single" w:color="000000" w:sz="4" w:space="0"/>
                    <w:tl2br w:val="nil"/>
                    <w:tr2bl w:val="nil"/>
                  </w:tcBorders>
                  <w:shd w:val="clear" w:color="auto" w:fill="auto"/>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pPr>
                  <w:r>
                    <w:rPr>
                      <w:rFonts w:hint="eastAsia" w:cs="Times New Roman"/>
                      <w:color w:val="000000" w:themeColor="text1"/>
                      <w:kern w:val="0"/>
                      <w:sz w:val="18"/>
                      <w:szCs w:val="18"/>
                      <w:highlight w:val="none"/>
                      <w:lang w:val="en-US" w:eastAsia="zh-CN" w:bidi="ar-SA"/>
                      <w14:textFill>
                        <w14:solidFill>
                          <w14:schemeClr w14:val="tx1"/>
                        </w14:solidFill>
                      </w14:textFill>
                    </w:rPr>
                    <w:t>7.09</w:t>
                  </w:r>
                </w:p>
              </w:tc>
              <w:tc>
                <w:tcPr>
                  <w:tcW w:w="900" w:type="dxa"/>
                  <w:tcBorders>
                    <w:top w:val="single" w:color="auto" w:sz="4" w:space="0"/>
                    <w:bottom w:val="single" w:color="000000" w:sz="4" w:space="0"/>
                    <w:tl2br w:val="nil"/>
                    <w:tr2bl w:val="nil"/>
                  </w:tcBorders>
                  <w:shd w:val="clear" w:color="auto" w:fill="auto"/>
                  <w:noWrap/>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0.014</w:t>
                  </w:r>
                </w:p>
              </w:tc>
              <w:tc>
                <w:tcPr>
                  <w:tcW w:w="877" w:type="dxa"/>
                  <w:tcBorders>
                    <w:top w:val="single" w:color="auto" w:sz="4" w:space="0"/>
                    <w:bottom w:val="single" w:color="000000"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0.0341</w:t>
                  </w:r>
                </w:p>
              </w:tc>
              <w:tc>
                <w:tcPr>
                  <w:tcW w:w="305" w:type="pct"/>
                  <w:vMerge w:val="continue"/>
                  <w:tcBorders>
                    <w:bottom w:val="single" w:color="000000"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pPr>
                </w:p>
              </w:tc>
            </w:tr>
          </w:tbl>
          <w:p>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Chars="0" w:right="0" w:rightChars="0"/>
              <w:jc w:val="both"/>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p>
          <w:p>
            <w:pPr>
              <w:pStyle w:val="2"/>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p>
          <w:p>
            <w:pPr>
              <w:ind w:left="0" w:leftChars="0" w:firstLine="0" w:firstLineChars="0"/>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p>
          <w:p>
            <w:pPr>
              <w:pStyle w:val="2"/>
              <w:rPr>
                <w:rFonts w:hint="default"/>
                <w:color w:val="000000" w:themeColor="text1"/>
                <w:lang w:val="en-US" w:eastAsia="zh-CN"/>
                <w14:textFill>
                  <w14:solidFill>
                    <w14:schemeClr w14:val="tx1"/>
                  </w14:solidFill>
                </w14:textFill>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无组织废气产排情况汇总一览表（本次扩建工程）</w:t>
            </w:r>
          </w:p>
          <w:tbl>
            <w:tblPr>
              <w:tblStyle w:val="21"/>
              <w:tblW w:w="4998" w:type="pct"/>
              <w:tblInd w:w="0"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170"/>
              <w:gridCol w:w="1231"/>
              <w:gridCol w:w="868"/>
              <w:gridCol w:w="1303"/>
              <w:gridCol w:w="1303"/>
              <w:gridCol w:w="3857"/>
              <w:gridCol w:w="1363"/>
              <w:gridCol w:w="1366"/>
              <w:gridCol w:w="768"/>
            </w:tblGrid>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42" w:type="pct"/>
                  <w:vMerge w:val="restar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r>
                    <w:rPr>
                      <w:rFonts w:hint="default" w:ascii="Times New Roman" w:hAnsi="Times New Roman" w:cs="Times New Roman"/>
                      <w:color w:val="000000" w:themeColor="text1"/>
                      <w:sz w:val="18"/>
                      <w:szCs w:val="18"/>
                      <w:highlight w:val="none"/>
                      <w:lang w:eastAsia="en-US"/>
                      <w14:textFill>
                        <w14:solidFill>
                          <w14:schemeClr w14:val="tx1"/>
                        </w14:solidFill>
                      </w14:textFill>
                    </w:rPr>
                    <w:t>排放源</w:t>
                  </w:r>
                </w:p>
              </w:tc>
              <w:tc>
                <w:tcPr>
                  <w:tcW w:w="465" w:type="pct"/>
                  <w:vMerge w:val="restar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产污来源</w:t>
                  </w:r>
                </w:p>
              </w:tc>
              <w:tc>
                <w:tcPr>
                  <w:tcW w:w="328" w:type="pct"/>
                  <w:vMerge w:val="restar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r>
                    <w:rPr>
                      <w:rFonts w:hint="default" w:ascii="Times New Roman" w:hAnsi="Times New Roman" w:cs="Times New Roman"/>
                      <w:color w:val="000000" w:themeColor="text1"/>
                      <w:sz w:val="18"/>
                      <w:szCs w:val="18"/>
                      <w:highlight w:val="none"/>
                      <w:lang w:eastAsia="en-US"/>
                      <w14:textFill>
                        <w14:solidFill>
                          <w14:schemeClr w14:val="tx1"/>
                        </w14:solidFill>
                      </w14:textFill>
                    </w:rPr>
                    <w:t>污染物</w:t>
                  </w:r>
                </w:p>
              </w:tc>
              <w:tc>
                <w:tcPr>
                  <w:tcW w:w="984" w:type="pct"/>
                  <w:gridSpan w:val="2"/>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产生量</w:t>
                  </w:r>
                </w:p>
              </w:tc>
              <w:tc>
                <w:tcPr>
                  <w:tcW w:w="1457" w:type="pct"/>
                  <w:vMerge w:val="restar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r>
                    <w:rPr>
                      <w:rFonts w:hint="default" w:ascii="Times New Roman" w:hAnsi="Times New Roman" w:cs="Times New Roman"/>
                      <w:color w:val="000000" w:themeColor="text1"/>
                      <w:sz w:val="18"/>
                      <w:szCs w:val="18"/>
                      <w:highlight w:val="none"/>
                      <w:lang w:eastAsia="en-US"/>
                      <w14:textFill>
                        <w14:solidFill>
                          <w14:schemeClr w14:val="tx1"/>
                        </w14:solidFill>
                      </w14:textFill>
                    </w:rPr>
                    <w:t>治理措施</w:t>
                  </w:r>
                </w:p>
              </w:tc>
              <w:tc>
                <w:tcPr>
                  <w:tcW w:w="1031" w:type="pct"/>
                  <w:gridSpan w:val="2"/>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排放量</w:t>
                  </w:r>
                </w:p>
              </w:tc>
              <w:tc>
                <w:tcPr>
                  <w:tcW w:w="290" w:type="pct"/>
                  <w:vMerge w:val="restart"/>
                  <w:noWrap w:val="0"/>
                  <w:vAlign w:val="center"/>
                </w:tcPr>
                <w:p>
                  <w:pPr>
                    <w:pStyle w:val="65"/>
                    <w:keepNext w:val="0"/>
                    <w:keepLines w:val="0"/>
                    <w:pageBreakBefore w:val="0"/>
                    <w:shd w:val="clear" w:color="auto" w:fill="auto"/>
                    <w:kinsoku/>
                    <w:wordWrap/>
                    <w:overflowPunct/>
                    <w:topLinePunct w:val="0"/>
                    <w:autoSpaceDE/>
                    <w:autoSpaceDN/>
                    <w:bidi w:val="0"/>
                    <w:adjustRightInd/>
                    <w:snapToGrid/>
                    <w:spacing w:after="0"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14:textFill>
                        <w14:solidFill>
                          <w14:schemeClr w14:val="tx1"/>
                        </w14:solidFill>
                      </w14:textFill>
                    </w:rPr>
                    <w:t>排放时间/h</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42" w:type="pct"/>
                  <w:vMerge w:val="continue"/>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p>
              </w:tc>
              <w:tc>
                <w:tcPr>
                  <w:tcW w:w="465" w:type="pct"/>
                  <w:vMerge w:val="continue"/>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p>
              </w:tc>
              <w:tc>
                <w:tcPr>
                  <w:tcW w:w="328" w:type="pct"/>
                  <w:vMerge w:val="continue"/>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p>
              </w:tc>
              <w:tc>
                <w:tcPr>
                  <w:tcW w:w="492"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r>
                    <w:rPr>
                      <w:rFonts w:hint="default" w:ascii="Times New Roman" w:hAnsi="Times New Roman" w:cs="Times New Roman"/>
                      <w:color w:val="000000" w:themeColor="text1"/>
                      <w:sz w:val="18"/>
                      <w:szCs w:val="18"/>
                      <w:highlight w:val="none"/>
                      <w:lang w:eastAsia="en-US"/>
                      <w14:textFill>
                        <w14:solidFill>
                          <w14:schemeClr w14:val="tx1"/>
                        </w14:solidFill>
                      </w14:textFill>
                    </w:rPr>
                    <w:t>排放速率 kg/h</w:t>
                  </w:r>
                </w:p>
              </w:tc>
              <w:tc>
                <w:tcPr>
                  <w:tcW w:w="492"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r>
                    <w:rPr>
                      <w:rFonts w:hint="default" w:ascii="Times New Roman" w:hAnsi="Times New Roman" w:cs="Times New Roman"/>
                      <w:color w:val="000000" w:themeColor="text1"/>
                      <w:sz w:val="18"/>
                      <w:szCs w:val="18"/>
                      <w:highlight w:val="none"/>
                      <w:lang w:eastAsia="en-US"/>
                      <w14:textFill>
                        <w14:solidFill>
                          <w14:schemeClr w14:val="tx1"/>
                        </w14:solidFill>
                      </w14:textFill>
                    </w:rPr>
                    <w:t>年排放量 t/a</w:t>
                  </w:r>
                </w:p>
              </w:tc>
              <w:tc>
                <w:tcPr>
                  <w:tcW w:w="1457" w:type="pct"/>
                  <w:vMerge w:val="continue"/>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p>
              </w:tc>
              <w:tc>
                <w:tcPr>
                  <w:tcW w:w="515"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r>
                    <w:rPr>
                      <w:rFonts w:hint="default" w:ascii="Times New Roman" w:hAnsi="Times New Roman" w:cs="Times New Roman"/>
                      <w:color w:val="000000" w:themeColor="text1"/>
                      <w:sz w:val="18"/>
                      <w:szCs w:val="18"/>
                      <w:highlight w:val="none"/>
                      <w:lang w:eastAsia="en-US"/>
                      <w14:textFill>
                        <w14:solidFill>
                          <w14:schemeClr w14:val="tx1"/>
                        </w14:solidFill>
                      </w14:textFill>
                    </w:rPr>
                    <w:t>排放速率kg/h</w:t>
                  </w:r>
                </w:p>
              </w:tc>
              <w:tc>
                <w:tcPr>
                  <w:tcW w:w="516"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r>
                    <w:rPr>
                      <w:rFonts w:hint="default" w:ascii="Times New Roman" w:hAnsi="Times New Roman" w:cs="Times New Roman"/>
                      <w:color w:val="000000" w:themeColor="text1"/>
                      <w:sz w:val="18"/>
                      <w:szCs w:val="18"/>
                      <w:highlight w:val="none"/>
                      <w:lang w:eastAsia="en-US"/>
                      <w14:textFill>
                        <w14:solidFill>
                          <w14:schemeClr w14:val="tx1"/>
                        </w14:solidFill>
                      </w14:textFill>
                    </w:rPr>
                    <w:t>年排放量 t/a</w:t>
                  </w:r>
                </w:p>
              </w:tc>
              <w:tc>
                <w:tcPr>
                  <w:tcW w:w="290" w:type="pct"/>
                  <w:vMerge w:val="continue"/>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42"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1#生产车间</w:t>
                  </w:r>
                </w:p>
              </w:tc>
              <w:tc>
                <w:tcPr>
                  <w:tcW w:w="465"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切割下料工序</w:t>
                  </w:r>
                </w:p>
              </w:tc>
              <w:tc>
                <w:tcPr>
                  <w:tcW w:w="328" w:type="pc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颗粒物</w:t>
                  </w:r>
                </w:p>
              </w:tc>
              <w:tc>
                <w:tcPr>
                  <w:tcW w:w="1303"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0.728</w:t>
                  </w:r>
                </w:p>
              </w:tc>
              <w:tc>
                <w:tcPr>
                  <w:tcW w:w="492"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0.8736</w:t>
                  </w:r>
                </w:p>
              </w:tc>
              <w:tc>
                <w:tcPr>
                  <w:tcW w:w="1457" w:type="pct"/>
                  <w:vMerge w:val="restar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加强密闭，提高收集效率，</w:t>
                  </w:r>
                  <w:r>
                    <w:rPr>
                      <w:rFonts w:hint="default" w:ascii="Times New Roman" w:hAnsi="Times New Roman" w:cs="Times New Roman"/>
                      <w:color w:val="000000" w:themeColor="text1"/>
                      <w:sz w:val="18"/>
                      <w:szCs w:val="18"/>
                      <w:highlight w:val="none"/>
                      <w:lang w:eastAsia="zh-CN"/>
                      <w14:textFill>
                        <w14:solidFill>
                          <w14:schemeClr w14:val="tx1"/>
                        </w14:solidFill>
                      </w14:textFill>
                    </w:rPr>
                    <w:t>原料区和投料处</w:t>
                  </w:r>
                  <w:r>
                    <w:rPr>
                      <w:rFonts w:hint="default" w:ascii="Times New Roman" w:hAnsi="Times New Roman" w:cs="Times New Roman"/>
                      <w:color w:val="000000" w:themeColor="text1"/>
                      <w:sz w:val="18"/>
                      <w:szCs w:val="18"/>
                      <w:highlight w:val="none"/>
                      <w14:textFill>
                        <w14:solidFill>
                          <w14:schemeClr w14:val="tx1"/>
                        </w14:solidFill>
                      </w14:textFill>
                    </w:rPr>
                    <w:t>设置</w:t>
                  </w:r>
                  <w:r>
                    <w:rPr>
                      <w:rFonts w:hint="default" w:ascii="Times New Roman" w:hAnsi="Times New Roman" w:cs="Times New Roman"/>
                      <w:color w:val="000000" w:themeColor="text1"/>
                      <w:sz w:val="18"/>
                      <w:szCs w:val="18"/>
                      <w:highlight w:val="none"/>
                      <w:lang w:eastAsia="zh-CN"/>
                      <w14:textFill>
                        <w14:solidFill>
                          <w14:schemeClr w14:val="tx1"/>
                        </w14:solidFill>
                      </w14:textFill>
                    </w:rPr>
                    <w:t>喷干雾抑尘装置</w:t>
                  </w:r>
                  <w:r>
                    <w:rPr>
                      <w:rFonts w:hint="default" w:ascii="Times New Roman" w:hAnsi="Times New Roman" w:cs="Times New Roman"/>
                      <w:color w:val="000000" w:themeColor="text1"/>
                      <w:sz w:val="18"/>
                      <w:szCs w:val="18"/>
                      <w:highlight w:val="none"/>
                      <w14:textFill>
                        <w14:solidFill>
                          <w14:schemeClr w14:val="tx1"/>
                        </w14:solidFill>
                      </w14:textFill>
                    </w:rPr>
                    <w:t>，车辆出入口加装自动感应门，无车辆出入时保持关闭状态；厂区道路硬化，经常洒水，路面经常清扫</w:t>
                  </w:r>
                </w:p>
              </w:tc>
              <w:tc>
                <w:tcPr>
                  <w:tcW w:w="1363"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0.036</w:t>
                  </w:r>
                </w:p>
              </w:tc>
              <w:tc>
                <w:tcPr>
                  <w:tcW w:w="516"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0.0437</w:t>
                  </w:r>
                </w:p>
              </w:tc>
              <w:tc>
                <w:tcPr>
                  <w:tcW w:w="290"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1200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42"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2#、3#</w:t>
                  </w:r>
                </w:p>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生产车间</w:t>
                  </w:r>
                </w:p>
              </w:tc>
              <w:tc>
                <w:tcPr>
                  <w:tcW w:w="465"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焊接、打磨工序</w:t>
                  </w:r>
                </w:p>
              </w:tc>
              <w:tc>
                <w:tcPr>
                  <w:tcW w:w="328" w:type="pc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颗粒物</w:t>
                  </w:r>
                </w:p>
              </w:tc>
              <w:tc>
                <w:tcPr>
                  <w:tcW w:w="1303"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0.956</w:t>
                  </w:r>
                </w:p>
              </w:tc>
              <w:tc>
                <w:tcPr>
                  <w:tcW w:w="492"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1.147</w:t>
                  </w:r>
                </w:p>
              </w:tc>
              <w:tc>
                <w:tcPr>
                  <w:tcW w:w="1457" w:type="pct"/>
                  <w:vMerge w:val="continue"/>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363"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0.048</w:t>
                  </w:r>
                </w:p>
              </w:tc>
              <w:tc>
                <w:tcPr>
                  <w:tcW w:w="516"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0.0574</w:t>
                  </w:r>
                </w:p>
              </w:tc>
              <w:tc>
                <w:tcPr>
                  <w:tcW w:w="290"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1200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42" w:type="pct"/>
                  <w:vMerge w:val="restar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4#酸洗车间</w:t>
                  </w:r>
                </w:p>
              </w:tc>
              <w:tc>
                <w:tcPr>
                  <w:tcW w:w="465" w:type="pct"/>
                  <w:vMerge w:val="restar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酸洗工序</w:t>
                  </w:r>
                </w:p>
              </w:tc>
              <w:tc>
                <w:tcPr>
                  <w:tcW w:w="328"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氢氟酸雾</w:t>
                  </w:r>
                </w:p>
              </w:tc>
              <w:tc>
                <w:tcPr>
                  <w:tcW w:w="1303"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0.002</w:t>
                  </w:r>
                </w:p>
              </w:tc>
              <w:tc>
                <w:tcPr>
                  <w:tcW w:w="492"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0.0045</w:t>
                  </w:r>
                </w:p>
              </w:tc>
              <w:tc>
                <w:tcPr>
                  <w:tcW w:w="1457" w:type="pct"/>
                  <w:vMerge w:val="restar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加强密闭，提高收集效率</w:t>
                  </w:r>
                </w:p>
              </w:tc>
              <w:tc>
                <w:tcPr>
                  <w:tcW w:w="1363"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0.0002</w:t>
                  </w:r>
                </w:p>
              </w:tc>
              <w:tc>
                <w:tcPr>
                  <w:tcW w:w="1366"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0.0005</w:t>
                  </w:r>
                </w:p>
              </w:tc>
              <w:tc>
                <w:tcPr>
                  <w:tcW w:w="290"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Style w:val="66"/>
                      <w:rFonts w:hint="default" w:ascii="Times New Roman" w:hAnsi="Times New Roman" w:cs="Times New Roman"/>
                      <w:color w:val="000000" w:themeColor="text1"/>
                      <w:spacing w:val="0"/>
                      <w:sz w:val="18"/>
                      <w:szCs w:val="18"/>
                      <w:highlight w:val="none"/>
                      <w:lang w:val="en-US" w:eastAsia="zh-CN"/>
                      <w14:textFill>
                        <w14:solidFill>
                          <w14:schemeClr w14:val="tx1"/>
                        </w14:solidFill>
                      </w14:textFill>
                    </w:rPr>
                  </w:pPr>
                  <w:r>
                    <w:rPr>
                      <w:rStyle w:val="66"/>
                      <w:rFonts w:hint="default" w:ascii="Times New Roman" w:hAnsi="Times New Roman" w:cs="Times New Roman"/>
                      <w:color w:val="000000" w:themeColor="text1"/>
                      <w:spacing w:val="0"/>
                      <w:sz w:val="18"/>
                      <w:szCs w:val="18"/>
                      <w:highlight w:val="none"/>
                      <w:lang w:val="en-US" w:eastAsia="zh-CN"/>
                      <w14:textFill>
                        <w14:solidFill>
                          <w14:schemeClr w14:val="tx1"/>
                        </w14:solidFill>
                      </w14:textFill>
                    </w:rPr>
                    <w:t>2400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42" w:type="pct"/>
                  <w:vMerge w:val="continue"/>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cyan"/>
                      <w:lang w:val="en-US" w:eastAsia="zh-CN"/>
                      <w14:textFill>
                        <w14:solidFill>
                          <w14:schemeClr w14:val="tx1"/>
                        </w14:solidFill>
                      </w14:textFill>
                    </w:rPr>
                  </w:pPr>
                </w:p>
              </w:tc>
              <w:tc>
                <w:tcPr>
                  <w:tcW w:w="465" w:type="pct"/>
                  <w:vMerge w:val="continue"/>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p>
              </w:tc>
              <w:tc>
                <w:tcPr>
                  <w:tcW w:w="328"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硝酸雾（NOx计）</w:t>
                  </w:r>
                </w:p>
              </w:tc>
              <w:tc>
                <w:tcPr>
                  <w:tcW w:w="1303"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 xml:space="preserve">0.016 </w:t>
                  </w:r>
                </w:p>
              </w:tc>
              <w:tc>
                <w:tcPr>
                  <w:tcW w:w="492"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0.0378</w:t>
                  </w:r>
                </w:p>
              </w:tc>
              <w:tc>
                <w:tcPr>
                  <w:tcW w:w="1457" w:type="pct"/>
                  <w:vMerge w:val="continue"/>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cyan"/>
                      <w:lang w:val="en-US" w:eastAsia="zh-CN"/>
                      <w14:textFill>
                        <w14:solidFill>
                          <w14:schemeClr w14:val="tx1"/>
                        </w14:solidFill>
                      </w14:textFill>
                    </w:rPr>
                  </w:pPr>
                </w:p>
              </w:tc>
              <w:tc>
                <w:tcPr>
                  <w:tcW w:w="1363"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 xml:space="preserve">0.002 </w:t>
                  </w:r>
                </w:p>
              </w:tc>
              <w:tc>
                <w:tcPr>
                  <w:tcW w:w="1366"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0.0038</w:t>
                  </w:r>
                </w:p>
              </w:tc>
              <w:tc>
                <w:tcPr>
                  <w:tcW w:w="290"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Style w:val="66"/>
                      <w:rFonts w:hint="default" w:ascii="Times New Roman" w:hAnsi="Times New Roman" w:cs="Times New Roman"/>
                      <w:color w:val="000000" w:themeColor="text1"/>
                      <w:spacing w:val="0"/>
                      <w:sz w:val="18"/>
                      <w:szCs w:val="18"/>
                      <w:highlight w:val="cyan"/>
                      <w:lang w:val="en-US" w:eastAsia="zh-CN"/>
                      <w14:textFill>
                        <w14:solidFill>
                          <w14:schemeClr w14:val="tx1"/>
                        </w14:solidFill>
                      </w14:textFill>
                    </w:rPr>
                  </w:pPr>
                </w:p>
              </w:tc>
            </w:tr>
          </w:tbl>
          <w:p>
            <w:pPr>
              <w:pStyle w:val="20"/>
              <w:ind w:left="0" w:leftChars="0" w:firstLine="0" w:firstLineChars="0"/>
              <w:rPr>
                <w:rFonts w:hint="default" w:ascii="Times New Roman" w:hAnsi="Times New Roman" w:eastAsia="宋体" w:cs="Times New Roman"/>
                <w:color w:val="000000" w:themeColor="text1"/>
                <w:highlight w:val="cyan"/>
                <w:vertAlign w:val="baseline"/>
                <w:lang w:eastAsia="zh-CN"/>
                <w14:textFill>
                  <w14:solidFill>
                    <w14:schemeClr w14:val="tx1"/>
                  </w14:solidFill>
                </w14:textFill>
              </w:rPr>
            </w:pPr>
          </w:p>
        </w:tc>
      </w:tr>
    </w:tbl>
    <w:p>
      <w:pPr>
        <w:pStyle w:val="20"/>
        <w:rPr>
          <w:rFonts w:hint="default" w:ascii="Times New Roman" w:hAnsi="Times New Roman" w:cs="Times New Roman"/>
          <w:color w:val="000000" w:themeColor="text1"/>
          <w14:textFill>
            <w14:solidFill>
              <w14:schemeClr w14:val="tx1"/>
            </w14:solidFill>
          </w14:textFill>
        </w:rPr>
        <w:sectPr>
          <w:pgSz w:w="16840" w:h="11907" w:orient="landscape"/>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6" w:hRule="atLeast"/>
          <w:jc w:val="center"/>
        </w:trPr>
        <w:tc>
          <w:tcPr>
            <w:tcW w:w="5000" w:type="pct"/>
            <w:vAlign w:val="top"/>
          </w:tcPr>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360" w:lineRule="auto"/>
              <w:ind w:leftChars="0" w:firstLine="422" w:firstLineChars="200"/>
              <w:jc w:val="both"/>
              <w:textAlignment w:val="auto"/>
              <w:rPr>
                <w:rFonts w:hint="default" w:ascii="Times New Roman" w:hAnsi="Times New Roman" w:cs="Times New Roman"/>
                <w:b/>
                <w:bCs/>
                <w:color w:val="000000" w:themeColor="text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fldChar w:fldCharType="begin"/>
            </w:r>
            <w:r>
              <w:rPr>
                <w:rFonts w:hint="default" w:ascii="Times New Roman" w:hAnsi="Times New Roman" w:cs="Times New Roman"/>
                <w:b/>
                <w:bCs/>
                <w:color w:val="000000" w:themeColor="text1"/>
                <w:highlight w:val="none"/>
                <w:lang w:val="en-US" w:eastAsia="zh-CN"/>
                <w14:textFill>
                  <w14:solidFill>
                    <w14:schemeClr w14:val="tx1"/>
                  </w14:solidFill>
                </w14:textFill>
              </w:rPr>
              <w:instrText xml:space="preserve"> = 2 \* GB3 \* MERGEFORMAT </w:instrText>
            </w:r>
            <w:r>
              <w:rPr>
                <w:rFonts w:hint="default" w:ascii="Times New Roman" w:hAnsi="Times New Roman" w:cs="Times New Roman"/>
                <w:b/>
                <w:bCs/>
                <w:color w:val="000000" w:themeColor="text1"/>
                <w:highlight w:val="none"/>
                <w:lang w:val="en-US" w:eastAsia="zh-CN"/>
                <w14:textFill>
                  <w14:solidFill>
                    <w14:schemeClr w14:val="tx1"/>
                  </w14:solidFill>
                </w14:textFill>
              </w:rPr>
              <w:fldChar w:fldCharType="separate"/>
            </w:r>
            <w:r>
              <w:rPr>
                <w:rFonts w:hint="default" w:ascii="Times New Roman" w:hAnsi="Times New Roman" w:cs="Times New Roman"/>
                <w:b/>
                <w:bCs/>
                <w:color w:val="000000" w:themeColor="text1"/>
                <w14:textFill>
                  <w14:solidFill>
                    <w14:schemeClr w14:val="tx1"/>
                  </w14:solidFill>
                </w14:textFill>
              </w:rPr>
              <w:t>②</w:t>
            </w:r>
            <w:r>
              <w:rPr>
                <w:rFonts w:hint="default" w:ascii="Times New Roman" w:hAnsi="Times New Roman" w:cs="Times New Roman"/>
                <w:b/>
                <w:bCs/>
                <w:color w:val="000000" w:themeColor="text1"/>
                <w:highlight w:val="none"/>
                <w:lang w:val="en-US" w:eastAsia="zh-CN"/>
                <w14:textFill>
                  <w14:solidFill>
                    <w14:schemeClr w14:val="tx1"/>
                  </w14:solidFill>
                </w14:textFill>
              </w:rPr>
              <w:fldChar w:fldCharType="end"/>
            </w:r>
            <w:r>
              <w:rPr>
                <w:rFonts w:hint="default" w:ascii="Times New Roman" w:hAnsi="Times New Roman" w:cs="Times New Roman"/>
                <w:b/>
                <w:bCs/>
                <w:color w:val="000000" w:themeColor="text1"/>
                <w:highlight w:val="none"/>
                <w:lang w:val="en-US" w:eastAsia="zh-CN"/>
                <w14:textFill>
                  <w14:solidFill>
                    <w14:schemeClr w14:val="tx1"/>
                  </w14:solidFill>
                </w14:textFill>
              </w:rPr>
              <w:t>本次扩建后全厂废气产生及排放情况汇总如下：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有组织废气产排放及治理设施情况汇总一览表（全厂）</w:t>
            </w:r>
          </w:p>
          <w:tbl>
            <w:tblPr>
              <w:tblStyle w:val="21"/>
              <w:tblW w:w="4995" w:type="pct"/>
              <w:jc w:val="center"/>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1127"/>
              <w:gridCol w:w="1045"/>
              <w:gridCol w:w="847"/>
              <w:gridCol w:w="879"/>
              <w:gridCol w:w="956"/>
              <w:gridCol w:w="958"/>
              <w:gridCol w:w="3055"/>
              <w:gridCol w:w="794"/>
              <w:gridCol w:w="940"/>
              <w:gridCol w:w="948"/>
              <w:gridCol w:w="876"/>
              <w:gridCol w:w="802"/>
            </w:tblGrid>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426" w:type="pct"/>
                  <w:vMerge w:val="restart"/>
                  <w:tcBorders>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排放源</w:t>
                  </w:r>
                </w:p>
              </w:tc>
              <w:tc>
                <w:tcPr>
                  <w:tcW w:w="395" w:type="pct"/>
                  <w:vMerge w:val="restart"/>
                  <w:tcBorders>
                    <w:lef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产污环节</w:t>
                  </w:r>
                </w:p>
              </w:tc>
              <w:tc>
                <w:tcPr>
                  <w:tcW w:w="320" w:type="pct"/>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污染物</w:t>
                  </w: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种类</w:t>
                  </w:r>
                </w:p>
              </w:tc>
              <w:tc>
                <w:tcPr>
                  <w:tcW w:w="332" w:type="pct"/>
                  <w:vMerge w:val="restart"/>
                  <w:tcBorders>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废气量</w:t>
                  </w:r>
                  <w:r>
                    <w:rPr>
                      <w:rFonts w:hint="default" w:ascii="Times New Roman" w:hAnsi="Times New Roman" w:cs="Times New Roman"/>
                      <w:color w:val="000000" w:themeColor="text1"/>
                      <w:kern w:val="0"/>
                      <w:sz w:val="18"/>
                      <w:szCs w:val="18"/>
                      <w:highlight w:val="none"/>
                      <w14:textFill>
                        <w14:solidFill>
                          <w14:schemeClr w14:val="tx1"/>
                        </w14:solidFill>
                      </w14:textFill>
                    </w:rPr>
                    <w:t>m</w:t>
                  </w:r>
                  <w:r>
                    <w:rPr>
                      <w:rFonts w:hint="default" w:ascii="Times New Roman" w:hAnsi="Times New Roman" w:cs="Times New Roman"/>
                      <w:color w:val="000000" w:themeColor="text1"/>
                      <w:kern w:val="0"/>
                      <w:sz w:val="18"/>
                      <w:szCs w:val="18"/>
                      <w:highlight w:val="none"/>
                      <w:vertAlign w:val="superscript"/>
                      <w14:textFill>
                        <w14:solidFill>
                          <w14:schemeClr w14:val="tx1"/>
                        </w14:solidFill>
                      </w14:textFill>
                    </w:rPr>
                    <w:t>3</w:t>
                  </w:r>
                  <w:r>
                    <w:rPr>
                      <w:rFonts w:hint="default" w:ascii="Times New Roman" w:hAnsi="Times New Roman" w:cs="Times New Roman"/>
                      <w:color w:val="000000" w:themeColor="text1"/>
                      <w:kern w:val="0"/>
                      <w:sz w:val="18"/>
                      <w:szCs w:val="18"/>
                      <w:highlight w:val="none"/>
                      <w14:textFill>
                        <w14:solidFill>
                          <w14:schemeClr w14:val="tx1"/>
                        </w14:solidFill>
                      </w14:textFill>
                    </w:rPr>
                    <w:t>/h</w:t>
                  </w:r>
                </w:p>
              </w:tc>
              <w:tc>
                <w:tcPr>
                  <w:tcW w:w="723" w:type="pct"/>
                  <w:gridSpan w:val="2"/>
                  <w:tcBorders>
                    <w:left w:val="single" w:color="auto" w:sz="4" w:space="0"/>
                    <w:bottom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污染物产生</w:t>
                  </w: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情况</w:t>
                  </w:r>
                </w:p>
              </w:tc>
              <w:tc>
                <w:tcPr>
                  <w:tcW w:w="1454" w:type="pct"/>
                  <w:gridSpan w:val="2"/>
                  <w:tcBorders>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治理措施</w:t>
                  </w:r>
                </w:p>
              </w:tc>
              <w:tc>
                <w:tcPr>
                  <w:tcW w:w="1044" w:type="pct"/>
                  <w:gridSpan w:val="3"/>
                  <w:tcBorders>
                    <w:lef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污染物排放</w:t>
                  </w: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情况</w:t>
                  </w:r>
                </w:p>
              </w:tc>
              <w:tc>
                <w:tcPr>
                  <w:tcW w:w="303" w:type="pct"/>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排放时间h</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426" w:type="pct"/>
                  <w:vMerge w:val="continue"/>
                  <w:tcBorders>
                    <w:right w:val="single" w:color="auto" w:sz="4" w:space="0"/>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395" w:type="pct"/>
                  <w:vMerge w:val="continue"/>
                  <w:tcBorders>
                    <w:left w:val="single" w:color="auto" w:sz="4" w:space="0"/>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320" w:type="pct"/>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332" w:type="pct"/>
                  <w:vMerge w:val="continue"/>
                  <w:tcBorders>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361" w:type="pct"/>
                  <w:tcBorders>
                    <w:lef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产生浓度mg/m</w:t>
                  </w:r>
                  <w:r>
                    <w:rPr>
                      <w:rFonts w:hint="default" w:ascii="Times New Roman" w:hAnsi="Times New Roman" w:cs="Times New Roman"/>
                      <w:color w:val="000000" w:themeColor="text1"/>
                      <w:kern w:val="0"/>
                      <w:sz w:val="18"/>
                      <w:szCs w:val="18"/>
                      <w:highlight w:val="none"/>
                      <w:vertAlign w:val="superscript"/>
                      <w14:textFill>
                        <w14:solidFill>
                          <w14:schemeClr w14:val="tx1"/>
                        </w14:solidFill>
                      </w14:textFill>
                    </w:rPr>
                    <w:t>3</w:t>
                  </w:r>
                </w:p>
              </w:tc>
              <w:tc>
                <w:tcPr>
                  <w:tcW w:w="362"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产生量</w:t>
                  </w:r>
                </w:p>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t/a</w:t>
                  </w:r>
                </w:p>
              </w:tc>
              <w:tc>
                <w:tcPr>
                  <w:tcW w:w="1154" w:type="pct"/>
                  <w:tcBorders>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治理</w:t>
                  </w:r>
                  <w:r>
                    <w:rPr>
                      <w:rFonts w:hint="default" w:ascii="Times New Roman" w:hAnsi="Times New Roman" w:cs="Times New Roman"/>
                      <w:color w:val="000000" w:themeColor="text1"/>
                      <w:kern w:val="0"/>
                      <w:sz w:val="18"/>
                      <w:szCs w:val="18"/>
                      <w:highlight w:val="none"/>
                      <w14:textFill>
                        <w14:solidFill>
                          <w14:schemeClr w14:val="tx1"/>
                        </w14:solidFill>
                      </w14:textFill>
                    </w:rPr>
                    <w:t>工艺</w:t>
                  </w:r>
                </w:p>
              </w:tc>
              <w:tc>
                <w:tcPr>
                  <w:tcW w:w="300" w:type="pct"/>
                  <w:tcBorders>
                    <w:left w:val="single" w:color="auto" w:sz="4" w:space="0"/>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治理效率%</w:t>
                  </w:r>
                </w:p>
              </w:tc>
              <w:tc>
                <w:tcPr>
                  <w:tcW w:w="355" w:type="pct"/>
                  <w:tcBorders>
                    <w:lef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排放浓度mg/m</w:t>
                  </w:r>
                  <w:r>
                    <w:rPr>
                      <w:rFonts w:hint="default" w:ascii="Times New Roman" w:hAnsi="Times New Roman" w:cs="Times New Roman"/>
                      <w:color w:val="000000" w:themeColor="text1"/>
                      <w:kern w:val="0"/>
                      <w:sz w:val="18"/>
                      <w:szCs w:val="18"/>
                      <w:highlight w:val="none"/>
                      <w:vertAlign w:val="superscript"/>
                      <w14:textFill>
                        <w14:solidFill>
                          <w14:schemeClr w14:val="tx1"/>
                        </w14:solidFill>
                      </w14:textFill>
                    </w:rPr>
                    <w:t>3</w:t>
                  </w:r>
                </w:p>
              </w:tc>
              <w:tc>
                <w:tcPr>
                  <w:tcW w:w="358"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排放速率</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kg/h</w:t>
                  </w:r>
                </w:p>
              </w:tc>
              <w:tc>
                <w:tcPr>
                  <w:tcW w:w="331"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排放量</w:t>
                  </w:r>
                </w:p>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t/a</w:t>
                  </w:r>
                </w:p>
              </w:tc>
              <w:tc>
                <w:tcPr>
                  <w:tcW w:w="303"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426" w:type="pct"/>
                  <w:vMerge w:val="restart"/>
                  <w:tcBorders>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1#生产车间</w:t>
                  </w:r>
                </w:p>
              </w:tc>
              <w:tc>
                <w:tcPr>
                  <w:tcW w:w="395" w:type="pct"/>
                  <w:vMerge w:val="restart"/>
                  <w:tcBorders>
                    <w:lef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加热炉燃气工序</w:t>
                  </w:r>
                </w:p>
              </w:tc>
              <w:tc>
                <w:tcPr>
                  <w:tcW w:w="32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颗粒物</w:t>
                  </w:r>
                </w:p>
              </w:tc>
              <w:tc>
                <w:tcPr>
                  <w:tcW w:w="332" w:type="pct"/>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20620</w:t>
                  </w:r>
                </w:p>
              </w:tc>
              <w:tc>
                <w:tcPr>
                  <w:tcW w:w="361" w:type="pct"/>
                  <w:tcBorders>
                    <w:tl2br w:val="nil"/>
                    <w:tr2bl w:val="nil"/>
                  </w:tcBorders>
                  <w:shd w:val="clear" w:color="auto" w:fill="auto"/>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4.64</w:t>
                  </w:r>
                </w:p>
              </w:tc>
              <w:tc>
                <w:tcPr>
                  <w:tcW w:w="95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0.23</w:t>
                  </w:r>
                </w:p>
              </w:tc>
              <w:tc>
                <w:tcPr>
                  <w:tcW w:w="1154" w:type="pct"/>
                  <w:vMerge w:val="restart"/>
                  <w:tcBorders>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选择性催化还原（SCR）</w:t>
                  </w: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脱硝</w:t>
                  </w: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装置</w:t>
                  </w: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（TA001）</w:t>
                  </w: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+15m高排气筒（DA00</w:t>
                  </w: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w:t>
                  </w:r>
                </w:p>
              </w:tc>
              <w:tc>
                <w:tcPr>
                  <w:tcW w:w="300" w:type="pct"/>
                  <w:tcBorders>
                    <w:top w:val="single" w:color="auto" w:sz="4" w:space="0"/>
                    <w:left w:val="single" w:color="auto" w:sz="4" w:space="0"/>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w:t>
                  </w:r>
                </w:p>
              </w:tc>
              <w:tc>
                <w:tcPr>
                  <w:tcW w:w="940" w:type="dxa"/>
                  <w:tcBorders>
                    <w:top w:val="single" w:color="auto" w:sz="4" w:space="0"/>
                    <w:left w:val="single" w:color="auto" w:sz="4" w:space="0"/>
                    <w:tl2br w:val="nil"/>
                    <w:tr2bl w:val="nil"/>
                  </w:tcBorders>
                  <w:shd w:val="clear" w:color="auto" w:fill="auto"/>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4.64</w:t>
                  </w:r>
                </w:p>
              </w:tc>
              <w:tc>
                <w:tcPr>
                  <w:tcW w:w="358" w:type="pct"/>
                  <w:tcBorders>
                    <w:top w:val="single" w:color="auto" w:sz="4" w:space="0"/>
                    <w:tl2br w:val="nil"/>
                    <w:tr2bl w:val="nil"/>
                  </w:tcBorders>
                  <w:shd w:val="clear" w:color="auto" w:fill="auto"/>
                  <w:vAlign w:val="center"/>
                </w:tcPr>
                <w:p>
                  <w:pPr>
                    <w:keepNext w:val="0"/>
                    <w:keepLines w:val="0"/>
                    <w:pageBreakBefore w:val="0"/>
                    <w:widowControl/>
                    <w:suppressLineNumbers w:val="0"/>
                    <w:bidi w:val="0"/>
                    <w:adjustRightInd/>
                    <w:snapToGrid/>
                    <w:spacing w:line="320" w:lineRule="exact"/>
                    <w:ind w:firstLine="0" w:firstLineChars="0"/>
                    <w:jc w:val="center"/>
                    <w:textAlignment w:val="center"/>
                    <w:rPr>
                      <w:rFonts w:hint="default" w:ascii="Times New Roman" w:hAnsi="Times New Roman" w:cs="Times New Roman"/>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bidi="ar-SA"/>
                      <w14:textFill>
                        <w14:solidFill>
                          <w14:schemeClr w14:val="tx1"/>
                        </w14:solidFill>
                      </w14:textFill>
                    </w:rPr>
                    <w:t>0.096</w:t>
                  </w:r>
                </w:p>
              </w:tc>
              <w:tc>
                <w:tcPr>
                  <w:tcW w:w="876" w:type="dxa"/>
                  <w:tcBorders>
                    <w:top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0.23</w:t>
                  </w:r>
                </w:p>
              </w:tc>
              <w:tc>
                <w:tcPr>
                  <w:tcW w:w="303" w:type="pct"/>
                  <w:vMerge w:val="restart"/>
                  <w:tcBorders>
                    <w:top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2400</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426" w:type="pct"/>
                  <w:vMerge w:val="continue"/>
                  <w:tcBorders>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p>
              </w:tc>
              <w:tc>
                <w:tcPr>
                  <w:tcW w:w="395" w:type="pct"/>
                  <w:vMerge w:val="continue"/>
                  <w:tcBorders>
                    <w:lef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p>
              </w:tc>
              <w:tc>
                <w:tcPr>
                  <w:tcW w:w="320"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SO</w:t>
                  </w:r>
                  <w:r>
                    <w:rPr>
                      <w:rFonts w:hint="default" w:ascii="Times New Roman" w:hAnsi="Times New Roman" w:cs="Times New Roman"/>
                      <w:color w:val="000000" w:themeColor="text1"/>
                      <w:kern w:val="0"/>
                      <w:sz w:val="18"/>
                      <w:szCs w:val="18"/>
                      <w:highlight w:val="none"/>
                      <w:vertAlign w:val="subscript"/>
                      <w:lang w:val="en-US" w:eastAsia="zh-CN"/>
                      <w14:textFill>
                        <w14:solidFill>
                          <w14:schemeClr w14:val="tx1"/>
                        </w14:solidFill>
                      </w14:textFill>
                    </w:rPr>
                    <w:t>2</w:t>
                  </w:r>
                </w:p>
              </w:tc>
              <w:tc>
                <w:tcPr>
                  <w:tcW w:w="332"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361" w:type="pct"/>
                  <w:tcBorders>
                    <w:tl2br w:val="nil"/>
                    <w:tr2bl w:val="nil"/>
                  </w:tcBorders>
                  <w:shd w:val="clear" w:color="auto" w:fill="auto"/>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5.48</w:t>
                  </w:r>
                </w:p>
              </w:tc>
              <w:tc>
                <w:tcPr>
                  <w:tcW w:w="95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0.2714</w:t>
                  </w:r>
                </w:p>
              </w:tc>
              <w:tc>
                <w:tcPr>
                  <w:tcW w:w="1154" w:type="pct"/>
                  <w:vMerge w:val="continue"/>
                  <w:tcBorders>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p>
              </w:tc>
              <w:tc>
                <w:tcPr>
                  <w:tcW w:w="300" w:type="pct"/>
                  <w:tcBorders>
                    <w:top w:val="single" w:color="auto" w:sz="4" w:space="0"/>
                    <w:bottom w:val="single" w:color="auto" w:sz="4" w:space="0"/>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p>
              </w:tc>
              <w:tc>
                <w:tcPr>
                  <w:tcW w:w="940" w:type="dxa"/>
                  <w:tcBorders>
                    <w:top w:val="single" w:color="auto" w:sz="4" w:space="0"/>
                    <w:left w:val="single" w:color="auto" w:sz="4" w:space="0"/>
                    <w:bottom w:val="single" w:color="auto" w:sz="4" w:space="0"/>
                    <w:tl2br w:val="nil"/>
                    <w:tr2bl w:val="nil"/>
                  </w:tcBorders>
                  <w:shd w:val="clear" w:color="auto" w:fill="auto"/>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5.48</w:t>
                  </w:r>
                </w:p>
              </w:tc>
              <w:tc>
                <w:tcPr>
                  <w:tcW w:w="358" w:type="pct"/>
                  <w:tcBorders>
                    <w:top w:val="single" w:color="auto" w:sz="4" w:space="0"/>
                    <w:bottom w:val="single" w:color="auto" w:sz="4" w:space="0"/>
                    <w:tl2br w:val="nil"/>
                    <w:tr2bl w:val="nil"/>
                  </w:tcBorders>
                  <w:shd w:val="clear" w:color="auto" w:fill="auto"/>
                  <w:noWrap/>
                  <w:vAlign w:val="center"/>
                </w:tcPr>
                <w:p>
                  <w:pPr>
                    <w:keepNext w:val="0"/>
                    <w:keepLines w:val="0"/>
                    <w:pageBreakBefore w:val="0"/>
                    <w:widowControl/>
                    <w:suppressLineNumbers w:val="0"/>
                    <w:bidi w:val="0"/>
                    <w:adjustRightInd/>
                    <w:snapToGrid/>
                    <w:spacing w:line="320" w:lineRule="exact"/>
                    <w:ind w:firstLine="0" w:firstLineChars="0"/>
                    <w:jc w:val="center"/>
                    <w:textAlignment w:val="center"/>
                    <w:rPr>
                      <w:rFonts w:hint="default" w:ascii="Times New Roman" w:hAnsi="Times New Roman" w:cs="Times New Roman"/>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bidi="ar-SA"/>
                      <w14:textFill>
                        <w14:solidFill>
                          <w14:schemeClr w14:val="tx1"/>
                        </w14:solidFill>
                      </w14:textFill>
                    </w:rPr>
                    <w:t>0.113</w:t>
                  </w:r>
                </w:p>
              </w:tc>
              <w:tc>
                <w:tcPr>
                  <w:tcW w:w="876" w:type="dxa"/>
                  <w:tcBorders>
                    <w:top w:val="single" w:color="auto" w:sz="4" w:space="0"/>
                    <w:bottom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0.2714</w:t>
                  </w:r>
                </w:p>
              </w:tc>
              <w:tc>
                <w:tcPr>
                  <w:tcW w:w="303"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pP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426" w:type="pct"/>
                  <w:vMerge w:val="continue"/>
                  <w:tcBorders>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p>
              </w:tc>
              <w:tc>
                <w:tcPr>
                  <w:tcW w:w="395" w:type="pct"/>
                  <w:vMerge w:val="continue"/>
                  <w:tcBorders>
                    <w:lef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p>
              </w:tc>
              <w:tc>
                <w:tcPr>
                  <w:tcW w:w="320"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NO</w:t>
                  </w:r>
                  <w:r>
                    <w:rPr>
                      <w:rFonts w:hint="default" w:ascii="Times New Roman" w:hAnsi="Times New Roman" w:cs="Times New Roman"/>
                      <w:color w:val="000000" w:themeColor="text1"/>
                      <w:kern w:val="0"/>
                      <w:sz w:val="18"/>
                      <w:szCs w:val="18"/>
                      <w:highlight w:val="none"/>
                      <w:vertAlign w:val="subscript"/>
                      <w:lang w:val="en-US" w:eastAsia="zh-CN"/>
                      <w14:textFill>
                        <w14:solidFill>
                          <w14:schemeClr w14:val="tx1"/>
                        </w14:solidFill>
                      </w14:textFill>
                    </w:rPr>
                    <w:t>x</w:t>
                  </w:r>
                </w:p>
              </w:tc>
              <w:tc>
                <w:tcPr>
                  <w:tcW w:w="332"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361" w:type="pct"/>
                  <w:tcBorders>
                    <w:tl2br w:val="nil"/>
                    <w:tr2bl w:val="nil"/>
                  </w:tcBorders>
                  <w:shd w:val="clear" w:color="auto" w:fill="auto"/>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131.23</w:t>
                  </w:r>
                </w:p>
              </w:tc>
              <w:tc>
                <w:tcPr>
                  <w:tcW w:w="95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6.4944</w:t>
                  </w:r>
                </w:p>
              </w:tc>
              <w:tc>
                <w:tcPr>
                  <w:tcW w:w="1154" w:type="pct"/>
                  <w:vMerge w:val="continue"/>
                  <w:tcBorders>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p>
              </w:tc>
              <w:tc>
                <w:tcPr>
                  <w:tcW w:w="300" w:type="pct"/>
                  <w:tcBorders>
                    <w:top w:val="single" w:color="auto" w:sz="4" w:space="0"/>
                    <w:bottom w:val="single" w:color="auto" w:sz="4" w:space="0"/>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85</w:t>
                  </w:r>
                </w:p>
              </w:tc>
              <w:tc>
                <w:tcPr>
                  <w:tcW w:w="355" w:type="pct"/>
                  <w:tcBorders>
                    <w:top w:val="single" w:color="auto" w:sz="4" w:space="0"/>
                    <w:left w:val="single" w:color="auto" w:sz="4" w:space="0"/>
                    <w:bottom w:val="single" w:color="auto" w:sz="4" w:space="0"/>
                    <w:tl2br w:val="nil"/>
                    <w:tr2bl w:val="nil"/>
                  </w:tcBorders>
                  <w:shd w:val="clear" w:color="auto" w:fill="auto"/>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19.68</w:t>
                  </w:r>
                </w:p>
              </w:tc>
              <w:tc>
                <w:tcPr>
                  <w:tcW w:w="358" w:type="pct"/>
                  <w:tcBorders>
                    <w:top w:val="single" w:color="auto" w:sz="4" w:space="0"/>
                    <w:bottom w:val="single" w:color="auto" w:sz="4" w:space="0"/>
                    <w:tl2br w:val="nil"/>
                    <w:tr2bl w:val="nil"/>
                  </w:tcBorders>
                  <w:shd w:val="clear" w:color="auto" w:fill="auto"/>
                  <w:noWrap/>
                  <w:vAlign w:val="center"/>
                </w:tcPr>
                <w:p>
                  <w:pPr>
                    <w:keepNext w:val="0"/>
                    <w:keepLines w:val="0"/>
                    <w:pageBreakBefore w:val="0"/>
                    <w:widowControl/>
                    <w:suppressLineNumbers w:val="0"/>
                    <w:bidi w:val="0"/>
                    <w:adjustRightInd/>
                    <w:snapToGrid/>
                    <w:spacing w:line="320" w:lineRule="exact"/>
                    <w:ind w:firstLine="0" w:firstLineChars="0"/>
                    <w:jc w:val="center"/>
                    <w:textAlignment w:val="center"/>
                    <w:rPr>
                      <w:rFonts w:hint="default" w:ascii="Times New Roman" w:hAnsi="Times New Roman" w:cs="Times New Roman"/>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bidi="ar-SA"/>
                      <w14:textFill>
                        <w14:solidFill>
                          <w14:schemeClr w14:val="tx1"/>
                        </w14:solidFill>
                      </w14:textFill>
                    </w:rPr>
                    <w:t>0.406</w:t>
                  </w:r>
                </w:p>
              </w:tc>
              <w:tc>
                <w:tcPr>
                  <w:tcW w:w="331" w:type="pct"/>
                  <w:tcBorders>
                    <w:top w:val="single" w:color="auto" w:sz="4" w:space="0"/>
                    <w:bottom w:val="single" w:color="auto" w:sz="4" w:space="0"/>
                    <w:tl2br w:val="nil"/>
                    <w:tr2bl w:val="nil"/>
                  </w:tcBorders>
                  <w:shd w:val="clear" w:color="auto" w:fill="auto"/>
                  <w:vAlign w:val="center"/>
                </w:tcPr>
                <w:p>
                  <w:pPr>
                    <w:keepNext w:val="0"/>
                    <w:keepLines w:val="0"/>
                    <w:pageBreakBefore w:val="0"/>
                    <w:widowControl/>
                    <w:suppressLineNumbers w:val="0"/>
                    <w:bidi w:val="0"/>
                    <w:adjustRightInd/>
                    <w:snapToGrid/>
                    <w:spacing w:line="320" w:lineRule="exact"/>
                    <w:ind w:firstLine="0" w:firstLineChars="0"/>
                    <w:jc w:val="center"/>
                    <w:textAlignment w:val="center"/>
                    <w:rPr>
                      <w:rFonts w:hint="default" w:ascii="Times New Roman" w:hAnsi="Times New Roman" w:cs="Times New Roman"/>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bidi="ar-SA"/>
                      <w14:textFill>
                        <w14:solidFill>
                          <w14:schemeClr w14:val="tx1"/>
                        </w14:solidFill>
                      </w14:textFill>
                    </w:rPr>
                    <w:t>0.9742</w:t>
                  </w:r>
                </w:p>
              </w:tc>
              <w:tc>
                <w:tcPr>
                  <w:tcW w:w="303"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pP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426" w:type="pct"/>
                  <w:vMerge w:val="continue"/>
                  <w:tcBorders>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p>
              </w:tc>
              <w:tc>
                <w:tcPr>
                  <w:tcW w:w="395" w:type="pct"/>
                  <w:vMerge w:val="continue"/>
                  <w:tcBorders>
                    <w:lef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p>
              </w:tc>
              <w:tc>
                <w:tcPr>
                  <w:tcW w:w="320"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NH</w:t>
                  </w:r>
                  <w:r>
                    <w:rPr>
                      <w:rFonts w:hint="default" w:ascii="Times New Roman" w:hAnsi="Times New Roman" w:cs="Times New Roman"/>
                      <w:color w:val="000000" w:themeColor="text1"/>
                      <w:kern w:val="0"/>
                      <w:sz w:val="18"/>
                      <w:szCs w:val="18"/>
                      <w:highlight w:val="none"/>
                      <w:vertAlign w:val="subscript"/>
                      <w:lang w:val="en-US" w:eastAsia="zh-CN"/>
                      <w14:textFill>
                        <w14:solidFill>
                          <w14:schemeClr w14:val="tx1"/>
                        </w14:solidFill>
                      </w14:textFill>
                    </w:rPr>
                    <w:t>3</w:t>
                  </w:r>
                </w:p>
              </w:tc>
              <w:tc>
                <w:tcPr>
                  <w:tcW w:w="332"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p>
              </w:tc>
              <w:tc>
                <w:tcPr>
                  <w:tcW w:w="361" w:type="pct"/>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c>
                <w:tcPr>
                  <w:tcW w:w="362" w:type="pct"/>
                  <w:tcBorders>
                    <w:tl2br w:val="nil"/>
                    <w:tr2bl w:val="nil"/>
                  </w:tcBorders>
                  <w:shd w:val="clear" w:color="auto" w:fill="auto"/>
                  <w:vAlign w:val="center"/>
                </w:tcPr>
                <w:p>
                  <w:pPr>
                    <w:keepNext w:val="0"/>
                    <w:keepLines w:val="0"/>
                    <w:pageBreakBefore w:val="0"/>
                    <w:widowControl/>
                    <w:suppressLineNumbers w:val="0"/>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w:t>
                  </w:r>
                </w:p>
              </w:tc>
              <w:tc>
                <w:tcPr>
                  <w:tcW w:w="1154" w:type="pct"/>
                  <w:vMerge w:val="continue"/>
                  <w:tcBorders>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p>
              </w:tc>
              <w:tc>
                <w:tcPr>
                  <w:tcW w:w="300" w:type="pct"/>
                  <w:tcBorders>
                    <w:top w:val="single" w:color="auto" w:sz="4" w:space="0"/>
                    <w:bottom w:val="single" w:color="auto" w:sz="4" w:space="0"/>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p>
              </w:tc>
              <w:tc>
                <w:tcPr>
                  <w:tcW w:w="355" w:type="pct"/>
                  <w:tcBorders>
                    <w:top w:val="single" w:color="auto" w:sz="4" w:space="0"/>
                    <w:left w:val="single" w:color="auto" w:sz="4" w:space="0"/>
                    <w:bottom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7.9</w:t>
                  </w:r>
                </w:p>
              </w:tc>
              <w:tc>
                <w:tcPr>
                  <w:tcW w:w="358" w:type="pct"/>
                  <w:tcBorders>
                    <w:top w:val="single" w:color="auto" w:sz="4" w:space="0"/>
                    <w:bottom w:val="single" w:color="auto" w:sz="4" w:space="0"/>
                    <w:tl2br w:val="nil"/>
                    <w:tr2bl w:val="nil"/>
                  </w:tcBorders>
                  <w:shd w:val="clear" w:color="auto" w:fill="auto"/>
                  <w:noWrap/>
                  <w:vAlign w:val="center"/>
                </w:tcPr>
                <w:p>
                  <w:pPr>
                    <w:keepNext w:val="0"/>
                    <w:keepLines w:val="0"/>
                    <w:pageBreakBefore w:val="0"/>
                    <w:widowControl/>
                    <w:suppressLineNumbers w:val="0"/>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t>0.163</w:t>
                  </w:r>
                </w:p>
              </w:tc>
              <w:tc>
                <w:tcPr>
                  <w:tcW w:w="331" w:type="pct"/>
                  <w:tcBorders>
                    <w:top w:val="single" w:color="auto" w:sz="4" w:space="0"/>
                    <w:bottom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bidi="ar-SA"/>
                      <w14:textFill>
                        <w14:solidFill>
                          <w14:schemeClr w14:val="tx1"/>
                        </w14:solidFill>
                      </w14:textFill>
                    </w:rPr>
                    <w:t>0.3912</w:t>
                  </w:r>
                </w:p>
              </w:tc>
              <w:tc>
                <w:tcPr>
                  <w:tcW w:w="303"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pP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426" w:type="pct"/>
                  <w:vMerge w:val="continue"/>
                  <w:tcBorders>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p>
              </w:tc>
              <w:tc>
                <w:tcPr>
                  <w:tcW w:w="1045" w:type="dxa"/>
                  <w:tcBorders>
                    <w:lef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t>切割工序</w:t>
                  </w:r>
                </w:p>
              </w:tc>
              <w:tc>
                <w:tcPr>
                  <w:tcW w:w="84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颗粒物</w:t>
                  </w:r>
                </w:p>
              </w:tc>
              <w:tc>
                <w:tcPr>
                  <w:tcW w:w="87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10000</w:t>
                  </w:r>
                </w:p>
              </w:tc>
              <w:tc>
                <w:tcPr>
                  <w:tcW w:w="956"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3567.2</w:t>
                  </w:r>
                </w:p>
              </w:tc>
              <w:tc>
                <w:tcPr>
                  <w:tcW w:w="95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eastAsia" w:cs="Times New Roman"/>
                      <w:i w:val="0"/>
                      <w:iCs w:val="0"/>
                      <w:color w:val="000000" w:themeColor="text1"/>
                      <w:kern w:val="0"/>
                      <w:sz w:val="18"/>
                      <w:szCs w:val="18"/>
                      <w:highlight w:val="none"/>
                      <w:u w:val="none"/>
                      <w:lang w:val="en-US" w:eastAsia="zh-CN" w:bidi="ar"/>
                      <w14:textFill>
                        <w14:solidFill>
                          <w14:schemeClr w14:val="tx1"/>
                        </w14:solidFill>
                      </w14:textFill>
                    </w:rPr>
                    <w:t>42.8064</w:t>
                  </w:r>
                </w:p>
              </w:tc>
              <w:tc>
                <w:tcPr>
                  <w:tcW w:w="305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密闭间</w:t>
                  </w: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+负压集气罩+</w:t>
                  </w:r>
                </w:p>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脉冲袋式除尘器</w:t>
                  </w: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（TA002）</w:t>
                  </w: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+15m高排气筒（DA00</w:t>
                  </w: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w:t>
                  </w:r>
                </w:p>
              </w:tc>
              <w:tc>
                <w:tcPr>
                  <w:tcW w:w="794" w:type="dxa"/>
                  <w:tcBorders>
                    <w:top w:val="single" w:color="auto" w:sz="4" w:space="0"/>
                    <w:bottom w:val="single" w:color="auto" w:sz="4" w:space="0"/>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99.9</w:t>
                  </w:r>
                </w:p>
              </w:tc>
              <w:tc>
                <w:tcPr>
                  <w:tcW w:w="940" w:type="dxa"/>
                  <w:tcBorders>
                    <w:top w:val="single" w:color="auto" w:sz="4" w:space="0"/>
                    <w:left w:val="single" w:color="auto" w:sz="4" w:space="0"/>
                    <w:bottom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pPr>
                  <w:r>
                    <w:rPr>
                      <w:rFonts w:hint="eastAsia" w:cs="Times New Roman"/>
                      <w:color w:val="000000" w:themeColor="text1"/>
                      <w:kern w:val="0"/>
                      <w:sz w:val="18"/>
                      <w:szCs w:val="18"/>
                      <w:highlight w:val="none"/>
                      <w:lang w:val="en-US" w:eastAsia="zh-CN" w:bidi="ar-SA"/>
                      <w14:textFill>
                        <w14:solidFill>
                          <w14:schemeClr w14:val="tx1"/>
                        </w14:solidFill>
                      </w14:textFill>
                    </w:rPr>
                    <w:t>3.57</w:t>
                  </w:r>
                </w:p>
              </w:tc>
              <w:tc>
                <w:tcPr>
                  <w:tcW w:w="948" w:type="dxa"/>
                  <w:tcBorders>
                    <w:top w:val="single" w:color="auto" w:sz="4" w:space="0"/>
                    <w:bottom w:val="single" w:color="auto" w:sz="4" w:space="0"/>
                    <w:tl2br w:val="nil"/>
                    <w:tr2bl w:val="nil"/>
                  </w:tcBorders>
                  <w:shd w:val="clear" w:color="auto" w:fill="auto"/>
                  <w:noWrap/>
                  <w:vAlign w:val="center"/>
                </w:tcPr>
                <w:p>
                  <w:pPr>
                    <w:keepNext w:val="0"/>
                    <w:keepLines w:val="0"/>
                    <w:pageBreakBefore w:val="0"/>
                    <w:widowControl/>
                    <w:suppressLineNumbers w:val="0"/>
                    <w:autoSpaceDE/>
                    <w:autoSpaceDN/>
                    <w:bidi w:val="0"/>
                    <w:adjustRightInd/>
                    <w:snapToGrid/>
                    <w:spacing w:line="320" w:lineRule="exact"/>
                    <w:ind w:firstLine="0" w:firstLineChars="0"/>
                    <w:jc w:val="center"/>
                    <w:textAlignment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0.036</w:t>
                  </w:r>
                </w:p>
              </w:tc>
              <w:tc>
                <w:tcPr>
                  <w:tcW w:w="876" w:type="dxa"/>
                  <w:tcBorders>
                    <w:top w:val="single" w:color="auto" w:sz="4" w:space="0"/>
                    <w:bottom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2"/>
                      <w:sz w:val="18"/>
                      <w:szCs w:val="18"/>
                      <w:highlight w:val="none"/>
                      <w:lang w:val="en-US" w:eastAsia="zh-CN" w:bidi="ar-SA"/>
                      <w14:textFill>
                        <w14:solidFill>
                          <w14:schemeClr w14:val="tx1"/>
                        </w14:solidFill>
                      </w14:textFill>
                    </w:rPr>
                    <w:t>0.0428</w:t>
                  </w:r>
                </w:p>
              </w:tc>
              <w:tc>
                <w:tcPr>
                  <w:tcW w:w="802"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pPr>
                  <w:r>
                    <w:rPr>
                      <w:rFonts w:hint="eastAsia" w:cs="Times New Roman"/>
                      <w:color w:val="000000" w:themeColor="text1"/>
                      <w:kern w:val="0"/>
                      <w:sz w:val="18"/>
                      <w:szCs w:val="18"/>
                      <w:highlight w:val="none"/>
                      <w:lang w:val="en-US" w:eastAsia="zh-CN" w:bidi="ar-SA"/>
                      <w14:textFill>
                        <w14:solidFill>
                          <w14:schemeClr w14:val="tx1"/>
                        </w14:solidFill>
                      </w14:textFill>
                    </w:rPr>
                    <w:t>1200</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127" w:type="dxa"/>
                  <w:tcBorders>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2#、3#</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生产车间</w:t>
                  </w:r>
                </w:p>
              </w:tc>
              <w:tc>
                <w:tcPr>
                  <w:tcW w:w="1045" w:type="dxa"/>
                  <w:tcBorders>
                    <w:lef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t>焊接</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、打磨工序</w:t>
                  </w:r>
                </w:p>
              </w:tc>
              <w:tc>
                <w:tcPr>
                  <w:tcW w:w="84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颗粒物</w:t>
                  </w:r>
                </w:p>
              </w:tc>
              <w:tc>
                <w:tcPr>
                  <w:tcW w:w="879"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10000</w:t>
                  </w:r>
                </w:p>
              </w:tc>
              <w:tc>
                <w:tcPr>
                  <w:tcW w:w="956"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4683.58</w:t>
                  </w:r>
                </w:p>
              </w:tc>
              <w:tc>
                <w:tcPr>
                  <w:tcW w:w="95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cs="Times New Roman"/>
                      <w:i w:val="0"/>
                      <w:iCs w:val="0"/>
                      <w:color w:val="000000" w:themeColor="text1"/>
                      <w:kern w:val="0"/>
                      <w:sz w:val="18"/>
                      <w:szCs w:val="18"/>
                      <w:highlight w:val="none"/>
                      <w:u w:val="none"/>
                      <w:lang w:val="en-US" w:eastAsia="zh-CN" w:bidi="ar"/>
                      <w14:textFill>
                        <w14:solidFill>
                          <w14:schemeClr w14:val="tx1"/>
                        </w14:solidFill>
                      </w14:textFill>
                    </w:rPr>
                    <w:t>56.203</w:t>
                  </w:r>
                </w:p>
              </w:tc>
              <w:tc>
                <w:tcPr>
                  <w:tcW w:w="3055"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密闭间</w:t>
                  </w: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+负压集气罩+</w:t>
                  </w:r>
                </w:p>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脉冲袋式除尘器</w:t>
                  </w: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（TA003）</w:t>
                  </w: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+15m高排气筒（DA00</w:t>
                  </w: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w:t>
                  </w:r>
                </w:p>
              </w:tc>
              <w:tc>
                <w:tcPr>
                  <w:tcW w:w="794" w:type="dxa"/>
                  <w:tcBorders>
                    <w:top w:val="single" w:color="auto" w:sz="4" w:space="0"/>
                    <w:bottom w:val="single" w:color="auto" w:sz="4" w:space="0"/>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99.9</w:t>
                  </w:r>
                </w:p>
              </w:tc>
              <w:tc>
                <w:tcPr>
                  <w:tcW w:w="940" w:type="dxa"/>
                  <w:tcBorders>
                    <w:top w:val="single" w:color="auto" w:sz="4" w:space="0"/>
                    <w:left w:val="single" w:color="auto" w:sz="4" w:space="0"/>
                    <w:bottom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eastAsia" w:cs="Times New Roman"/>
                      <w:color w:val="000000" w:themeColor="text1"/>
                      <w:kern w:val="2"/>
                      <w:sz w:val="18"/>
                      <w:szCs w:val="18"/>
                      <w:highlight w:val="none"/>
                      <w:lang w:val="en-US" w:eastAsia="zh-CN" w:bidi="ar-SA"/>
                      <w14:textFill>
                        <w14:solidFill>
                          <w14:schemeClr w14:val="tx1"/>
                        </w14:solidFill>
                      </w14:textFill>
                    </w:rPr>
                    <w:t>4.68</w:t>
                  </w:r>
                </w:p>
              </w:tc>
              <w:tc>
                <w:tcPr>
                  <w:tcW w:w="948" w:type="dxa"/>
                  <w:tcBorders>
                    <w:top w:val="single" w:color="auto" w:sz="4" w:space="0"/>
                    <w:bottom w:val="single" w:color="auto" w:sz="4" w:space="0"/>
                    <w:tl2br w:val="nil"/>
                    <w:tr2bl w:val="nil"/>
                  </w:tcBorders>
                  <w:shd w:val="clear" w:color="auto" w:fill="auto"/>
                  <w:noWrap/>
                  <w:vAlign w:val="center"/>
                </w:tcPr>
                <w:p>
                  <w:pPr>
                    <w:keepNext w:val="0"/>
                    <w:keepLines w:val="0"/>
                    <w:pageBreakBefore w:val="0"/>
                    <w:widowControl/>
                    <w:suppressLineNumbers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cs="Times New Roman"/>
                      <w:i w:val="0"/>
                      <w:iCs w:val="0"/>
                      <w:color w:val="000000" w:themeColor="text1"/>
                      <w:kern w:val="0"/>
                      <w:sz w:val="18"/>
                      <w:szCs w:val="18"/>
                      <w:highlight w:val="none"/>
                      <w:u w:val="none"/>
                      <w:lang w:val="en-US" w:eastAsia="zh-CN" w:bidi="ar"/>
                      <w14:textFill>
                        <w14:solidFill>
                          <w14:schemeClr w14:val="tx1"/>
                        </w14:solidFill>
                      </w14:textFill>
                    </w:rPr>
                    <w:t>0.047</w:t>
                  </w:r>
                </w:p>
              </w:tc>
              <w:tc>
                <w:tcPr>
                  <w:tcW w:w="876" w:type="dxa"/>
                  <w:tcBorders>
                    <w:top w:val="single" w:color="auto" w:sz="4" w:space="0"/>
                    <w:bottom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bidi="ar-SA"/>
                      <w14:textFill>
                        <w14:solidFill>
                          <w14:schemeClr w14:val="tx1"/>
                        </w14:solidFill>
                      </w14:textFill>
                    </w:rPr>
                  </w:pPr>
                  <w:r>
                    <w:rPr>
                      <w:rFonts w:hint="eastAsia" w:cs="Times New Roman"/>
                      <w:color w:val="000000" w:themeColor="text1"/>
                      <w:kern w:val="2"/>
                      <w:sz w:val="18"/>
                      <w:szCs w:val="18"/>
                      <w:highlight w:val="none"/>
                      <w:lang w:val="en-US" w:eastAsia="zh-CN" w:bidi="ar-SA"/>
                      <w14:textFill>
                        <w14:solidFill>
                          <w14:schemeClr w14:val="tx1"/>
                        </w14:solidFill>
                      </w14:textFill>
                    </w:rPr>
                    <w:t>0.0562</w:t>
                  </w:r>
                </w:p>
              </w:tc>
              <w:tc>
                <w:tcPr>
                  <w:tcW w:w="802"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pPr>
                  <w:r>
                    <w:rPr>
                      <w:rFonts w:hint="eastAsia" w:cs="Times New Roman"/>
                      <w:color w:val="000000" w:themeColor="text1"/>
                      <w:kern w:val="0"/>
                      <w:sz w:val="18"/>
                      <w:szCs w:val="18"/>
                      <w:highlight w:val="none"/>
                      <w:lang w:val="en-US" w:eastAsia="zh-CN" w:bidi="ar-SA"/>
                      <w14:textFill>
                        <w14:solidFill>
                          <w14:schemeClr w14:val="tx1"/>
                        </w14:solidFill>
                      </w14:textFill>
                    </w:rPr>
                    <w:t>1200</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426" w:type="pct"/>
                  <w:vMerge w:val="restart"/>
                  <w:tcBorders>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4#酸洗车间</w:t>
                  </w:r>
                </w:p>
              </w:tc>
              <w:tc>
                <w:tcPr>
                  <w:tcW w:w="1045" w:type="dxa"/>
                  <w:vMerge w:val="restart"/>
                  <w:tcBorders>
                    <w:lef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酸洗工序</w:t>
                  </w:r>
                </w:p>
              </w:tc>
              <w:tc>
                <w:tcPr>
                  <w:tcW w:w="84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氢氟酸雾</w:t>
                  </w:r>
                </w:p>
              </w:tc>
              <w:tc>
                <w:tcPr>
                  <w:tcW w:w="879"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2000</w:t>
                  </w:r>
                </w:p>
              </w:tc>
              <w:tc>
                <w:tcPr>
                  <w:tcW w:w="95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8.48</w:t>
                  </w:r>
                </w:p>
              </w:tc>
              <w:tc>
                <w:tcPr>
                  <w:tcW w:w="95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0.0407</w:t>
                  </w:r>
                </w:p>
              </w:tc>
              <w:tc>
                <w:tcPr>
                  <w:tcW w:w="3055" w:type="dxa"/>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密闭间+集气罩+</w:t>
                  </w:r>
                  <w:r>
                    <w:rPr>
                      <w:rFonts w:hint="eastAsia" w:cs="Times New Roman"/>
                      <w:color w:val="000000" w:themeColor="text1"/>
                      <w:kern w:val="0"/>
                      <w:sz w:val="18"/>
                      <w:szCs w:val="18"/>
                      <w:highlight w:val="none"/>
                      <w:lang w:val="en-US" w:eastAsia="zh-CN" w:bidi="ar-SA"/>
                      <w14:textFill>
                        <w14:solidFill>
                          <w14:schemeClr w14:val="tx1"/>
                        </w14:solidFill>
                      </w14:textFill>
                    </w:rPr>
                    <w:t>两级酸雾喷淋塔</w:t>
                  </w: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（TA004）+</w:t>
                  </w: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15m高排气筒（DA00</w:t>
                  </w: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w:t>
                  </w:r>
                </w:p>
              </w:tc>
              <w:tc>
                <w:tcPr>
                  <w:tcW w:w="794" w:type="dxa"/>
                  <w:tcBorders>
                    <w:top w:val="single" w:color="auto" w:sz="4" w:space="0"/>
                    <w:bottom w:val="single" w:color="auto" w:sz="4" w:space="0"/>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90</w:t>
                  </w:r>
                </w:p>
              </w:tc>
              <w:tc>
                <w:tcPr>
                  <w:tcW w:w="940" w:type="dxa"/>
                  <w:tcBorders>
                    <w:top w:val="single" w:color="auto" w:sz="4" w:space="0"/>
                    <w:left w:val="single" w:color="auto" w:sz="4" w:space="0"/>
                    <w:bottom w:val="single" w:color="auto" w:sz="4" w:space="0"/>
                    <w:tl2br w:val="nil"/>
                    <w:tr2bl w:val="nil"/>
                  </w:tcBorders>
                  <w:shd w:val="clear" w:color="auto" w:fill="auto"/>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eastAsia" w:cs="Times New Roman"/>
                      <w:color w:val="000000" w:themeColor="text1"/>
                      <w:kern w:val="0"/>
                      <w:sz w:val="18"/>
                      <w:szCs w:val="18"/>
                      <w:highlight w:val="none"/>
                      <w:lang w:val="en-US" w:eastAsia="zh-CN" w:bidi="ar-SA"/>
                      <w14:textFill>
                        <w14:solidFill>
                          <w14:schemeClr w14:val="tx1"/>
                        </w14:solidFill>
                      </w14:textFill>
                    </w:rPr>
                    <w:t>0.85</w:t>
                  </w:r>
                </w:p>
              </w:tc>
              <w:tc>
                <w:tcPr>
                  <w:tcW w:w="948" w:type="dxa"/>
                  <w:tcBorders>
                    <w:top w:val="single" w:color="auto" w:sz="4" w:space="0"/>
                    <w:bottom w:val="single" w:color="auto" w:sz="4" w:space="0"/>
                    <w:tl2br w:val="nil"/>
                    <w:tr2bl w:val="nil"/>
                  </w:tcBorders>
                  <w:shd w:val="clear" w:color="auto" w:fill="auto"/>
                  <w:noWrap/>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0.002</w:t>
                  </w:r>
                </w:p>
              </w:tc>
              <w:tc>
                <w:tcPr>
                  <w:tcW w:w="876" w:type="dxa"/>
                  <w:tcBorders>
                    <w:top w:val="single" w:color="auto" w:sz="4" w:space="0"/>
                    <w:bottom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0.0041</w:t>
                  </w:r>
                </w:p>
              </w:tc>
              <w:tc>
                <w:tcPr>
                  <w:tcW w:w="303" w:type="pct"/>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t>2400</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426" w:type="pct"/>
                  <w:vMerge w:val="continue"/>
                  <w:tcBorders>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p>
              </w:tc>
              <w:tc>
                <w:tcPr>
                  <w:tcW w:w="1045" w:type="dxa"/>
                  <w:vMerge w:val="continue"/>
                  <w:tcBorders>
                    <w:lef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p>
              </w:tc>
              <w:tc>
                <w:tcPr>
                  <w:tcW w:w="84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硝酸雾（NOx计）</w:t>
                  </w:r>
                </w:p>
              </w:tc>
              <w:tc>
                <w:tcPr>
                  <w:tcW w:w="879"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p>
              </w:tc>
              <w:tc>
                <w:tcPr>
                  <w:tcW w:w="95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70.94</w:t>
                  </w:r>
                </w:p>
              </w:tc>
              <w:tc>
                <w:tcPr>
                  <w:tcW w:w="95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0.3405</w:t>
                  </w:r>
                </w:p>
              </w:tc>
              <w:tc>
                <w:tcPr>
                  <w:tcW w:w="3055" w:type="dxa"/>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p>
              </w:tc>
              <w:tc>
                <w:tcPr>
                  <w:tcW w:w="794" w:type="dxa"/>
                  <w:tcBorders>
                    <w:top w:val="single" w:color="auto" w:sz="4" w:space="0"/>
                    <w:bottom w:val="single" w:color="auto" w:sz="4" w:space="0"/>
                    <w:right w:val="single" w:color="auto"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90</w:t>
                  </w:r>
                </w:p>
              </w:tc>
              <w:tc>
                <w:tcPr>
                  <w:tcW w:w="940" w:type="dxa"/>
                  <w:tcBorders>
                    <w:top w:val="single" w:color="auto" w:sz="4" w:space="0"/>
                    <w:left w:val="single" w:color="auto" w:sz="4" w:space="0"/>
                    <w:bottom w:val="single" w:color="auto" w:sz="4" w:space="0"/>
                    <w:tl2br w:val="nil"/>
                    <w:tr2bl w:val="nil"/>
                  </w:tcBorders>
                  <w:shd w:val="clear" w:color="auto" w:fill="auto"/>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eastAsia" w:cs="Times New Roman"/>
                      <w:color w:val="000000" w:themeColor="text1"/>
                      <w:kern w:val="0"/>
                      <w:sz w:val="18"/>
                      <w:szCs w:val="18"/>
                      <w:highlight w:val="none"/>
                      <w:lang w:val="en-US" w:eastAsia="zh-CN" w:bidi="ar-SA"/>
                      <w14:textFill>
                        <w14:solidFill>
                          <w14:schemeClr w14:val="tx1"/>
                        </w14:solidFill>
                      </w14:textFill>
                    </w:rPr>
                    <w:t>7.09</w:t>
                  </w:r>
                </w:p>
              </w:tc>
              <w:tc>
                <w:tcPr>
                  <w:tcW w:w="948" w:type="dxa"/>
                  <w:tcBorders>
                    <w:top w:val="single" w:color="auto" w:sz="4" w:space="0"/>
                    <w:bottom w:val="single" w:color="auto" w:sz="4" w:space="0"/>
                    <w:tl2br w:val="nil"/>
                    <w:tr2bl w:val="nil"/>
                  </w:tcBorders>
                  <w:shd w:val="clear" w:color="auto" w:fill="auto"/>
                  <w:noWrap/>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0.014</w:t>
                  </w:r>
                </w:p>
              </w:tc>
              <w:tc>
                <w:tcPr>
                  <w:tcW w:w="876" w:type="dxa"/>
                  <w:tcBorders>
                    <w:top w:val="single" w:color="auto" w:sz="4" w:space="0"/>
                    <w:bottom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0.0341</w:t>
                  </w:r>
                </w:p>
              </w:tc>
              <w:tc>
                <w:tcPr>
                  <w:tcW w:w="303" w:type="pct"/>
                  <w:vMerge w:val="continue"/>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bidi="ar-SA"/>
                      <w14:textFill>
                        <w14:solidFill>
                          <w14:schemeClr w14:val="tx1"/>
                        </w14:solidFill>
                      </w14:textFill>
                    </w:rPr>
                  </w:pP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426" w:type="pct"/>
                  <w:tcBorders>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5#生产车间</w:t>
                  </w:r>
                </w:p>
              </w:tc>
              <w:tc>
                <w:tcPr>
                  <w:tcW w:w="395" w:type="pct"/>
                  <w:tcBorders>
                    <w:lef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下料工序</w:t>
                  </w:r>
                </w:p>
              </w:tc>
              <w:tc>
                <w:tcPr>
                  <w:tcW w:w="320"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颗粒物</w:t>
                  </w:r>
                </w:p>
              </w:tc>
              <w:tc>
                <w:tcPr>
                  <w:tcW w:w="332"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5000</w:t>
                  </w:r>
                </w:p>
              </w:tc>
              <w:tc>
                <w:tcPr>
                  <w:tcW w:w="956" w:type="dxa"/>
                  <w:tcBorders>
                    <w:tl2br w:val="nil"/>
                    <w:tr2bl w:val="nil"/>
                  </w:tcBorders>
                  <w:shd w:val="clear" w:color="auto" w:fill="auto"/>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asci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3868.55</w:t>
                  </w:r>
                </w:p>
              </w:tc>
              <w:tc>
                <w:tcPr>
                  <w:tcW w:w="958" w:type="dxa"/>
                  <w:tcBorders>
                    <w:tl2br w:val="nil"/>
                    <w:tr2bl w:val="nil"/>
                  </w:tcBorders>
                  <w:shd w:val="clear" w:color="auto" w:fill="auto"/>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黑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23.2113</w:t>
                  </w:r>
                </w:p>
              </w:tc>
              <w:tc>
                <w:tcPr>
                  <w:tcW w:w="1154" w:type="pct"/>
                  <w:tcBorders>
                    <w:tl2br w:val="nil"/>
                    <w:tr2bl w:val="nil"/>
                  </w:tcBorders>
                  <w:shd w:val="clear" w:color="auto" w:fill="auto"/>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密闭间+脉冲袋式除尘器（TA005）</w:t>
                  </w: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+15m高排气筒（DA005）</w:t>
                  </w:r>
                </w:p>
              </w:tc>
              <w:tc>
                <w:tcPr>
                  <w:tcW w:w="300" w:type="pct"/>
                  <w:tcBorders>
                    <w:top w:val="single" w:color="auto" w:sz="4" w:space="0"/>
                    <w:bottom w:val="single" w:color="auto" w:sz="4" w:space="0"/>
                    <w:right w:val="single" w:color="auto" w:sz="4" w:space="0"/>
                    <w:tl2br w:val="nil"/>
                    <w:tr2bl w:val="nil"/>
                  </w:tcBorders>
                  <w:shd w:val="clear" w:color="auto" w:fill="auto"/>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黑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99.</w:t>
                  </w: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9</w:t>
                  </w: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w:t>
                  </w:r>
                </w:p>
              </w:tc>
              <w:tc>
                <w:tcPr>
                  <w:tcW w:w="940" w:type="dxa"/>
                  <w:tcBorders>
                    <w:top w:val="single" w:color="auto" w:sz="4" w:space="0"/>
                    <w:left w:val="single" w:color="auto" w:sz="4" w:space="0"/>
                    <w:bottom w:val="single" w:color="auto" w:sz="4" w:space="0"/>
                    <w:tl2br w:val="nil"/>
                    <w:tr2bl w:val="nil"/>
                  </w:tcBorders>
                  <w:shd w:val="clear" w:color="auto" w:fill="auto"/>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黑体" w:cs="Times New Roman"/>
                      <w:color w:val="000000" w:themeColor="text1"/>
                      <w:kern w:val="2"/>
                      <w:sz w:val="18"/>
                      <w:szCs w:val="18"/>
                      <w:highlight w:val="none"/>
                      <w:lang w:val="en-US" w:eastAsia="zh-CN" w:bidi="ar-SA"/>
                      <w14:textFill>
                        <w14:solidFill>
                          <w14:schemeClr w14:val="tx1"/>
                        </w14:solidFill>
                      </w14:textFill>
                    </w:rPr>
                  </w:pPr>
                  <w:r>
                    <w:rPr>
                      <w:rFonts w:hint="eastAsia" w:ascii="Times New Roman" w:eastAsia="宋体" w:cs="Times New Roman"/>
                      <w:b w:val="0"/>
                      <w:bCs w:val="0"/>
                      <w:color w:val="000000" w:themeColor="text1"/>
                      <w:sz w:val="18"/>
                      <w:szCs w:val="18"/>
                      <w:highlight w:val="none"/>
                      <w:u w:val="none"/>
                      <w:vertAlign w:val="baseline"/>
                      <w:lang w:val="en-US" w:eastAsia="zh-CN" w:bidi="ar-SA"/>
                      <w14:textFill>
                        <w14:solidFill>
                          <w14:schemeClr w14:val="tx1"/>
                        </w14:solidFill>
                      </w14:textFill>
                    </w:rPr>
                    <w:t>3.87</w:t>
                  </w:r>
                </w:p>
              </w:tc>
              <w:tc>
                <w:tcPr>
                  <w:tcW w:w="948" w:type="dxa"/>
                  <w:tcBorders>
                    <w:top w:val="single" w:color="auto" w:sz="4" w:space="0"/>
                    <w:bottom w:val="single" w:color="auto" w:sz="4" w:space="0"/>
                    <w:tl2br w:val="nil"/>
                    <w:tr2bl w:val="nil"/>
                  </w:tcBorders>
                  <w:shd w:val="clear" w:color="auto" w:fill="auto"/>
                  <w:noWrap/>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0.019</w:t>
                  </w:r>
                </w:p>
              </w:tc>
              <w:tc>
                <w:tcPr>
                  <w:tcW w:w="876" w:type="dxa"/>
                  <w:tcBorders>
                    <w:top w:val="single" w:color="auto" w:sz="4" w:space="0"/>
                    <w:bottom w:val="single" w:color="auto" w:sz="4" w:space="0"/>
                    <w:tl2br w:val="nil"/>
                    <w:tr2bl w:val="nil"/>
                  </w:tcBorders>
                  <w:shd w:val="clear" w:color="auto" w:fill="auto"/>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黑体" w:cs="Times New Roman"/>
                      <w:color w:val="000000" w:themeColor="text1"/>
                      <w:sz w:val="18"/>
                      <w:szCs w:val="18"/>
                      <w:highlight w:val="none"/>
                      <w:lang w:val="en-US" w:eastAsia="zh-CN" w:bidi="ar-SA"/>
                      <w14:textFill>
                        <w14:solidFill>
                          <w14:schemeClr w14:val="tx1"/>
                        </w14:solidFill>
                      </w14:textFill>
                    </w:rPr>
                  </w:pPr>
                  <w:r>
                    <w:rPr>
                      <w:rFonts w:hint="eastAsia" w:asci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0.0232</w:t>
                  </w:r>
                </w:p>
              </w:tc>
              <w:tc>
                <w:tcPr>
                  <w:tcW w:w="303"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eastAsia" w:cs="Times New Roman"/>
                      <w:color w:val="000000" w:themeColor="text1"/>
                      <w:kern w:val="0"/>
                      <w:sz w:val="18"/>
                      <w:szCs w:val="18"/>
                      <w:highlight w:val="none"/>
                      <w:lang w:val="en-US" w:eastAsia="zh-CN" w:bidi="ar-SA"/>
                      <w14:textFill>
                        <w14:solidFill>
                          <w14:schemeClr w14:val="tx1"/>
                        </w14:solidFill>
                      </w14:textFill>
                    </w:rPr>
                    <w:t>1200</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426" w:type="pct"/>
                  <w:tcBorders>
                    <w:righ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6#生产车间</w:t>
                  </w:r>
                </w:p>
              </w:tc>
              <w:tc>
                <w:tcPr>
                  <w:tcW w:w="395" w:type="pct"/>
                  <w:tcBorders>
                    <w:left w:val="single" w:color="auto" w:sz="4"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焊接工序</w:t>
                  </w:r>
                </w:p>
              </w:tc>
              <w:tc>
                <w:tcPr>
                  <w:tcW w:w="320"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颗粒物</w:t>
                  </w:r>
                </w:p>
              </w:tc>
              <w:tc>
                <w:tcPr>
                  <w:tcW w:w="332" w:type="pct"/>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1000</w:t>
                  </w:r>
                </w:p>
              </w:tc>
              <w:tc>
                <w:tcPr>
                  <w:tcW w:w="361" w:type="pct"/>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cs="Times New Roman"/>
                      <w:color w:val="000000" w:themeColor="text1"/>
                      <w:kern w:val="2"/>
                      <w:sz w:val="18"/>
                      <w:szCs w:val="18"/>
                      <w:highlight w:val="none"/>
                      <w:lang w:val="en-US" w:eastAsia="zh-CN" w:bidi="ar-SA"/>
                      <w14:textFill>
                        <w14:solidFill>
                          <w14:schemeClr w14:val="tx1"/>
                        </w14:solidFill>
                      </w14:textFill>
                    </w:rPr>
                    <w:t>452</w:t>
                  </w:r>
                </w:p>
              </w:tc>
              <w:tc>
                <w:tcPr>
                  <w:tcW w:w="362" w:type="pct"/>
                  <w:tcBorders>
                    <w:tl2br w:val="nil"/>
                    <w:tr2bl w:val="nil"/>
                  </w:tcBorders>
                  <w:shd w:val="clear" w:color="auto" w:fill="auto"/>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黑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0.5424</w:t>
                  </w:r>
                </w:p>
              </w:tc>
              <w:tc>
                <w:tcPr>
                  <w:tcW w:w="1154" w:type="pct"/>
                  <w:tcBorders>
                    <w:bottom w:val="single" w:color="000000" w:sz="4" w:space="0"/>
                    <w:tl2br w:val="nil"/>
                    <w:tr2bl w:val="nil"/>
                  </w:tcBorders>
                  <w:shd w:val="clear" w:color="auto" w:fill="auto"/>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密闭间+脉冲袋式除尘器（TA006）</w:t>
                  </w:r>
                  <w:r>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t>+15m高排气筒（DA006）</w:t>
                  </w:r>
                </w:p>
              </w:tc>
              <w:tc>
                <w:tcPr>
                  <w:tcW w:w="300" w:type="pct"/>
                  <w:tcBorders>
                    <w:top w:val="single" w:color="auto" w:sz="4" w:space="0"/>
                    <w:bottom w:val="single" w:color="000000" w:sz="4" w:space="0"/>
                    <w:right w:val="single" w:color="auto" w:sz="4" w:space="0"/>
                    <w:tl2br w:val="nil"/>
                    <w:tr2bl w:val="nil"/>
                  </w:tcBorders>
                  <w:shd w:val="clear" w:color="auto" w:fill="auto"/>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黑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99.</w:t>
                  </w: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9</w:t>
                  </w: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w:t>
                  </w:r>
                </w:p>
              </w:tc>
              <w:tc>
                <w:tcPr>
                  <w:tcW w:w="940" w:type="dxa"/>
                  <w:tcBorders>
                    <w:top w:val="single" w:color="auto" w:sz="4" w:space="0"/>
                    <w:left w:val="single" w:color="auto" w:sz="4" w:space="0"/>
                    <w:bottom w:val="single" w:color="000000" w:sz="4" w:space="0"/>
                    <w:tl2br w:val="nil"/>
                    <w:tr2bl w:val="nil"/>
                  </w:tcBorders>
                  <w:shd w:val="clear" w:color="auto" w:fill="auto"/>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黑体" w:cs="Times New Roman"/>
                      <w:color w:val="000000" w:themeColor="text1"/>
                      <w:kern w:val="2"/>
                      <w:sz w:val="18"/>
                      <w:szCs w:val="18"/>
                      <w:highlight w:val="none"/>
                      <w:lang w:val="en-US" w:eastAsia="zh-CN" w:bidi="ar-SA"/>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bidi="ar-SA"/>
                      <w14:textFill>
                        <w14:solidFill>
                          <w14:schemeClr w14:val="tx1"/>
                        </w14:solidFill>
                      </w14:textFill>
                    </w:rPr>
                    <w:t>0.45</w:t>
                  </w:r>
                </w:p>
              </w:tc>
              <w:tc>
                <w:tcPr>
                  <w:tcW w:w="948" w:type="dxa"/>
                  <w:tcBorders>
                    <w:top w:val="single" w:color="auto" w:sz="4" w:space="0"/>
                    <w:bottom w:val="single" w:color="000000" w:sz="4" w:space="0"/>
                    <w:tl2br w:val="nil"/>
                    <w:tr2bl w:val="nil"/>
                  </w:tcBorders>
                  <w:shd w:val="clear" w:color="auto" w:fill="auto"/>
                  <w:noWrap/>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0.0004</w:t>
                  </w:r>
                </w:p>
              </w:tc>
              <w:tc>
                <w:tcPr>
                  <w:tcW w:w="876" w:type="dxa"/>
                  <w:tcBorders>
                    <w:top w:val="single" w:color="auto" w:sz="4" w:space="0"/>
                    <w:bottom w:val="single" w:color="000000" w:sz="4" w:space="0"/>
                    <w:tl2br w:val="nil"/>
                    <w:tr2bl w:val="nil"/>
                  </w:tcBorders>
                  <w:shd w:val="clear" w:color="auto" w:fill="auto"/>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黑体" w:cs="Times New Roman"/>
                      <w:color w:val="000000" w:themeColor="text1"/>
                      <w:sz w:val="18"/>
                      <w:szCs w:val="18"/>
                      <w:highlight w:val="none"/>
                      <w:lang w:val="en-US" w:eastAsia="zh-CN" w:bidi="ar-SA"/>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0.0005</w:t>
                  </w:r>
                </w:p>
              </w:tc>
              <w:tc>
                <w:tcPr>
                  <w:tcW w:w="303" w:type="pct"/>
                  <w:tcBorders>
                    <w:bottom w:val="single" w:color="000000" w:sz="4" w:space="0"/>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eastAsia" w:cs="Times New Roman"/>
                      <w:color w:val="000000" w:themeColor="text1"/>
                      <w:kern w:val="0"/>
                      <w:sz w:val="18"/>
                      <w:szCs w:val="18"/>
                      <w:highlight w:val="none"/>
                      <w:lang w:val="en-US" w:eastAsia="zh-CN" w:bidi="ar-SA"/>
                      <w14:textFill>
                        <w14:solidFill>
                          <w14:schemeClr w14:val="tx1"/>
                        </w14:solidFill>
                      </w14:textFill>
                    </w:rPr>
                    <w:t>1200</w:t>
                  </w:r>
                </w:p>
              </w:tc>
            </w:tr>
          </w:tbl>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无组织废气产排情况汇总一览表（全厂）</w:t>
            </w:r>
          </w:p>
          <w:tbl>
            <w:tblPr>
              <w:tblStyle w:val="21"/>
              <w:tblW w:w="4995" w:type="pct"/>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138"/>
              <w:gridCol w:w="1257"/>
              <w:gridCol w:w="863"/>
              <w:gridCol w:w="1297"/>
              <w:gridCol w:w="1146"/>
              <w:gridCol w:w="4585"/>
              <w:gridCol w:w="1144"/>
              <w:gridCol w:w="1191"/>
              <w:gridCol w:w="606"/>
            </w:tblGrid>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30" w:type="pct"/>
                  <w:vMerge w:val="restar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r>
                    <w:rPr>
                      <w:rFonts w:hint="default" w:ascii="Times New Roman" w:hAnsi="Times New Roman" w:cs="Times New Roman"/>
                      <w:color w:val="000000" w:themeColor="text1"/>
                      <w:sz w:val="18"/>
                      <w:szCs w:val="18"/>
                      <w:highlight w:val="none"/>
                      <w:lang w:eastAsia="en-US"/>
                      <w14:textFill>
                        <w14:solidFill>
                          <w14:schemeClr w14:val="tx1"/>
                        </w14:solidFill>
                      </w14:textFill>
                    </w:rPr>
                    <w:t>排放源</w:t>
                  </w:r>
                </w:p>
              </w:tc>
              <w:tc>
                <w:tcPr>
                  <w:tcW w:w="475" w:type="pct"/>
                  <w:vMerge w:val="restar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产污来源</w:t>
                  </w:r>
                </w:p>
              </w:tc>
              <w:tc>
                <w:tcPr>
                  <w:tcW w:w="326" w:type="pct"/>
                  <w:vMerge w:val="restar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r>
                    <w:rPr>
                      <w:rFonts w:hint="default" w:ascii="Times New Roman" w:hAnsi="Times New Roman" w:cs="Times New Roman"/>
                      <w:color w:val="000000" w:themeColor="text1"/>
                      <w:sz w:val="18"/>
                      <w:szCs w:val="18"/>
                      <w:highlight w:val="none"/>
                      <w:lang w:eastAsia="en-US"/>
                      <w14:textFill>
                        <w14:solidFill>
                          <w14:schemeClr w14:val="tx1"/>
                        </w14:solidFill>
                      </w14:textFill>
                    </w:rPr>
                    <w:t>污染物</w:t>
                  </w:r>
                </w:p>
              </w:tc>
              <w:tc>
                <w:tcPr>
                  <w:tcW w:w="923" w:type="pct"/>
                  <w:gridSpan w:val="2"/>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产生量</w:t>
                  </w:r>
                </w:p>
              </w:tc>
              <w:tc>
                <w:tcPr>
                  <w:tcW w:w="1732" w:type="pct"/>
                  <w:vMerge w:val="restar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r>
                    <w:rPr>
                      <w:rFonts w:hint="default" w:ascii="Times New Roman" w:hAnsi="Times New Roman" w:cs="Times New Roman"/>
                      <w:color w:val="000000" w:themeColor="text1"/>
                      <w:sz w:val="18"/>
                      <w:szCs w:val="18"/>
                      <w:highlight w:val="none"/>
                      <w:lang w:eastAsia="en-US"/>
                      <w14:textFill>
                        <w14:solidFill>
                          <w14:schemeClr w14:val="tx1"/>
                        </w14:solidFill>
                      </w14:textFill>
                    </w:rPr>
                    <w:t>治理措施</w:t>
                  </w:r>
                </w:p>
              </w:tc>
              <w:tc>
                <w:tcPr>
                  <w:tcW w:w="882" w:type="pct"/>
                  <w:gridSpan w:val="2"/>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排放量</w:t>
                  </w:r>
                </w:p>
              </w:tc>
              <w:tc>
                <w:tcPr>
                  <w:tcW w:w="229" w:type="pct"/>
                  <w:vMerge w:val="restart"/>
                  <w:noWrap w:val="0"/>
                  <w:vAlign w:val="center"/>
                </w:tcPr>
                <w:p>
                  <w:pPr>
                    <w:pStyle w:val="65"/>
                    <w:keepNext w:val="0"/>
                    <w:keepLines w:val="0"/>
                    <w:pageBreakBefore w:val="0"/>
                    <w:shd w:val="clear" w:color="auto" w:fill="auto"/>
                    <w:kinsoku/>
                    <w:wordWrap/>
                    <w:overflowPunct/>
                    <w:topLinePunct w:val="0"/>
                    <w:autoSpaceDE/>
                    <w:autoSpaceDN/>
                    <w:bidi w:val="0"/>
                    <w:adjustRightInd/>
                    <w:snapToGrid/>
                    <w:spacing w:after="0"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14:textFill>
                        <w14:solidFill>
                          <w14:schemeClr w14:val="tx1"/>
                        </w14:solidFill>
                      </w14:textFill>
                    </w:rPr>
                    <w:t>排放时间/h</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30" w:type="pct"/>
                  <w:vMerge w:val="continue"/>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p>
              </w:tc>
              <w:tc>
                <w:tcPr>
                  <w:tcW w:w="475" w:type="pct"/>
                  <w:vMerge w:val="continue"/>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p>
              </w:tc>
              <w:tc>
                <w:tcPr>
                  <w:tcW w:w="326" w:type="pct"/>
                  <w:vMerge w:val="continue"/>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p>
              </w:tc>
              <w:tc>
                <w:tcPr>
                  <w:tcW w:w="490"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r>
                    <w:rPr>
                      <w:rFonts w:hint="default" w:ascii="Times New Roman" w:hAnsi="Times New Roman" w:cs="Times New Roman"/>
                      <w:color w:val="000000" w:themeColor="text1"/>
                      <w:sz w:val="18"/>
                      <w:szCs w:val="18"/>
                      <w:highlight w:val="none"/>
                      <w:lang w:eastAsia="en-US"/>
                      <w14:textFill>
                        <w14:solidFill>
                          <w14:schemeClr w14:val="tx1"/>
                        </w14:solidFill>
                      </w14:textFill>
                    </w:rPr>
                    <w:t>排放速率 kg/h</w:t>
                  </w:r>
                </w:p>
              </w:tc>
              <w:tc>
                <w:tcPr>
                  <w:tcW w:w="433"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r>
                    <w:rPr>
                      <w:rFonts w:hint="default" w:ascii="Times New Roman" w:hAnsi="Times New Roman" w:cs="Times New Roman"/>
                      <w:color w:val="000000" w:themeColor="text1"/>
                      <w:sz w:val="18"/>
                      <w:szCs w:val="18"/>
                      <w:highlight w:val="none"/>
                      <w:lang w:eastAsia="en-US"/>
                      <w14:textFill>
                        <w14:solidFill>
                          <w14:schemeClr w14:val="tx1"/>
                        </w14:solidFill>
                      </w14:textFill>
                    </w:rPr>
                    <w:t>年排放量 t/a</w:t>
                  </w:r>
                </w:p>
              </w:tc>
              <w:tc>
                <w:tcPr>
                  <w:tcW w:w="1732" w:type="pct"/>
                  <w:vMerge w:val="continue"/>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p>
              </w:tc>
              <w:tc>
                <w:tcPr>
                  <w:tcW w:w="432"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r>
                    <w:rPr>
                      <w:rFonts w:hint="default" w:ascii="Times New Roman" w:hAnsi="Times New Roman" w:cs="Times New Roman"/>
                      <w:color w:val="000000" w:themeColor="text1"/>
                      <w:sz w:val="18"/>
                      <w:szCs w:val="18"/>
                      <w:highlight w:val="none"/>
                      <w:lang w:eastAsia="en-US"/>
                      <w14:textFill>
                        <w14:solidFill>
                          <w14:schemeClr w14:val="tx1"/>
                        </w14:solidFill>
                      </w14:textFill>
                    </w:rPr>
                    <w:t>排放速率kg/h</w:t>
                  </w:r>
                </w:p>
              </w:tc>
              <w:tc>
                <w:tcPr>
                  <w:tcW w:w="450"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r>
                    <w:rPr>
                      <w:rFonts w:hint="default" w:ascii="Times New Roman" w:hAnsi="Times New Roman" w:cs="Times New Roman"/>
                      <w:color w:val="000000" w:themeColor="text1"/>
                      <w:sz w:val="18"/>
                      <w:szCs w:val="18"/>
                      <w:highlight w:val="none"/>
                      <w:lang w:eastAsia="en-US"/>
                      <w14:textFill>
                        <w14:solidFill>
                          <w14:schemeClr w14:val="tx1"/>
                        </w14:solidFill>
                      </w14:textFill>
                    </w:rPr>
                    <w:t>年排放量 t/a</w:t>
                  </w:r>
                </w:p>
              </w:tc>
              <w:tc>
                <w:tcPr>
                  <w:tcW w:w="229" w:type="pct"/>
                  <w:vMerge w:val="continue"/>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eastAsia="en-US"/>
                      <w14:textFill>
                        <w14:solidFill>
                          <w14:schemeClr w14:val="tx1"/>
                        </w14:solidFill>
                      </w14:textFill>
                    </w:rPr>
                  </w:pP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30"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1#生产车间</w:t>
                  </w:r>
                </w:p>
              </w:tc>
              <w:tc>
                <w:tcPr>
                  <w:tcW w:w="475"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切割下料工序</w:t>
                  </w:r>
                </w:p>
              </w:tc>
              <w:tc>
                <w:tcPr>
                  <w:tcW w:w="326" w:type="pc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颗粒物</w:t>
                  </w:r>
                </w:p>
              </w:tc>
              <w:tc>
                <w:tcPr>
                  <w:tcW w:w="1297"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0.728</w:t>
                  </w:r>
                </w:p>
              </w:tc>
              <w:tc>
                <w:tcPr>
                  <w:tcW w:w="1146"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0.8736</w:t>
                  </w:r>
                </w:p>
              </w:tc>
              <w:tc>
                <w:tcPr>
                  <w:tcW w:w="1732" w:type="pct"/>
                  <w:vMerge w:val="restar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加强密闭，提高收集效率，</w:t>
                  </w:r>
                  <w:r>
                    <w:rPr>
                      <w:rFonts w:hint="default" w:ascii="Times New Roman" w:hAnsi="Times New Roman" w:cs="Times New Roman"/>
                      <w:color w:val="000000" w:themeColor="text1"/>
                      <w:sz w:val="18"/>
                      <w:szCs w:val="18"/>
                      <w:highlight w:val="none"/>
                      <w:lang w:eastAsia="zh-CN"/>
                      <w14:textFill>
                        <w14:solidFill>
                          <w14:schemeClr w14:val="tx1"/>
                        </w14:solidFill>
                      </w14:textFill>
                    </w:rPr>
                    <w:t>原料区和投料处</w:t>
                  </w:r>
                  <w:r>
                    <w:rPr>
                      <w:rFonts w:hint="default" w:ascii="Times New Roman" w:hAnsi="Times New Roman" w:cs="Times New Roman"/>
                      <w:color w:val="000000" w:themeColor="text1"/>
                      <w:sz w:val="18"/>
                      <w:szCs w:val="18"/>
                      <w:highlight w:val="none"/>
                      <w14:textFill>
                        <w14:solidFill>
                          <w14:schemeClr w14:val="tx1"/>
                        </w14:solidFill>
                      </w14:textFill>
                    </w:rPr>
                    <w:t>设置</w:t>
                  </w:r>
                  <w:r>
                    <w:rPr>
                      <w:rFonts w:hint="default" w:ascii="Times New Roman" w:hAnsi="Times New Roman" w:cs="Times New Roman"/>
                      <w:color w:val="000000" w:themeColor="text1"/>
                      <w:sz w:val="18"/>
                      <w:szCs w:val="18"/>
                      <w:highlight w:val="none"/>
                      <w:lang w:eastAsia="zh-CN"/>
                      <w14:textFill>
                        <w14:solidFill>
                          <w14:schemeClr w14:val="tx1"/>
                        </w14:solidFill>
                      </w14:textFill>
                    </w:rPr>
                    <w:t>喷干雾抑尘装置</w:t>
                  </w:r>
                  <w:r>
                    <w:rPr>
                      <w:rFonts w:hint="default" w:ascii="Times New Roman" w:hAnsi="Times New Roman" w:cs="Times New Roman"/>
                      <w:color w:val="000000" w:themeColor="text1"/>
                      <w:sz w:val="18"/>
                      <w:szCs w:val="18"/>
                      <w:highlight w:val="none"/>
                      <w14:textFill>
                        <w14:solidFill>
                          <w14:schemeClr w14:val="tx1"/>
                        </w14:solidFill>
                      </w14:textFill>
                    </w:rPr>
                    <w:t>，车辆出入口加装自动感应门，无车辆出入时保持关闭状态；厂区道路硬化，经常洒水，路面经常清扫</w:t>
                  </w:r>
                </w:p>
              </w:tc>
              <w:tc>
                <w:tcPr>
                  <w:tcW w:w="1144"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0.036</w:t>
                  </w:r>
                </w:p>
              </w:tc>
              <w:tc>
                <w:tcPr>
                  <w:tcW w:w="1191"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0.0437</w:t>
                  </w:r>
                </w:p>
              </w:tc>
              <w:tc>
                <w:tcPr>
                  <w:tcW w:w="229" w:type="pc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1800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138"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2#、3#</w:t>
                  </w:r>
                </w:p>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生产车间</w:t>
                  </w:r>
                </w:p>
              </w:tc>
              <w:tc>
                <w:tcPr>
                  <w:tcW w:w="1257"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焊接、打磨工序</w:t>
                  </w:r>
                </w:p>
              </w:tc>
              <w:tc>
                <w:tcPr>
                  <w:tcW w:w="86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颗粒物</w:t>
                  </w:r>
                </w:p>
              </w:tc>
              <w:tc>
                <w:tcPr>
                  <w:tcW w:w="1297"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0.956</w:t>
                  </w:r>
                </w:p>
              </w:tc>
              <w:tc>
                <w:tcPr>
                  <w:tcW w:w="1146"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1.147</w:t>
                  </w:r>
                </w:p>
              </w:tc>
              <w:tc>
                <w:tcPr>
                  <w:tcW w:w="1732" w:type="pct"/>
                  <w:vMerge w:val="continue"/>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144"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0.048</w:t>
                  </w:r>
                </w:p>
              </w:tc>
              <w:tc>
                <w:tcPr>
                  <w:tcW w:w="1191"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0.0574</w:t>
                  </w:r>
                </w:p>
              </w:tc>
              <w:tc>
                <w:tcPr>
                  <w:tcW w:w="606"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1200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30"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5#生产车间</w:t>
                  </w:r>
                </w:p>
              </w:tc>
              <w:tc>
                <w:tcPr>
                  <w:tcW w:w="47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下料工序</w:t>
                  </w:r>
                </w:p>
              </w:tc>
              <w:tc>
                <w:tcPr>
                  <w:tcW w:w="326" w:type="pc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颗粒物</w:t>
                  </w:r>
                </w:p>
              </w:tc>
              <w:tc>
                <w:tcPr>
                  <w:tcW w:w="1297" w:type="dxa"/>
                  <w:noWrap w:val="0"/>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vertAlign w:val="baseline"/>
                      <w:lang w:val="en-US" w:eastAsia="zh-CN" w:bidi="ar-SA"/>
                      <w14:textFill>
                        <w14:solidFill>
                          <w14:schemeClr w14:val="tx1"/>
                        </w14:solidFill>
                      </w14:textFill>
                    </w:rPr>
                  </w:pPr>
                  <w:r>
                    <w:rPr>
                      <w:rFonts w:hint="eastAsia" w:asci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0.395</w:t>
                  </w:r>
                </w:p>
              </w:tc>
              <w:tc>
                <w:tcPr>
                  <w:tcW w:w="1146" w:type="dxa"/>
                  <w:noWrap w:val="0"/>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vertAlign w:val="baseline"/>
                      <w:lang w:val="en-US" w:eastAsia="zh-CN" w:bidi="ar-SA"/>
                      <w14:textFill>
                        <w14:solidFill>
                          <w14:schemeClr w14:val="tx1"/>
                        </w14:solidFill>
                      </w14:textFill>
                    </w:rPr>
                  </w:pPr>
                  <w:r>
                    <w:rPr>
                      <w:rFonts w:hint="eastAsia" w:asci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0.4737</w:t>
                  </w:r>
                </w:p>
              </w:tc>
              <w:tc>
                <w:tcPr>
                  <w:tcW w:w="1732" w:type="pct"/>
                  <w:vMerge w:val="continue"/>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143" w:type="dxa"/>
                  <w:noWrap w:val="0"/>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0.02</w:t>
                  </w:r>
                </w:p>
              </w:tc>
              <w:tc>
                <w:tcPr>
                  <w:tcW w:w="1191" w:type="dxa"/>
                  <w:noWrap w:val="0"/>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eastAsia="宋体" w:cs="Times New Roman"/>
                      <w:b w:val="0"/>
                      <w:bCs w:val="0"/>
                      <w:color w:val="000000" w:themeColor="text1"/>
                      <w:sz w:val="18"/>
                      <w:szCs w:val="18"/>
                      <w:highlight w:val="none"/>
                      <w:u w:val="none"/>
                      <w:vertAlign w:val="baseline"/>
                      <w:lang w:val="en-US" w:eastAsia="zh-CN"/>
                      <w14:textFill>
                        <w14:solidFill>
                          <w14:schemeClr w14:val="tx1"/>
                        </w14:solidFill>
                      </w14:textFill>
                    </w:rPr>
                    <w:t>0.0237</w:t>
                  </w:r>
                </w:p>
              </w:tc>
              <w:tc>
                <w:tcPr>
                  <w:tcW w:w="606"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Style w:val="66"/>
                      <w:rFonts w:hint="default" w:ascii="Times New Roman" w:hAnsi="Times New Roman" w:cs="Times New Roman"/>
                      <w:color w:val="000000" w:themeColor="text1"/>
                      <w:spacing w:val="0"/>
                      <w:sz w:val="18"/>
                      <w:szCs w:val="18"/>
                      <w:highlight w:val="cyan"/>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1200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30"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6#生产车间</w:t>
                  </w:r>
                </w:p>
              </w:tc>
              <w:tc>
                <w:tcPr>
                  <w:tcW w:w="47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焊接工序</w:t>
                  </w:r>
                </w:p>
              </w:tc>
              <w:tc>
                <w:tcPr>
                  <w:tcW w:w="326" w:type="pc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颗粒物</w:t>
                  </w:r>
                </w:p>
              </w:tc>
              <w:tc>
                <w:tcPr>
                  <w:tcW w:w="1297" w:type="dxa"/>
                  <w:noWrap w:val="0"/>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0.0093</w:t>
                  </w:r>
                </w:p>
              </w:tc>
              <w:tc>
                <w:tcPr>
                  <w:tcW w:w="1146" w:type="dxa"/>
                  <w:noWrap w:val="0"/>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0.0111</w:t>
                  </w:r>
                </w:p>
              </w:tc>
              <w:tc>
                <w:tcPr>
                  <w:tcW w:w="1732" w:type="pct"/>
                  <w:vMerge w:val="continue"/>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143" w:type="dxa"/>
                  <w:noWrap w:val="0"/>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0.0005</w:t>
                  </w:r>
                </w:p>
              </w:tc>
              <w:tc>
                <w:tcPr>
                  <w:tcW w:w="1191" w:type="dxa"/>
                  <w:noWrap w:val="0"/>
                  <w:vAlign w:val="center"/>
                </w:tcPr>
                <w:p>
                  <w:pPr>
                    <w:pStyle w:val="26"/>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0.0006</w:t>
                  </w:r>
                </w:p>
              </w:tc>
              <w:tc>
                <w:tcPr>
                  <w:tcW w:w="606"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cyan"/>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1200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30" w:type="pct"/>
                  <w:vMerge w:val="restar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4#酸洗车间</w:t>
                  </w:r>
                </w:p>
              </w:tc>
              <w:tc>
                <w:tcPr>
                  <w:tcW w:w="475" w:type="pct"/>
                  <w:vMerge w:val="restar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酸洗工序</w:t>
                  </w:r>
                </w:p>
              </w:tc>
              <w:tc>
                <w:tcPr>
                  <w:tcW w:w="326"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氢氟酸雾</w:t>
                  </w:r>
                </w:p>
              </w:tc>
              <w:tc>
                <w:tcPr>
                  <w:tcW w:w="1297"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0.002</w:t>
                  </w:r>
                </w:p>
              </w:tc>
              <w:tc>
                <w:tcPr>
                  <w:tcW w:w="1146"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0.0045</w:t>
                  </w:r>
                </w:p>
              </w:tc>
              <w:tc>
                <w:tcPr>
                  <w:tcW w:w="1732" w:type="pct"/>
                  <w:vMerge w:val="restar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加强密闭，提高收集效率</w:t>
                  </w:r>
                </w:p>
              </w:tc>
              <w:tc>
                <w:tcPr>
                  <w:tcW w:w="1144"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0.0002</w:t>
                  </w:r>
                </w:p>
              </w:tc>
              <w:tc>
                <w:tcPr>
                  <w:tcW w:w="1191"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0.0005</w:t>
                  </w:r>
                </w:p>
              </w:tc>
              <w:tc>
                <w:tcPr>
                  <w:tcW w:w="229" w:type="pct"/>
                  <w:vMerge w:val="restart"/>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2400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30" w:type="pct"/>
                  <w:vMerge w:val="continue"/>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p>
              </w:tc>
              <w:tc>
                <w:tcPr>
                  <w:tcW w:w="475" w:type="pct"/>
                  <w:vMerge w:val="continue"/>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p>
              </w:tc>
              <w:tc>
                <w:tcPr>
                  <w:tcW w:w="326"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硝酸雾（NOx计）</w:t>
                  </w:r>
                </w:p>
              </w:tc>
              <w:tc>
                <w:tcPr>
                  <w:tcW w:w="1297"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 xml:space="preserve">0.016 </w:t>
                  </w:r>
                </w:p>
              </w:tc>
              <w:tc>
                <w:tcPr>
                  <w:tcW w:w="1146"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0.0378</w:t>
                  </w:r>
                </w:p>
              </w:tc>
              <w:tc>
                <w:tcPr>
                  <w:tcW w:w="1732" w:type="pct"/>
                  <w:vMerge w:val="continue"/>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144"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i w:val="0"/>
                      <w:iCs w:val="0"/>
                      <w:color w:val="000000" w:themeColor="text1"/>
                      <w:kern w:val="0"/>
                      <w:sz w:val="18"/>
                      <w:szCs w:val="18"/>
                      <w:highlight w:val="none"/>
                      <w:u w:val="none"/>
                      <w:lang w:val="en-US" w:eastAsia="zh-CN" w:bidi="ar"/>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 xml:space="preserve">0.002 </w:t>
                  </w:r>
                </w:p>
              </w:tc>
              <w:tc>
                <w:tcPr>
                  <w:tcW w:w="1191"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0.0038</w:t>
                  </w:r>
                </w:p>
              </w:tc>
              <w:tc>
                <w:tcPr>
                  <w:tcW w:w="229"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Style w:val="66"/>
                      <w:rFonts w:hint="default" w:ascii="Times New Roman" w:hAnsi="Times New Roman" w:cs="Times New Roman"/>
                      <w:color w:val="000000" w:themeColor="text1"/>
                      <w:spacing w:val="0"/>
                      <w:sz w:val="18"/>
                      <w:szCs w:val="18"/>
                      <w:highlight w:val="cyan"/>
                      <w:lang w:val="en-US" w:eastAsia="zh-CN"/>
                      <w14:textFill>
                        <w14:solidFill>
                          <w14:schemeClr w14:val="tx1"/>
                        </w14:solidFill>
                      </w14:textFill>
                    </w:rPr>
                  </w:pPr>
                </w:p>
              </w:tc>
            </w:tr>
          </w:tbl>
          <w:p>
            <w:pPr>
              <w:pStyle w:val="20"/>
              <w:ind w:left="0" w:leftChars="0" w:firstLine="0" w:firstLineChars="0"/>
              <w:rPr>
                <w:rFonts w:hint="default" w:ascii="Times New Roman" w:hAnsi="Times New Roman" w:eastAsia="宋体" w:cs="Times New Roman"/>
                <w:color w:val="000000" w:themeColor="text1"/>
                <w:highlight w:val="cyan"/>
                <w:vertAlign w:val="baseline"/>
                <w:lang w:eastAsia="zh-CN"/>
                <w14:textFill>
                  <w14:solidFill>
                    <w14:schemeClr w14:val="tx1"/>
                  </w14:solidFill>
                </w14:textFill>
              </w:rPr>
            </w:pPr>
          </w:p>
        </w:tc>
      </w:tr>
    </w:tbl>
    <w:p>
      <w:pPr>
        <w:pStyle w:val="20"/>
        <w:rPr>
          <w:rFonts w:hint="default" w:ascii="Times New Roman" w:hAnsi="Times New Roman" w:cs="Times New Roman"/>
          <w:color w:val="000000" w:themeColor="text1"/>
          <w:highlight w:val="cyan"/>
          <w14:textFill>
            <w14:solidFill>
              <w14:schemeClr w14:val="tx1"/>
            </w14:solidFill>
          </w14:textFill>
        </w:rPr>
        <w:sectPr>
          <w:pgSz w:w="16840" w:h="11907" w:orient="landscape"/>
          <w:pgMar w:top="1440" w:right="1800" w:bottom="1440" w:left="1800"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83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运营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期环</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境影</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响和</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保护</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color w:val="000000" w:themeColor="text1"/>
                <w:highlight w:val="cyan"/>
                <w:lang w:val="en-US" w:eastAsia="zh-CN"/>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措施</w:t>
            </w:r>
          </w:p>
        </w:tc>
        <w:tc>
          <w:tcPr>
            <w:tcW w:w="8282" w:type="dxa"/>
          </w:tcPr>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）废气处理措施可行性分析</w:t>
            </w:r>
          </w:p>
          <w:p>
            <w:pPr>
              <w:pStyle w:val="2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firstLine="422" w:firstLineChars="200"/>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fldChar w:fldCharType="begin"/>
            </w: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instrText xml:space="preserve"> = 1 \* GB3 \* MERGEFORMAT </w:instrText>
            </w: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fldChar w:fldCharType="separate"/>
            </w:r>
            <w:r>
              <w:rPr>
                <w:rFonts w:hint="default" w:ascii="Times New Roman" w:hAnsi="Times New Roman" w:cs="Times New Roman"/>
                <w:b/>
                <w:bCs/>
                <w:color w:val="000000" w:themeColor="text1"/>
                <w:sz w:val="21"/>
                <w:szCs w:val="21"/>
                <w14:textFill>
                  <w14:solidFill>
                    <w14:schemeClr w14:val="tx1"/>
                  </w14:solidFill>
                </w14:textFill>
              </w:rPr>
              <w:t>①</w:t>
            </w: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fldChar w:fldCharType="end"/>
            </w: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切割、打磨、焊接工序颗粒物废气治理措施可行性分析</w:t>
            </w:r>
          </w:p>
          <w:p>
            <w:pPr>
              <w:pStyle w:val="2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本项目属于金属结构制造项目，针对该行业目前尚未发布排污许可证申请技术规范。</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根据调查，目前常见有颗粒物废气处理措施包括布袋除尘器、静电除尘器、电袋复合除尘器、湿式除尘器等，</w:t>
            </w:r>
            <w:r>
              <w:rPr>
                <w:rFonts w:hint="default" w:ascii="Times New Roman" w:hAnsi="Times New Roman" w:cs="Times New Roman"/>
                <w:color w:val="000000" w:themeColor="text1"/>
                <w:sz w:val="21"/>
                <w:szCs w:val="21"/>
                <w:highlight w:val="none"/>
                <w:lang w:eastAsia="zh-CN"/>
                <w14:textFill>
                  <w14:solidFill>
                    <w14:schemeClr w14:val="tx1"/>
                  </w14:solidFill>
                </w14:textFill>
              </w:rPr>
              <w:t>具体</w:t>
            </w:r>
            <w:r>
              <w:rPr>
                <w:rFonts w:hint="default" w:ascii="Times New Roman" w:hAnsi="Times New Roman" w:cs="Times New Roman"/>
                <w:color w:val="000000" w:themeColor="text1"/>
                <w:sz w:val="21"/>
                <w:szCs w:val="21"/>
                <w:highlight w:val="none"/>
                <w14:textFill>
                  <w14:solidFill>
                    <w14:schemeClr w14:val="tx1"/>
                  </w14:solidFill>
                </w14:textFill>
              </w:rPr>
              <w:t>对比情况详见</w:t>
            </w:r>
            <w:r>
              <w:rPr>
                <w:rFonts w:hint="default" w:ascii="Times New Roman" w:hAnsi="Times New Roman" w:cs="Times New Roman"/>
                <w:color w:val="000000" w:themeColor="text1"/>
                <w:sz w:val="21"/>
                <w:szCs w:val="21"/>
                <w:highlight w:val="none"/>
                <w:lang w:eastAsia="zh-CN"/>
                <w14:textFill>
                  <w14:solidFill>
                    <w14:schemeClr w14:val="tx1"/>
                  </w14:solidFill>
                </w14:textFill>
              </w:rPr>
              <w:t>下表</w:t>
            </w:r>
            <w:r>
              <w:rPr>
                <w:rFonts w:hint="default" w:ascii="Times New Roman" w:hAnsi="Times New Roman" w:cs="Times New Roman"/>
                <w:color w:val="000000" w:themeColor="text1"/>
                <w:sz w:val="21"/>
                <w:szCs w:val="21"/>
                <w:highlight w:val="none"/>
                <w14:textFill>
                  <w14:solidFill>
                    <w14:schemeClr w14:val="tx1"/>
                  </w14:solidFill>
                </w14:textFill>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常用颗粒物废气方法对比情况一览表</w:t>
            </w:r>
          </w:p>
          <w:tbl>
            <w:tblPr>
              <w:tblStyle w:val="21"/>
              <w:tblW w:w="4999"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721"/>
              <w:gridCol w:w="3113"/>
              <w:gridCol w:w="351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治理</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内容</w:t>
                  </w:r>
                </w:p>
              </w:tc>
              <w:tc>
                <w:tcPr>
                  <w:tcW w:w="44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治理</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方法</w:t>
                  </w:r>
                </w:p>
              </w:tc>
              <w:tc>
                <w:tcPr>
                  <w:tcW w:w="192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主要优点</w:t>
                  </w:r>
                </w:p>
              </w:tc>
              <w:tc>
                <w:tcPr>
                  <w:tcW w:w="217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主要缺点</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6"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颗粒物废气</w:t>
                  </w:r>
                </w:p>
              </w:tc>
              <w:tc>
                <w:tcPr>
                  <w:tcW w:w="44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布袋除尘器</w:t>
                  </w:r>
                </w:p>
              </w:tc>
              <w:tc>
                <w:tcPr>
                  <w:tcW w:w="192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布袋除尘器的除尘效率高，能除掉微细的尘粒，对处理气量变化的适应性强，可捕捉的粉尘粒径范围大，最适宜处理有回收价值的细小颗粒物，结构比较简单，运行也比较稳定。</w:t>
                  </w:r>
                </w:p>
              </w:tc>
              <w:tc>
                <w:tcPr>
                  <w:tcW w:w="217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eastAsia="Arial" w:cs="Times New Roman"/>
                      <w:i w:val="0"/>
                      <w:iCs w:val="0"/>
                      <w:caps w:val="0"/>
                      <w:color w:val="000000" w:themeColor="text1"/>
                      <w:spacing w:val="0"/>
                      <w:sz w:val="18"/>
                      <w:szCs w:val="18"/>
                      <w:highlight w:val="none"/>
                      <w:shd w:val="clear" w:fill="FFFFFF"/>
                      <w14:textFill>
                        <w14:solidFill>
                          <w14:schemeClr w14:val="tx1"/>
                        </w14:solidFill>
                      </w14:textFill>
                    </w:rPr>
                    <w:t>布袋除尘器的一次投资费用较高，允许使用的温度低（高温易燃烧），操作时气体的温度需高于露点温度，否则，不仅会增加除尘器的阻力，甚至由于湿尘粘附在除尘滤袋表面而使除尘器不能正常工作。</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6"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44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静电除尘器</w:t>
                  </w:r>
                </w:p>
              </w:tc>
              <w:tc>
                <w:tcPr>
                  <w:tcW w:w="192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静电除尘器与其他除尘设备相比，自动化程度高，耗能少，除尘效率高，适用于除去烟气中0.01~50μm的粉尘，而且可用于烟气温度高、压力大的场合。实践表明，处理的烟气量越大，使用静电除尘器的投资和运行费用越经济。</w:t>
                  </w:r>
                </w:p>
              </w:tc>
              <w:tc>
                <w:tcPr>
                  <w:tcW w:w="217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静电除尘器的设备一次投资大、设备复杂、占地面积大，对操作、运行、维护管理都有较严格的要求，清灰会造成粉尘二次飞扬。同时，对粉尘的电阻比也有要求。目前，静电除尘器主要用于处理气量大，对排放浓度要求较严格，又有一定维护管理水平的大企业。</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6"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44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电袋复合除尘器</w:t>
                  </w:r>
                </w:p>
              </w:tc>
              <w:tc>
                <w:tcPr>
                  <w:tcW w:w="192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不受煤种和粉尘性质的限制，使用范围广，可有效收集高比电阻粉尘、微细粉尘、高浓度粉尘、超轻粉尘。</w:t>
                  </w:r>
                </w:p>
              </w:tc>
              <w:tc>
                <w:tcPr>
                  <w:tcW w:w="217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前级电除尘区易产生臭氧，滤袋很容易被氧化，造成布袋纤维强度下降，甚至断裂，过滤性能随之降低。其缺点与电除尘器大体相同，电场区除尘效果不好会导致布袋磨损严重。</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6"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44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湿式除尘器</w:t>
                  </w:r>
                </w:p>
              </w:tc>
              <w:tc>
                <w:tcPr>
                  <w:tcW w:w="192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湿式除尘器制造成本相对较低，用水作为除尘介质，除尘效率一般可达95%以上。对于化工、喷漆、喷釉、颜料等行业产生的带有水份、粘性和刺激性气味的灰尘是最理想的除尘方式。</w:t>
                  </w:r>
                </w:p>
              </w:tc>
              <w:tc>
                <w:tcPr>
                  <w:tcW w:w="217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能耗高，用水量比较大，泥浆和废水需进行处理，设备易腐蚀。寒冷地区要注意防冻，处理高温烟气时，会形成白烟，不利于扩散。湿式除尘器在水箱中加入脱硫剂可作为脱硫除尘器使用。</w:t>
                  </w:r>
                </w:p>
              </w:tc>
            </w:tr>
          </w:tbl>
          <w:p>
            <w:pPr>
              <w:pStyle w:val="11"/>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cs="Times New Roman"/>
                <w:color w:val="000000" w:themeColor="text1"/>
                <w:spacing w:val="-4"/>
                <w:kern w:val="0"/>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由上表可知，几种方法各有优缺点，适用于不同的情况，本项目产生的颗粒物主要成分为金属颗粒，产生浓度</w:t>
            </w: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约</w:t>
            </w: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在</w:t>
            </w: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3000</w:t>
            </w: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mg/m</w:t>
            </w:r>
            <w:r>
              <w:rPr>
                <w:rFonts w:hint="default" w:ascii="Times New Roman" w:hAnsi="Times New Roman" w:cs="Times New Roman"/>
                <w:b w:val="0"/>
                <w:bCs w:val="0"/>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5000</w:t>
            </w: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mg/m</w:t>
            </w:r>
            <w:r>
              <w:rPr>
                <w:rFonts w:hint="default" w:ascii="Times New Roman" w:hAnsi="Times New Roman" w:cs="Times New Roman"/>
                <w:b w:val="0"/>
                <w:bCs w:val="0"/>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，根据项目颗粒物排放特性，综合考虑本次工程产生颗粒物废气均经采用脉冲袋式除尘器进行处理，脉冲袋式除尘器采用覆膜滤袋。</w:t>
            </w:r>
            <w:r>
              <w:rPr>
                <w:rFonts w:hint="default" w:ascii="Times New Roman" w:hAnsi="Times New Roman" w:cs="Times New Roman"/>
                <w:color w:val="000000" w:themeColor="text1"/>
                <w:spacing w:val="-4"/>
                <w:kern w:val="0"/>
                <w:sz w:val="21"/>
                <w:szCs w:val="21"/>
                <w14:textFill>
                  <w14:solidFill>
                    <w14:schemeClr w14:val="tx1"/>
                  </w14:solidFill>
                </w14:textFill>
              </w:rPr>
              <w:t>根据</w:t>
            </w:r>
            <w:r>
              <w:rPr>
                <w:rFonts w:hint="default" w:ascii="Times New Roman" w:hAnsi="Times New Roman" w:cs="Times New Roman"/>
                <w:bCs/>
                <w:color w:val="000000" w:themeColor="text1"/>
                <w:kern w:val="0"/>
                <w:sz w:val="21"/>
                <w:szCs w:val="21"/>
                <w14:textFill>
                  <w14:solidFill>
                    <w14:schemeClr w14:val="tx1"/>
                  </w14:solidFill>
                </w14:textFill>
              </w:rPr>
              <w:t>《废气处理工程技术手册》</w:t>
            </w:r>
            <w:r>
              <w:rPr>
                <w:rFonts w:hint="default" w:ascii="Times New Roman" w:hAnsi="Times New Roman" w:cs="Times New Roman"/>
                <w:color w:val="000000" w:themeColor="text1"/>
                <w:spacing w:val="-4"/>
                <w:sz w:val="21"/>
                <w:szCs w:val="21"/>
                <w14:textFill>
                  <w14:solidFill>
                    <w14:schemeClr w14:val="tx1"/>
                  </w14:solidFill>
                </w14:textFill>
              </w:rPr>
              <w:t>（王纯、张殿印 主编）中“颗粒污染物的控制技术与装置”相关内容</w:t>
            </w:r>
            <w:r>
              <w:rPr>
                <w:rFonts w:hint="default" w:ascii="Times New Roman" w:hAnsi="Times New Roman" w:cs="Times New Roman"/>
                <w:bCs/>
                <w:color w:val="000000" w:themeColor="text1"/>
                <w:kern w:val="0"/>
                <w:sz w:val="21"/>
                <w:szCs w:val="21"/>
                <w14:textFill>
                  <w14:solidFill>
                    <w14:schemeClr w14:val="tx1"/>
                  </w14:solidFill>
                </w14:textFill>
              </w:rPr>
              <w:t>，采用覆膜滤袋的袋式除尘器对颗粒物的去除效率一般可达到99%，甚至可以达到99.99%以上，可保证颗粒物稳定达标排放。</w:t>
            </w:r>
          </w:p>
          <w:p>
            <w:pPr>
              <w:pStyle w:val="2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firstLine="420" w:firstLineChars="200"/>
              <w:jc w:val="both"/>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脉冲袋式除尘器是将含尘气体由灰斗(或下部宽敞开式法兰)进入过滤室，较粗颗粒直接落入灰斗或灰仓，灰尘气体经滤袋过滤，粉尘阻留于滤袋表面，净气经袋口到净气室、由风机排入大气，当滤袋表面的粉尘不断增加，导致设备阻力上升至设定值时，时间继电器（或微差压控制器）输出信号，程控仪开始工作，逐个开启脉冲阀，使压缩空气通过喷口对滤袋进行喷吹清灰，使滤袋突然膨胀，在反向气流的作用下，附于滤袋表面的粉尘迅速脱离滤袋落入灰斗（或灰仓）内，粉尘由卸灰阀排出。脉冲袋式除尘器无需预除尘设备，能一次性处理高达1000mg/m</w:t>
            </w:r>
            <w:r>
              <w:rPr>
                <w:rFonts w:hint="default" w:ascii="Times New Roman" w:hAnsi="Times New Roman" w:cs="Times New Roman"/>
                <w:b w:val="0"/>
                <w:bCs w:val="0"/>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浓度的烟尘。</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jc w:val="both"/>
              <w:textAlignment w:val="auto"/>
              <w:rPr>
                <w:rFonts w:hint="default" w:ascii="Times New Roman" w:hAnsi="Times New Roman" w:cs="Times New Roman"/>
                <w:b/>
                <w:bCs/>
                <w:color w:val="000000" w:themeColor="text1"/>
                <w:kern w:val="0"/>
                <w:sz w:val="21"/>
                <w:szCs w:val="21"/>
                <w:highlight w:val="none"/>
                <w:lang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综上所述，本项目产生的颗粒物废气采用脉冲袋式除尘器处理属于可行技术。</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2" w:firstLineChars="200"/>
              <w:jc w:val="both"/>
              <w:textAlignment w:val="auto"/>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1"/>
                <w:szCs w:val="21"/>
                <w:highlight w:val="none"/>
                <w:lang w:eastAsia="zh-CN"/>
                <w14:textFill>
                  <w14:solidFill>
                    <w14:schemeClr w14:val="tx1"/>
                  </w14:solidFill>
                </w14:textFill>
              </w:rPr>
              <w:fldChar w:fldCharType="begin"/>
            </w:r>
            <w:r>
              <w:rPr>
                <w:rFonts w:hint="default" w:ascii="Times New Roman" w:hAnsi="Times New Roman" w:cs="Times New Roman"/>
                <w:b/>
                <w:bCs/>
                <w:color w:val="000000" w:themeColor="text1"/>
                <w:kern w:val="0"/>
                <w:sz w:val="21"/>
                <w:szCs w:val="21"/>
                <w:highlight w:val="none"/>
                <w:lang w:eastAsia="zh-CN"/>
                <w14:textFill>
                  <w14:solidFill>
                    <w14:schemeClr w14:val="tx1"/>
                  </w14:solidFill>
                </w14:textFill>
              </w:rPr>
              <w:instrText xml:space="preserve"> = 2 \* GB3 \* MERGEFORMAT </w:instrText>
            </w:r>
            <w:r>
              <w:rPr>
                <w:rFonts w:hint="default" w:ascii="Times New Roman" w:hAnsi="Times New Roman" w:cs="Times New Roman"/>
                <w:b/>
                <w:bCs/>
                <w:color w:val="000000" w:themeColor="text1"/>
                <w:kern w:val="0"/>
                <w:sz w:val="21"/>
                <w:szCs w:val="21"/>
                <w:highlight w:val="none"/>
                <w:lang w:eastAsia="zh-CN"/>
                <w14:textFill>
                  <w14:solidFill>
                    <w14:schemeClr w14:val="tx1"/>
                  </w14:solidFill>
                </w14:textFill>
              </w:rPr>
              <w:fldChar w:fldCharType="separate"/>
            </w:r>
            <w:r>
              <w:rPr>
                <w:rFonts w:hint="default" w:ascii="Times New Roman" w:hAnsi="Times New Roman" w:cs="Times New Roman"/>
                <w:b/>
                <w:bCs/>
                <w:color w:val="000000" w:themeColor="text1"/>
                <w:highlight w:val="none"/>
                <w14:textFill>
                  <w14:solidFill>
                    <w14:schemeClr w14:val="tx1"/>
                  </w14:solidFill>
                </w14:textFill>
              </w:rPr>
              <w:t>②</w:t>
            </w:r>
            <w:r>
              <w:rPr>
                <w:rFonts w:hint="default" w:ascii="Times New Roman" w:hAnsi="Times New Roman" w:cs="Times New Roman"/>
                <w:b/>
                <w:bCs/>
                <w:color w:val="000000" w:themeColor="text1"/>
                <w:kern w:val="0"/>
                <w:sz w:val="21"/>
                <w:szCs w:val="21"/>
                <w:highlight w:val="none"/>
                <w:lang w:eastAsia="zh-CN"/>
                <w14:textFill>
                  <w14:solidFill>
                    <w14:schemeClr w14:val="tx1"/>
                  </w14:solidFill>
                </w14:textFill>
              </w:rPr>
              <w:fldChar w:fldCharType="end"/>
            </w: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加热炉燃气废气治理措施依托可行性分析</w:t>
            </w:r>
          </w:p>
          <w:p>
            <w:pPr>
              <w:keepNext w:val="0"/>
              <w:keepLines w:val="0"/>
              <w:pageBreakBefore w:val="0"/>
              <w:widowControl w:val="0"/>
              <w:kinsoku/>
              <w:wordWrap/>
              <w:overflowPunct/>
              <w:topLinePunct w:val="0"/>
              <w:autoSpaceDE/>
              <w:autoSpaceDN/>
              <w:bidi w:val="0"/>
              <w:adjustRightInd/>
              <w:snapToGrid/>
              <w:spacing w:line="360" w:lineRule="auto"/>
              <w:ind w:left="6" w:firstLine="422" w:firstLineChars="200"/>
              <w:textAlignment w:val="auto"/>
              <w:rPr>
                <w:rFonts w:hint="default" w:ascii="Times New Roman" w:hAnsi="Times New Roman" w:cs="Times New Roman"/>
                <w:b/>
                <w:bCs/>
                <w:color w:val="000000" w:themeColor="text1"/>
                <w:kern w:val="0"/>
                <w:sz w:val="21"/>
                <w:szCs w:val="21"/>
                <w:highlight w:val="none"/>
                <w:u w:val="single"/>
                <w:lang w:val="en-US" w:eastAsia="zh-CN"/>
                <w14:textFill>
                  <w14:solidFill>
                    <w14:schemeClr w14:val="tx1"/>
                  </w14:solidFill>
                </w14:textFill>
              </w:rPr>
            </w:pPr>
            <w:r>
              <w:rPr>
                <w:rFonts w:hint="default" w:ascii="Times New Roman" w:hAnsi="Times New Roman" w:cs="Times New Roman"/>
                <w:b/>
                <w:bCs/>
                <w:color w:val="000000" w:themeColor="text1"/>
                <w:highlight w:val="none"/>
                <w:u w:val="single"/>
                <w:lang w:val="en-US" w:eastAsia="zh-CN"/>
                <w14:textFill>
                  <w14:solidFill>
                    <w14:schemeClr w14:val="tx1"/>
                  </w14:solidFill>
                </w14:textFill>
              </w:rPr>
              <w:t>经与建设单位沟通，</w:t>
            </w:r>
            <w:r>
              <w:rPr>
                <w:rFonts w:hint="eastAsia" w:cs="Times New Roman"/>
                <w:b/>
                <w:bCs/>
                <w:color w:val="000000" w:themeColor="text1"/>
                <w:highlight w:val="none"/>
                <w:u w:val="single"/>
                <w:lang w:val="en-US" w:eastAsia="zh-CN"/>
                <w14:textFill>
                  <w14:solidFill>
                    <w14:schemeClr w14:val="tx1"/>
                  </w14:solidFill>
                </w14:textFill>
              </w:rPr>
              <w:t>现有</w:t>
            </w:r>
            <w:r>
              <w:rPr>
                <w:rFonts w:hint="default" w:ascii="Times New Roman" w:hAnsi="Times New Roman" w:cs="Times New Roman"/>
                <w:b/>
                <w:bCs/>
                <w:color w:val="000000" w:themeColor="text1"/>
                <w:highlight w:val="none"/>
                <w:u w:val="single"/>
                <w:lang w:val="en-US" w:eastAsia="zh-CN"/>
                <w14:textFill>
                  <w14:solidFill>
                    <w14:schemeClr w14:val="tx1"/>
                  </w14:solidFill>
                </w14:textFill>
              </w:rPr>
              <w:t>设置的</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1套</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选择性催化还原（SCR）脱硝</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装置</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设计时考虑了后期扩建情况，因此设计时即预留部分余量</w:t>
            </w:r>
            <w:r>
              <w:rPr>
                <w:rFonts w:hint="eastAsia" w:cs="Times New Roman"/>
                <w:b/>
                <w:bCs/>
                <w:color w:val="000000" w:themeColor="text1"/>
                <w:highlight w:val="none"/>
                <w:u w:val="single"/>
                <w:lang w:val="en-US" w:eastAsia="zh-CN"/>
                <w14:textFill>
                  <w14:solidFill>
                    <w14:schemeClr w14:val="tx1"/>
                  </w14:solidFill>
                </w14:textFill>
              </w:rPr>
              <w:t>，</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根据企业提供的已建SCR脱销装置设计资料，目前该SCR脱销装置最大废气处理量约为24000</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m</w:t>
            </w:r>
            <w:r>
              <w:rPr>
                <w:rFonts w:hint="default" w:ascii="Times New Roman" w:hAnsi="Times New Roman" w:eastAsia="宋体" w:cs="Times New Roman"/>
                <w:b/>
                <w:bCs/>
                <w:color w:val="000000" w:themeColor="text1"/>
                <w:kern w:val="0"/>
                <w:sz w:val="21"/>
                <w:szCs w:val="21"/>
                <w:highlight w:val="none"/>
                <w:u w:val="single"/>
                <w:vertAlign w:val="superscript"/>
                <w:lang w:val="en-US" w:eastAsia="zh-CN" w:bidi="ar-SA"/>
                <w14:textFill>
                  <w14:solidFill>
                    <w14:schemeClr w14:val="tx1"/>
                  </w14:solidFill>
                </w14:textFill>
              </w:rPr>
              <w:t>3</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/h</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，装置配套设置1台</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12000~</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25</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000</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m</w:t>
            </w:r>
            <w:r>
              <w:rPr>
                <w:rFonts w:hint="default" w:ascii="Times New Roman" w:hAnsi="Times New Roman" w:eastAsia="宋体" w:cs="Times New Roman"/>
                <w:b/>
                <w:bCs/>
                <w:color w:val="000000" w:themeColor="text1"/>
                <w:kern w:val="0"/>
                <w:sz w:val="21"/>
                <w:szCs w:val="21"/>
                <w:highlight w:val="none"/>
                <w:u w:val="single"/>
                <w:vertAlign w:val="superscript"/>
                <w:lang w:val="en-US" w:eastAsia="zh-CN" w:bidi="ar-SA"/>
                <w14:textFill>
                  <w14:solidFill>
                    <w14:schemeClr w14:val="tx1"/>
                  </w14:solidFill>
                </w14:textFill>
              </w:rPr>
              <w:t>3</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/h</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变频风机，同时</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结合现有工程监测结果，现有工程燃气炉废气量目前最大约为14500m</w:t>
            </w:r>
            <w:r>
              <w:rPr>
                <w:rFonts w:hint="default" w:ascii="Times New Roman" w:hAnsi="Times New Roman" w:cs="Times New Roman"/>
                <w:b/>
                <w:bCs/>
                <w:color w:val="000000" w:themeColor="text1"/>
                <w:kern w:val="0"/>
                <w:sz w:val="21"/>
                <w:szCs w:val="21"/>
                <w:highlight w:val="none"/>
                <w:u w:val="single"/>
                <w:vertAlign w:val="superscript"/>
                <w:lang w:val="en-US" w:eastAsia="zh-CN" w:bidi="ar-SA"/>
                <w14:textFill>
                  <w14:solidFill>
                    <w14:schemeClr w14:val="tx1"/>
                  </w14:solidFill>
                </w14:textFill>
              </w:rPr>
              <w:t>3</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/h，</w:t>
            </w:r>
            <w:r>
              <w:rPr>
                <w:rFonts w:hint="default" w:ascii="Times New Roman" w:hAnsi="Times New Roman" w:cs="Times New Roman"/>
                <w:b/>
                <w:bCs/>
                <w:color w:val="000000" w:themeColor="text1"/>
                <w:kern w:val="0"/>
                <w:sz w:val="21"/>
                <w:szCs w:val="21"/>
                <w:highlight w:val="none"/>
                <w:u w:val="single"/>
                <w:lang w:val="en-US" w:eastAsia="zh-CN"/>
                <w14:textFill>
                  <w14:solidFill>
                    <w14:schemeClr w14:val="tx1"/>
                  </w14:solidFill>
                </w14:textFill>
              </w:rPr>
              <w:t>废气中各污染物最大浓度为颗粒物5mg/m</w:t>
            </w:r>
            <w:r>
              <w:rPr>
                <w:rFonts w:hint="default" w:ascii="Times New Roman" w:hAnsi="Times New Roman" w:cs="Times New Roman"/>
                <w:b/>
                <w:bCs/>
                <w:color w:val="000000" w:themeColor="text1"/>
                <w:kern w:val="0"/>
                <w:sz w:val="21"/>
                <w:szCs w:val="21"/>
                <w:highlight w:val="none"/>
                <w:u w:val="singl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kern w:val="0"/>
                <w:sz w:val="21"/>
                <w:szCs w:val="21"/>
                <w:highlight w:val="none"/>
                <w:u w:val="single"/>
                <w:lang w:val="en-US" w:eastAsia="zh-CN"/>
                <w14:textFill>
                  <w14:solidFill>
                    <w14:schemeClr w14:val="tx1"/>
                  </w14:solidFill>
                </w14:textFill>
              </w:rPr>
              <w:t>、二氧化硫9mg/m</w:t>
            </w:r>
            <w:r>
              <w:rPr>
                <w:rFonts w:hint="default" w:ascii="Times New Roman" w:hAnsi="Times New Roman" w:cs="Times New Roman"/>
                <w:b/>
                <w:bCs/>
                <w:color w:val="000000" w:themeColor="text1"/>
                <w:kern w:val="0"/>
                <w:sz w:val="21"/>
                <w:szCs w:val="21"/>
                <w:highlight w:val="none"/>
                <w:u w:val="singl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kern w:val="0"/>
                <w:sz w:val="21"/>
                <w:szCs w:val="21"/>
                <w:highlight w:val="none"/>
                <w:u w:val="single"/>
                <w:lang w:val="en-US" w:eastAsia="zh-CN"/>
                <w14:textFill>
                  <w14:solidFill>
                    <w14:schemeClr w14:val="tx1"/>
                  </w14:solidFill>
                </w14:textFill>
              </w:rPr>
              <w:t>、氮氧化物60mg/m</w:t>
            </w:r>
            <w:r>
              <w:rPr>
                <w:rFonts w:hint="default" w:ascii="Times New Roman" w:hAnsi="Times New Roman" w:cs="Times New Roman"/>
                <w:b/>
                <w:bCs/>
                <w:color w:val="000000" w:themeColor="text1"/>
                <w:kern w:val="0"/>
                <w:sz w:val="21"/>
                <w:szCs w:val="21"/>
                <w:highlight w:val="none"/>
                <w:u w:val="single"/>
                <w:vertAlign w:val="superscript"/>
                <w:lang w:val="en-US" w:eastAsia="zh-CN"/>
                <w14:textFill>
                  <w14:solidFill>
                    <w14:schemeClr w14:val="tx1"/>
                  </w14:solidFill>
                </w14:textFill>
              </w:rPr>
              <w:t>3</w:t>
            </w:r>
            <w:r>
              <w:rPr>
                <w:rFonts w:hint="eastAsia" w:cs="Times New Roman"/>
                <w:b/>
                <w:bCs/>
                <w:color w:val="000000" w:themeColor="text1"/>
                <w:kern w:val="0"/>
                <w:sz w:val="21"/>
                <w:szCs w:val="21"/>
                <w:highlight w:val="none"/>
                <w:u w:val="single"/>
                <w:lang w:val="en-US" w:eastAsia="zh-CN"/>
                <w14:textFill>
                  <w14:solidFill>
                    <w14:schemeClr w14:val="tx1"/>
                  </w14:solidFill>
                </w14:textFill>
              </w:rPr>
              <w:t>，</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尚预留9500</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m</w:t>
            </w:r>
            <w:r>
              <w:rPr>
                <w:rFonts w:hint="default" w:ascii="Times New Roman" w:hAnsi="Times New Roman" w:cs="Times New Roman"/>
                <w:b/>
                <w:bCs/>
                <w:color w:val="000000" w:themeColor="text1"/>
                <w:kern w:val="0"/>
                <w:sz w:val="21"/>
                <w:szCs w:val="21"/>
                <w:highlight w:val="none"/>
                <w:u w:val="single"/>
                <w:vertAlign w:val="superscript"/>
                <w:lang w:val="en-US" w:eastAsia="zh-CN" w:bidi="ar-SA"/>
                <w14:textFill>
                  <w14:solidFill>
                    <w14:schemeClr w14:val="tx1"/>
                  </w14:solidFill>
                </w14:textFill>
              </w:rPr>
              <w:t>3</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/h</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废气处理余量；</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本次扩建完成后新增废气量为6120m</w:t>
            </w:r>
            <w:r>
              <w:rPr>
                <w:rFonts w:hint="default" w:ascii="Times New Roman" w:hAnsi="Times New Roman" w:cs="Times New Roman"/>
                <w:b/>
                <w:bCs/>
                <w:color w:val="000000" w:themeColor="text1"/>
                <w:kern w:val="0"/>
                <w:sz w:val="21"/>
                <w:szCs w:val="21"/>
                <w:highlight w:val="none"/>
                <w:u w:val="single"/>
                <w:vertAlign w:val="superscript"/>
                <w:lang w:val="en-US" w:eastAsia="zh-CN" w:bidi="ar-SA"/>
                <w14:textFill>
                  <w14:solidFill>
                    <w14:schemeClr w14:val="tx1"/>
                  </w14:solidFill>
                </w14:textFill>
              </w:rPr>
              <w:t>3</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/h，</w:t>
            </w:r>
            <w:r>
              <w:rPr>
                <w:rFonts w:hint="default" w:ascii="Times New Roman" w:hAnsi="Times New Roman" w:cs="Times New Roman"/>
                <w:b/>
                <w:bCs/>
                <w:color w:val="000000" w:themeColor="text1"/>
                <w:kern w:val="0"/>
                <w:sz w:val="21"/>
                <w:szCs w:val="21"/>
                <w:highlight w:val="none"/>
                <w:u w:val="single"/>
                <w:lang w:val="en-US" w:eastAsia="zh-CN"/>
                <w14:textFill>
                  <w14:solidFill>
                    <w14:schemeClr w14:val="tx1"/>
                  </w14:solidFill>
                </w14:textFill>
              </w:rPr>
              <w:t>新增各污染物浓度为颗粒物4.64mg/m</w:t>
            </w:r>
            <w:r>
              <w:rPr>
                <w:rFonts w:hint="default" w:ascii="Times New Roman" w:hAnsi="Times New Roman" w:cs="Times New Roman"/>
                <w:b/>
                <w:bCs/>
                <w:color w:val="000000" w:themeColor="text1"/>
                <w:kern w:val="0"/>
                <w:sz w:val="21"/>
                <w:szCs w:val="21"/>
                <w:highlight w:val="none"/>
                <w:u w:val="singl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kern w:val="0"/>
                <w:sz w:val="21"/>
                <w:szCs w:val="21"/>
                <w:highlight w:val="none"/>
                <w:u w:val="single"/>
                <w:lang w:val="en-US" w:eastAsia="zh-CN"/>
                <w14:textFill>
                  <w14:solidFill>
                    <w14:schemeClr w14:val="tx1"/>
                  </w14:solidFill>
                </w14:textFill>
              </w:rPr>
              <w:t>、二氧化硫5.48mg/m</w:t>
            </w:r>
            <w:r>
              <w:rPr>
                <w:rFonts w:hint="default" w:ascii="Times New Roman" w:hAnsi="Times New Roman" w:cs="Times New Roman"/>
                <w:b/>
                <w:bCs/>
                <w:color w:val="000000" w:themeColor="text1"/>
                <w:kern w:val="0"/>
                <w:sz w:val="21"/>
                <w:szCs w:val="21"/>
                <w:highlight w:val="none"/>
                <w:u w:val="singl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kern w:val="0"/>
                <w:sz w:val="21"/>
                <w:szCs w:val="21"/>
                <w:highlight w:val="none"/>
                <w:u w:val="single"/>
                <w:lang w:val="en-US" w:eastAsia="zh-CN"/>
                <w14:textFill>
                  <w14:solidFill>
                    <w14:schemeClr w14:val="tx1"/>
                  </w14:solidFill>
                </w14:textFill>
              </w:rPr>
              <w:t>、氮氧化物131.23mg/m</w:t>
            </w:r>
            <w:r>
              <w:rPr>
                <w:rFonts w:hint="default" w:ascii="Times New Roman" w:hAnsi="Times New Roman" w:cs="Times New Roman"/>
                <w:b/>
                <w:bCs/>
                <w:color w:val="000000" w:themeColor="text1"/>
                <w:kern w:val="0"/>
                <w:sz w:val="21"/>
                <w:szCs w:val="21"/>
                <w:highlight w:val="none"/>
                <w:u w:val="single"/>
                <w:vertAlign w:val="superscript"/>
                <w:lang w:val="en-US" w:eastAsia="zh-CN"/>
                <w14:textFill>
                  <w14:solidFill>
                    <w14:schemeClr w14:val="tx1"/>
                  </w14:solidFill>
                </w14:textFill>
              </w:rPr>
              <w:t>3</w:t>
            </w:r>
            <w:r>
              <w:rPr>
                <w:rFonts w:hint="eastAsia" w:cs="Times New Roman"/>
                <w:b/>
                <w:bCs/>
                <w:color w:val="000000" w:themeColor="text1"/>
                <w:kern w:val="0"/>
                <w:sz w:val="21"/>
                <w:szCs w:val="21"/>
                <w:highlight w:val="none"/>
                <w:u w:val="single"/>
                <w:vertAlign w:val="baseline"/>
                <w:lang w:val="en-US" w:eastAsia="zh-CN"/>
                <w14:textFill>
                  <w14:solidFill>
                    <w14:schemeClr w14:val="tx1"/>
                  </w14:solidFill>
                </w14:textFill>
              </w:rPr>
              <w:t>，</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现有工程</w:t>
            </w:r>
            <w:r>
              <w:rPr>
                <w:rFonts w:hint="default" w:ascii="Times New Roman" w:hAnsi="Times New Roman" w:cs="Times New Roman"/>
                <w:b/>
                <w:bCs/>
                <w:color w:val="000000" w:themeColor="text1"/>
                <w:highlight w:val="none"/>
                <w:u w:val="single"/>
                <w:lang w:val="en-US" w:eastAsia="zh-CN"/>
                <w14:textFill>
                  <w14:solidFill>
                    <w14:schemeClr w14:val="tx1"/>
                  </w14:solidFill>
                </w14:textFill>
              </w:rPr>
              <w:t>设置的</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1套</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选择性催化还原（SCR）脱硝</w:t>
            </w:r>
            <w:r>
              <w:rPr>
                <w:rFonts w:hint="default" w:ascii="Times New Roman" w:hAnsi="Times New Roman" w:eastAsia="宋体" w:cs="Times New Roman"/>
                <w:b/>
                <w:bCs/>
                <w:color w:val="000000" w:themeColor="text1"/>
                <w:kern w:val="0"/>
                <w:sz w:val="21"/>
                <w:szCs w:val="21"/>
                <w:highlight w:val="none"/>
                <w:u w:val="single"/>
                <w:lang w:val="en-US" w:eastAsia="zh-CN" w:bidi="ar-SA"/>
                <w14:textFill>
                  <w14:solidFill>
                    <w14:schemeClr w14:val="tx1"/>
                  </w14:solidFill>
                </w14:textFill>
              </w:rPr>
              <w:t>装置能满足本次工程燃气炉废气收集</w:t>
            </w:r>
            <w:r>
              <w:rPr>
                <w:rFonts w:hint="eastAsia" w:cs="Times New Roman"/>
                <w:b/>
                <w:bCs/>
                <w:color w:val="000000" w:themeColor="text1"/>
                <w:kern w:val="0"/>
                <w:sz w:val="21"/>
                <w:szCs w:val="21"/>
                <w:highlight w:val="none"/>
                <w:u w:val="single"/>
                <w:lang w:val="en-US" w:eastAsia="zh-CN" w:bidi="ar-SA"/>
                <w14:textFill>
                  <w14:solidFill>
                    <w14:schemeClr w14:val="tx1"/>
                  </w14:solidFill>
                </w14:textFill>
              </w:rPr>
              <w:t>处理需求。</w:t>
            </w:r>
            <w:r>
              <w:rPr>
                <w:rFonts w:hint="eastAsia" w:cs="Times New Roman"/>
                <w:b/>
                <w:bCs/>
                <w:color w:val="000000" w:themeColor="text1"/>
                <w:kern w:val="0"/>
                <w:sz w:val="21"/>
                <w:szCs w:val="21"/>
                <w:highlight w:val="none"/>
                <w:u w:val="single"/>
                <w:vertAlign w:val="baseline"/>
                <w:lang w:val="en-US" w:eastAsia="zh-CN"/>
                <w14:textFill>
                  <w14:solidFill>
                    <w14:schemeClr w14:val="tx1"/>
                  </w14:solidFill>
                </w14:textFill>
              </w:rPr>
              <w:t>本次</w:t>
            </w:r>
            <w:r>
              <w:rPr>
                <w:rFonts w:hint="default" w:ascii="Times New Roman" w:hAnsi="Times New Roman" w:cs="Times New Roman"/>
                <w:b/>
                <w:bCs/>
                <w:color w:val="000000" w:themeColor="text1"/>
                <w:kern w:val="0"/>
                <w:sz w:val="21"/>
                <w:szCs w:val="21"/>
                <w:highlight w:val="none"/>
                <w:u w:val="single"/>
                <w:lang w:val="en-US" w:eastAsia="zh-CN"/>
                <w14:textFill>
                  <w14:solidFill>
                    <w14:schemeClr w14:val="tx1"/>
                  </w14:solidFill>
                </w14:textFill>
              </w:rPr>
              <w:t>扩建后</w:t>
            </w:r>
            <w:r>
              <w:rPr>
                <w:rFonts w:hint="eastAsia" w:cs="Times New Roman"/>
                <w:b/>
                <w:bCs/>
                <w:color w:val="000000" w:themeColor="text1"/>
                <w:kern w:val="0"/>
                <w:sz w:val="21"/>
                <w:szCs w:val="21"/>
                <w:highlight w:val="none"/>
                <w:u w:val="single"/>
                <w:lang w:val="en-US" w:eastAsia="zh-CN"/>
                <w14:textFill>
                  <w14:solidFill>
                    <w14:schemeClr w14:val="tx1"/>
                  </w14:solidFill>
                </w14:textFill>
              </w:rPr>
              <w:t>全厂燃气加热炉总废</w:t>
            </w:r>
            <w:r>
              <w:rPr>
                <w:rFonts w:hint="default" w:ascii="Times New Roman" w:hAnsi="Times New Roman" w:cs="Times New Roman"/>
                <w:b/>
                <w:bCs/>
                <w:color w:val="000000" w:themeColor="text1"/>
                <w:kern w:val="0"/>
                <w:sz w:val="21"/>
                <w:szCs w:val="21"/>
                <w:highlight w:val="none"/>
                <w:u w:val="single"/>
                <w:lang w:val="en-US" w:eastAsia="zh-CN"/>
                <w14:textFill>
                  <w14:solidFill>
                    <w14:schemeClr w14:val="tx1"/>
                  </w14:solidFill>
                </w14:textFill>
              </w:rPr>
              <w:t>气</w:t>
            </w:r>
            <w:r>
              <w:rPr>
                <w:rFonts w:hint="eastAsia" w:cs="Times New Roman"/>
                <w:b/>
                <w:bCs/>
                <w:color w:val="000000" w:themeColor="text1"/>
                <w:kern w:val="0"/>
                <w:sz w:val="21"/>
                <w:szCs w:val="21"/>
                <w:highlight w:val="none"/>
                <w:u w:val="single"/>
                <w:lang w:val="en-US" w:eastAsia="zh-CN"/>
                <w14:textFill>
                  <w14:solidFill>
                    <w14:schemeClr w14:val="tx1"/>
                  </w14:solidFill>
                </w14:textFill>
              </w:rPr>
              <w:t>量为</w:t>
            </w:r>
            <w:r>
              <w:rPr>
                <w:rFonts w:hint="default" w:ascii="Times New Roman" w:hAnsi="Times New Roman" w:cs="Times New Roman"/>
                <w:b/>
                <w:bCs/>
                <w:color w:val="000000" w:themeColor="text1"/>
                <w:kern w:val="0"/>
                <w:sz w:val="21"/>
                <w:szCs w:val="21"/>
                <w:highlight w:val="none"/>
                <w:u w:val="single"/>
                <w:lang w:val="en-US" w:eastAsia="zh-CN"/>
                <w14:textFill>
                  <w14:solidFill>
                    <w14:schemeClr w14:val="tx1"/>
                  </w14:solidFill>
                </w14:textFill>
              </w:rPr>
              <w:t>20620m</w:t>
            </w:r>
            <w:r>
              <w:rPr>
                <w:rFonts w:hint="default" w:ascii="Times New Roman" w:hAnsi="Times New Roman" w:cs="Times New Roman"/>
                <w:b/>
                <w:bCs/>
                <w:color w:val="000000" w:themeColor="text1"/>
                <w:kern w:val="0"/>
                <w:sz w:val="21"/>
                <w:szCs w:val="21"/>
                <w:highlight w:val="none"/>
                <w:u w:val="singl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kern w:val="0"/>
                <w:sz w:val="21"/>
                <w:szCs w:val="21"/>
                <w:highlight w:val="none"/>
                <w:u w:val="single"/>
                <w:lang w:val="en-US" w:eastAsia="zh-CN"/>
                <w14:textFill>
                  <w14:solidFill>
                    <w14:schemeClr w14:val="tx1"/>
                  </w14:solidFill>
                </w14:textFill>
              </w:rPr>
              <w:t>/h，经处理后各污染物排放浓度为颗粒物4.64mg/m</w:t>
            </w:r>
            <w:r>
              <w:rPr>
                <w:rFonts w:hint="default" w:ascii="Times New Roman" w:hAnsi="Times New Roman" w:cs="Times New Roman"/>
                <w:b/>
                <w:bCs/>
                <w:color w:val="000000" w:themeColor="text1"/>
                <w:kern w:val="0"/>
                <w:sz w:val="21"/>
                <w:szCs w:val="21"/>
                <w:highlight w:val="none"/>
                <w:u w:val="singl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kern w:val="0"/>
                <w:sz w:val="21"/>
                <w:szCs w:val="21"/>
                <w:highlight w:val="none"/>
                <w:u w:val="single"/>
                <w:lang w:val="en-US" w:eastAsia="zh-CN"/>
                <w14:textFill>
                  <w14:solidFill>
                    <w14:schemeClr w14:val="tx1"/>
                  </w14:solidFill>
                </w14:textFill>
              </w:rPr>
              <w:t>、二氧化硫5.48mg/m</w:t>
            </w:r>
            <w:r>
              <w:rPr>
                <w:rFonts w:hint="default" w:ascii="Times New Roman" w:hAnsi="Times New Roman" w:cs="Times New Roman"/>
                <w:b/>
                <w:bCs/>
                <w:color w:val="000000" w:themeColor="text1"/>
                <w:kern w:val="0"/>
                <w:sz w:val="21"/>
                <w:szCs w:val="21"/>
                <w:highlight w:val="none"/>
                <w:u w:val="singl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kern w:val="0"/>
                <w:sz w:val="21"/>
                <w:szCs w:val="21"/>
                <w:highlight w:val="none"/>
                <w:u w:val="single"/>
                <w:lang w:val="en-US" w:eastAsia="zh-CN"/>
                <w14:textFill>
                  <w14:solidFill>
                    <w14:schemeClr w14:val="tx1"/>
                  </w14:solidFill>
                </w14:textFill>
              </w:rPr>
              <w:t>、氮氧化物19.68mg/m</w:t>
            </w:r>
            <w:r>
              <w:rPr>
                <w:rFonts w:hint="default" w:ascii="Times New Roman" w:hAnsi="Times New Roman" w:cs="Times New Roman"/>
                <w:b/>
                <w:bCs/>
                <w:color w:val="000000" w:themeColor="text1"/>
                <w:kern w:val="0"/>
                <w:sz w:val="21"/>
                <w:szCs w:val="21"/>
                <w:highlight w:val="none"/>
                <w:u w:val="singl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kern w:val="0"/>
                <w:sz w:val="21"/>
                <w:szCs w:val="21"/>
                <w:highlight w:val="none"/>
                <w:u w:val="single"/>
                <w:lang w:val="en-US" w:eastAsia="zh-CN"/>
                <w14:textFill>
                  <w14:solidFill>
                    <w14:schemeClr w14:val="tx1"/>
                  </w14:solidFill>
                </w14:textFill>
              </w:rPr>
              <w:t>，能够满足</w:t>
            </w:r>
            <w:r>
              <w:rPr>
                <w:rFonts w:hint="default" w:ascii="Times New Roman" w:hAnsi="Times New Roman" w:eastAsia="宋体" w:cs="Times New Roman"/>
                <w:b/>
                <w:bCs/>
                <w:color w:val="000000" w:themeColor="text1"/>
                <w:sz w:val="21"/>
                <w:szCs w:val="21"/>
                <w:highlight w:val="none"/>
                <w:u w:val="single"/>
                <w:vertAlign w:val="baseline"/>
                <w:lang w:val="en-US" w:eastAsia="zh-CN"/>
                <w14:textFill>
                  <w14:solidFill>
                    <w14:schemeClr w14:val="tx1"/>
                  </w14:solidFill>
                </w14:textFill>
              </w:rPr>
              <w:t>河南省地方标准《工业炉窑大气污染物排放标准》（DB41/1066-202</w:t>
            </w:r>
            <w:r>
              <w:rPr>
                <w:rFonts w:hint="default" w:ascii="Times New Roman" w:hAnsi="Times New Roman" w:eastAsia="宋体" w:cs="Times New Roman"/>
                <w:b/>
                <w:bCs/>
                <w:color w:val="000000" w:themeColor="text1"/>
                <w:sz w:val="21"/>
                <w:szCs w:val="21"/>
                <w:highlight w:val="none"/>
                <w:u w:val="single"/>
                <w:lang w:val="en-US" w:eastAsia="zh-CN"/>
                <w14:textFill>
                  <w14:solidFill>
                    <w14:schemeClr w14:val="tx1"/>
                  </w14:solidFill>
                </w14:textFill>
              </w:rPr>
              <w:t>0）要求（颗粒物30mg/m</w:t>
            </w:r>
            <w:r>
              <w:rPr>
                <w:rFonts w:hint="default" w:ascii="Times New Roman" w:hAnsi="Times New Roman" w:eastAsia="宋体" w:cs="Times New Roman"/>
                <w:b/>
                <w:bCs/>
                <w:color w:val="000000" w:themeColor="text1"/>
                <w:sz w:val="21"/>
                <w:szCs w:val="21"/>
                <w:highlight w:val="none"/>
                <w:u w:val="singl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u w:val="single"/>
                <w:lang w:val="en-US" w:eastAsia="zh-CN"/>
                <w14:textFill>
                  <w14:solidFill>
                    <w14:schemeClr w14:val="tx1"/>
                  </w14:solidFill>
                </w14:textFill>
              </w:rPr>
              <w:t>、SO</w:t>
            </w:r>
            <w:r>
              <w:rPr>
                <w:rFonts w:hint="default" w:ascii="Times New Roman" w:hAnsi="Times New Roman" w:eastAsia="宋体" w:cs="Times New Roman"/>
                <w:b/>
                <w:bCs/>
                <w:color w:val="000000" w:themeColor="text1"/>
                <w:sz w:val="21"/>
                <w:szCs w:val="21"/>
                <w:highlight w:val="none"/>
                <w:u w:val="single"/>
                <w:vertAlign w:val="subscript"/>
                <w:lang w:val="en-US" w:eastAsia="zh-CN"/>
                <w14:textFill>
                  <w14:solidFill>
                    <w14:schemeClr w14:val="tx1"/>
                  </w14:solidFill>
                </w14:textFill>
              </w:rPr>
              <w:t>2</w:t>
            </w:r>
            <w:r>
              <w:rPr>
                <w:rFonts w:hint="default" w:ascii="Times New Roman" w:hAnsi="Times New Roman" w:eastAsia="宋体" w:cs="Times New Roman"/>
                <w:b/>
                <w:bCs/>
                <w:color w:val="000000" w:themeColor="text1"/>
                <w:sz w:val="21"/>
                <w:szCs w:val="21"/>
                <w:highlight w:val="none"/>
                <w:u w:val="single"/>
                <w:lang w:val="en-US" w:eastAsia="zh-CN"/>
                <w14:textFill>
                  <w14:solidFill>
                    <w14:schemeClr w14:val="tx1"/>
                  </w14:solidFill>
                </w14:textFill>
              </w:rPr>
              <w:t>200mg/m</w:t>
            </w:r>
            <w:r>
              <w:rPr>
                <w:rFonts w:hint="default" w:ascii="Times New Roman" w:hAnsi="Times New Roman" w:eastAsia="宋体" w:cs="Times New Roman"/>
                <w:b/>
                <w:bCs/>
                <w:color w:val="000000" w:themeColor="text1"/>
                <w:sz w:val="21"/>
                <w:szCs w:val="21"/>
                <w:highlight w:val="none"/>
                <w:u w:val="singl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u w:val="single"/>
                <w:lang w:val="en-US" w:eastAsia="zh-CN"/>
                <w14:textFill>
                  <w14:solidFill>
                    <w14:schemeClr w14:val="tx1"/>
                  </w14:solidFill>
                </w14:textFill>
              </w:rPr>
              <w:t>、NO</w:t>
            </w:r>
            <w:r>
              <w:rPr>
                <w:rFonts w:hint="default" w:ascii="Times New Roman" w:hAnsi="Times New Roman" w:eastAsia="宋体" w:cs="Times New Roman"/>
                <w:b/>
                <w:bCs/>
                <w:color w:val="000000" w:themeColor="text1"/>
                <w:sz w:val="21"/>
                <w:szCs w:val="21"/>
                <w:highlight w:val="none"/>
                <w:u w:val="single"/>
                <w:vertAlign w:val="subscript"/>
                <w:lang w:val="en-US" w:eastAsia="zh-CN"/>
                <w14:textFill>
                  <w14:solidFill>
                    <w14:schemeClr w14:val="tx1"/>
                  </w14:solidFill>
                </w14:textFill>
              </w:rPr>
              <w:t>x</w:t>
            </w:r>
            <w:r>
              <w:rPr>
                <w:rFonts w:hint="default" w:ascii="Times New Roman" w:hAnsi="Times New Roman" w:eastAsia="宋体" w:cs="Times New Roman"/>
                <w:b/>
                <w:bCs/>
                <w:color w:val="000000" w:themeColor="text1"/>
                <w:sz w:val="21"/>
                <w:szCs w:val="21"/>
                <w:highlight w:val="none"/>
                <w:u w:val="single"/>
                <w:lang w:val="en-US" w:eastAsia="zh-CN"/>
                <w14:textFill>
                  <w14:solidFill>
                    <w14:schemeClr w14:val="tx1"/>
                  </w14:solidFill>
                </w14:textFill>
              </w:rPr>
              <w:t>300mg/m</w:t>
            </w:r>
            <w:r>
              <w:rPr>
                <w:rFonts w:hint="default" w:ascii="Times New Roman" w:hAnsi="Times New Roman" w:eastAsia="宋体" w:cs="Times New Roman"/>
                <w:b/>
                <w:bCs/>
                <w:color w:val="000000" w:themeColor="text1"/>
                <w:sz w:val="21"/>
                <w:szCs w:val="21"/>
                <w:highlight w:val="none"/>
                <w:u w:val="singl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u w:val="single"/>
                <w:vertAlign w:val="baseline"/>
                <w:lang w:val="en-US" w:eastAsia="zh-CN"/>
                <w14:textFill>
                  <w14:solidFill>
                    <w14:schemeClr w14:val="tx1"/>
                  </w14:solidFill>
                </w14:textFill>
              </w:rPr>
              <w:t>、氨8</w:t>
            </w:r>
            <w:r>
              <w:rPr>
                <w:rFonts w:hint="default" w:ascii="Times New Roman" w:hAnsi="Times New Roman" w:eastAsia="宋体" w:cs="Times New Roman"/>
                <w:b/>
                <w:bCs/>
                <w:color w:val="000000" w:themeColor="text1"/>
                <w:sz w:val="21"/>
                <w:szCs w:val="21"/>
                <w:highlight w:val="none"/>
                <w:u w:val="single"/>
                <w:lang w:val="en-US" w:eastAsia="zh-CN"/>
                <w14:textFill>
                  <w14:solidFill>
                    <w14:schemeClr w14:val="tx1"/>
                  </w14:solidFill>
                </w14:textFill>
              </w:rPr>
              <w:t>mg/m</w:t>
            </w:r>
            <w:r>
              <w:rPr>
                <w:rFonts w:hint="default" w:ascii="Times New Roman" w:hAnsi="Times New Roman" w:eastAsia="宋体" w:cs="Times New Roman"/>
                <w:b/>
                <w:bCs/>
                <w:color w:val="000000" w:themeColor="text1"/>
                <w:sz w:val="21"/>
                <w:szCs w:val="21"/>
                <w:highlight w:val="none"/>
                <w:u w:val="singl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u w:val="single"/>
                <w:lang w:val="en-US" w:eastAsia="zh-CN"/>
                <w14:textFill>
                  <w14:solidFill>
                    <w14:schemeClr w14:val="tx1"/>
                  </w14:solidFill>
                </w14:textFill>
              </w:rPr>
              <w:t>）</w:t>
            </w:r>
            <w:r>
              <w:rPr>
                <w:rFonts w:hint="default" w:ascii="Times New Roman" w:hAnsi="Times New Roman" w:cs="Times New Roman"/>
                <w:b/>
                <w:bCs/>
                <w:color w:val="000000" w:themeColor="text1"/>
                <w:sz w:val="21"/>
                <w:szCs w:val="21"/>
                <w:highlight w:val="none"/>
                <w:u w:val="single"/>
                <w14:textFill>
                  <w14:solidFill>
                    <w14:schemeClr w14:val="tx1"/>
                  </w14:solidFill>
                </w14:textFill>
              </w:rPr>
              <w:t>（基准含氧量：9%</w:t>
            </w:r>
            <w:r>
              <w:rPr>
                <w:rFonts w:hint="eastAsia" w:cs="Times New Roman"/>
                <w:b/>
                <w:bCs/>
                <w:color w:val="000000" w:themeColor="text1"/>
                <w:sz w:val="21"/>
                <w:szCs w:val="21"/>
                <w:highlight w:val="none"/>
                <w:u w:val="single"/>
                <w:lang w:val="en-US" w:eastAsia="zh-CN"/>
                <w14:textFill>
                  <w14:solidFill>
                    <w14:schemeClr w14:val="tx1"/>
                  </w14:solidFill>
                </w14:textFill>
              </w:rPr>
              <w:t>）</w:t>
            </w:r>
            <w:r>
              <w:rPr>
                <w:rFonts w:hint="default" w:ascii="Times New Roman" w:hAnsi="Times New Roman" w:cs="Times New Roman"/>
                <w:b/>
                <w:bCs/>
                <w:color w:val="000000" w:themeColor="text1"/>
                <w:kern w:val="0"/>
                <w:sz w:val="21"/>
                <w:szCs w:val="21"/>
                <w:highlight w:val="none"/>
                <w:u w:val="single"/>
                <w:lang w:val="en-US" w:eastAsia="zh-CN" w:bidi="ar-SA"/>
                <w14:textFill>
                  <w14:solidFill>
                    <w14:schemeClr w14:val="tx1"/>
                  </w14:solidFill>
                </w14:textFill>
              </w:rPr>
              <w:t>，</w:t>
            </w:r>
            <w:r>
              <w:rPr>
                <w:rFonts w:hint="default" w:ascii="Times New Roman" w:hAnsi="Times New Roman" w:cs="Times New Roman"/>
                <w:b/>
                <w:bCs/>
                <w:color w:val="000000" w:themeColor="text1"/>
                <w:sz w:val="21"/>
                <w:szCs w:val="21"/>
                <w:highlight w:val="none"/>
                <w:u w:val="single"/>
                <w14:textFill>
                  <w14:solidFill>
                    <w14:schemeClr w14:val="tx1"/>
                  </w14:solidFill>
                </w14:textFill>
              </w:rPr>
              <w:t>同时满足《河南省重污染天气通用行业应急减排措施制定技术指南（2021年修订版)》中涉炉窑企业A级绩效指标PM、SO</w:t>
            </w:r>
            <w:r>
              <w:rPr>
                <w:rFonts w:hint="default" w:ascii="Times New Roman" w:hAnsi="Times New Roman" w:cs="Times New Roman"/>
                <w:b/>
                <w:bCs/>
                <w:color w:val="000000" w:themeColor="text1"/>
                <w:sz w:val="21"/>
                <w:szCs w:val="21"/>
                <w:highlight w:val="none"/>
                <w:u w:val="single"/>
                <w:vertAlign w:val="subscript"/>
                <w14:textFill>
                  <w14:solidFill>
                    <w14:schemeClr w14:val="tx1"/>
                  </w14:solidFill>
                </w14:textFill>
              </w:rPr>
              <w:t>2</w:t>
            </w:r>
            <w:r>
              <w:rPr>
                <w:rFonts w:hint="default" w:ascii="Times New Roman" w:hAnsi="Times New Roman" w:cs="Times New Roman"/>
                <w:b/>
                <w:bCs/>
                <w:color w:val="000000" w:themeColor="text1"/>
                <w:sz w:val="21"/>
                <w:szCs w:val="21"/>
                <w:highlight w:val="none"/>
                <w:u w:val="single"/>
                <w14:textFill>
                  <w14:solidFill>
                    <w14:schemeClr w14:val="tx1"/>
                  </w14:solidFill>
                </w14:textFill>
              </w:rPr>
              <w:t>、NO</w:t>
            </w:r>
            <w:r>
              <w:rPr>
                <w:rFonts w:hint="default" w:ascii="Times New Roman" w:hAnsi="Times New Roman" w:cs="Times New Roman"/>
                <w:b/>
                <w:bCs/>
                <w:color w:val="000000" w:themeColor="text1"/>
                <w:sz w:val="21"/>
                <w:szCs w:val="21"/>
                <w:highlight w:val="none"/>
                <w:u w:val="single"/>
                <w:vertAlign w:val="subscript"/>
                <w14:textFill>
                  <w14:solidFill>
                    <w14:schemeClr w14:val="tx1"/>
                  </w14:solidFill>
                </w14:textFill>
              </w:rPr>
              <w:t>x</w:t>
            </w:r>
            <w:r>
              <w:rPr>
                <w:rFonts w:hint="default" w:ascii="Times New Roman" w:hAnsi="Times New Roman" w:cs="Times New Roman"/>
                <w:b/>
                <w:bCs/>
                <w:color w:val="000000" w:themeColor="text1"/>
                <w:sz w:val="21"/>
                <w:szCs w:val="21"/>
                <w:highlight w:val="none"/>
                <w:u w:val="single"/>
                <w14:textFill>
                  <w14:solidFill>
                    <w14:schemeClr w14:val="tx1"/>
                  </w14:solidFill>
                </w14:textFill>
              </w:rPr>
              <w:t>排放浓度分别不高于10、50、100mg/m</w:t>
            </w:r>
            <w:r>
              <w:rPr>
                <w:rFonts w:hint="default" w:ascii="Times New Roman" w:hAnsi="Times New Roman" w:cs="Times New Roman"/>
                <w:b/>
                <w:bCs/>
                <w:color w:val="000000" w:themeColor="text1"/>
                <w:sz w:val="21"/>
                <w:szCs w:val="21"/>
                <w:highlight w:val="none"/>
                <w:u w:val="single"/>
                <w:vertAlign w:val="superscript"/>
                <w14:textFill>
                  <w14:solidFill>
                    <w14:schemeClr w14:val="tx1"/>
                  </w14:solidFill>
                </w14:textFill>
              </w:rPr>
              <w:t>3</w:t>
            </w:r>
            <w:r>
              <w:rPr>
                <w:rFonts w:hint="default" w:ascii="Times New Roman" w:hAnsi="Times New Roman" w:cs="Times New Roman"/>
                <w:b/>
                <w:bCs/>
                <w:color w:val="000000" w:themeColor="text1"/>
                <w:sz w:val="21"/>
                <w:szCs w:val="21"/>
                <w:highlight w:val="none"/>
                <w:u w:val="single"/>
                <w14:textFill>
                  <w14:solidFill>
                    <w14:schemeClr w14:val="tx1"/>
                  </w14:solidFill>
                </w14:textFill>
              </w:rPr>
              <w:t>（基准含氧量：9%）的限值要求</w:t>
            </w:r>
            <w:r>
              <w:rPr>
                <w:rFonts w:hint="default" w:ascii="Times New Roman" w:hAnsi="Times New Roman" w:cs="Times New Roman"/>
                <w:b/>
                <w:bCs/>
                <w:color w:val="000000" w:themeColor="text1"/>
                <w:kern w:val="0"/>
                <w:sz w:val="21"/>
                <w:szCs w:val="21"/>
                <w:highlight w:val="none"/>
                <w:u w:val="single"/>
                <w:lang w:val="en-US" w:eastAsia="zh-CN"/>
                <w14:textFill>
                  <w14:solidFill>
                    <w14:schemeClr w14:val="tx1"/>
                  </w14:solidFill>
                </w14:textFill>
              </w:rPr>
              <w:t>，因此本次扩建工程加热炉燃气废气依托现有选择性催化还原（SCR）的治理措施可行。</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firstLine="420" w:firstLineChars="200"/>
              <w:jc w:val="both"/>
              <w:textAlignment w:val="auto"/>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选择性催化还原技术</w:t>
            </w:r>
            <w:r>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SCR</w:t>
            </w:r>
            <w:r>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Cs/>
                <w:color w:val="000000" w:themeColor="text1"/>
                <w:sz w:val="21"/>
                <w:szCs w:val="21"/>
                <w:highlight w:val="none"/>
                <w14:textFill>
                  <w14:solidFill>
                    <w14:schemeClr w14:val="tx1"/>
                  </w14:solidFill>
                </w14:textFill>
              </w:rPr>
              <w:t>，指在催化剂的作用</w:t>
            </w:r>
            <w:r>
              <w:rPr>
                <w:rFonts w:hint="default" w:ascii="Times New Roman" w:hAnsi="Times New Roman" w:eastAsia="宋体" w:cs="Times New Roman"/>
                <w:bCs/>
                <w:color w:val="000000" w:themeColor="text1"/>
                <w:sz w:val="21"/>
                <w:szCs w:val="21"/>
                <w14:textFill>
                  <w14:solidFill>
                    <w14:schemeClr w14:val="tx1"/>
                  </w14:solidFill>
                </w14:textFill>
              </w:rPr>
              <w:t>下，利用催化剂（如NH</w:t>
            </w:r>
            <w:r>
              <w:rPr>
                <w:rFonts w:hint="default" w:ascii="Times New Roman" w:hAnsi="Times New Roman" w:eastAsia="宋体" w:cs="Times New Roman"/>
                <w:bCs/>
                <w:color w:val="000000" w:themeColor="text1"/>
                <w:sz w:val="21"/>
                <w:szCs w:val="21"/>
                <w:vertAlign w:val="subscript"/>
                <w14:textFill>
                  <w14:solidFill>
                    <w14:schemeClr w14:val="tx1"/>
                  </w14:solidFill>
                </w14:textFill>
              </w:rPr>
              <w:t>3</w:t>
            </w:r>
            <w:r>
              <w:rPr>
                <w:rFonts w:hint="default" w:ascii="Times New Roman" w:hAnsi="Times New Roman" w:eastAsia="宋体" w:cs="Times New Roman"/>
                <w:bCs/>
                <w:color w:val="000000" w:themeColor="text1"/>
                <w:sz w:val="21"/>
                <w:szCs w:val="21"/>
                <w14:textFill>
                  <w14:solidFill>
                    <w14:schemeClr w14:val="tx1"/>
                  </w14:solidFill>
                </w14:textFill>
              </w:rPr>
              <w:t>、液氨、尿素）来“有选择性”地与烟气中的NO</w:t>
            </w:r>
            <w:r>
              <w:rPr>
                <w:rFonts w:hint="default" w:ascii="Times New Roman" w:hAnsi="Times New Roman" w:eastAsia="宋体" w:cs="Times New Roman"/>
                <w:bCs/>
                <w:color w:val="000000" w:themeColor="text1"/>
                <w:sz w:val="21"/>
                <w:szCs w:val="21"/>
                <w:vertAlign w:val="subscript"/>
                <w14:textFill>
                  <w14:solidFill>
                    <w14:schemeClr w14:val="tx1"/>
                  </w14:solidFill>
                </w14:textFill>
              </w:rPr>
              <w:t>x</w:t>
            </w:r>
            <w:r>
              <w:rPr>
                <w:rFonts w:hint="default" w:ascii="Times New Roman" w:hAnsi="Times New Roman" w:eastAsia="宋体" w:cs="Times New Roman"/>
                <w:bCs/>
                <w:color w:val="000000" w:themeColor="text1"/>
                <w:sz w:val="21"/>
                <w:szCs w:val="21"/>
                <w14:textFill>
                  <w14:solidFill>
                    <w14:schemeClr w14:val="tx1"/>
                  </w14:solidFill>
                </w14:textFill>
              </w:rPr>
              <w:t>反应并生成无毒无污染的N</w:t>
            </w:r>
            <w:r>
              <w:rPr>
                <w:rFonts w:hint="default" w:ascii="Times New Roman" w:hAnsi="Times New Roman" w:eastAsia="宋体" w:cs="Times New Roman"/>
                <w:bCs/>
                <w:color w:val="000000" w:themeColor="text1"/>
                <w:sz w:val="21"/>
                <w:szCs w:val="21"/>
                <w:vertAlign w:val="subscript"/>
                <w14:textFill>
                  <w14:solidFill>
                    <w14:schemeClr w14:val="tx1"/>
                  </w14:solidFill>
                </w14:textFill>
              </w:rPr>
              <w:t>2</w:t>
            </w:r>
            <w:r>
              <w:rPr>
                <w:rFonts w:hint="default" w:ascii="Times New Roman" w:hAnsi="Times New Roman" w:eastAsia="宋体" w:cs="Times New Roman"/>
                <w:bCs/>
                <w:color w:val="000000" w:themeColor="text1"/>
                <w:sz w:val="21"/>
                <w:szCs w:val="21"/>
                <w14:textFill>
                  <w14:solidFill>
                    <w14:schemeClr w14:val="tx1"/>
                  </w14:solidFill>
                </w14:textFill>
              </w:rPr>
              <w:t>和H</w:t>
            </w:r>
            <w:r>
              <w:rPr>
                <w:rFonts w:hint="default" w:ascii="Times New Roman" w:hAnsi="Times New Roman" w:eastAsia="宋体" w:cs="Times New Roman"/>
                <w:bCs/>
                <w:color w:val="000000" w:themeColor="text1"/>
                <w:sz w:val="21"/>
                <w:szCs w:val="21"/>
                <w:vertAlign w:val="subscript"/>
                <w14:textFill>
                  <w14:solidFill>
                    <w14:schemeClr w14:val="tx1"/>
                  </w14:solidFill>
                </w14:textFill>
              </w:rPr>
              <w:t>2</w:t>
            </w:r>
            <w:r>
              <w:rPr>
                <w:rFonts w:hint="default" w:ascii="Times New Roman" w:hAnsi="Times New Roman" w:eastAsia="宋体" w:cs="Times New Roman"/>
                <w:bCs/>
                <w:color w:val="000000" w:themeColor="text1"/>
                <w:sz w:val="21"/>
                <w:szCs w:val="21"/>
                <w14:textFill>
                  <w14:solidFill>
                    <w14:schemeClr w14:val="tx1"/>
                  </w14:solidFill>
                </w14:textFill>
              </w:rPr>
              <w:t>O。</w:t>
            </w:r>
            <w:r>
              <w:rPr>
                <w:rFonts w:hint="eastAsia" w:cs="Times New Roman"/>
                <w:bCs/>
                <w:color w:val="000000" w:themeColor="text1"/>
                <w:sz w:val="21"/>
                <w:szCs w:val="21"/>
                <w:lang w:eastAsia="zh-CN"/>
                <w14:textFill>
                  <w14:solidFill>
                    <w14:schemeClr w14:val="tx1"/>
                  </w14:solidFill>
                </w14:textFill>
              </w:rPr>
              <w:t>经</w:t>
            </w:r>
            <w:r>
              <w:rPr>
                <w:rFonts w:hint="default" w:ascii="Times New Roman" w:hAnsi="Times New Roman" w:cs="Times New Roman"/>
                <w:b w:val="0"/>
                <w:bCs w:val="0"/>
                <w:color w:val="000000" w:themeColor="text1"/>
                <w:kern w:val="0"/>
                <w:sz w:val="21"/>
                <w:szCs w:val="21"/>
                <w:highlight w:val="none"/>
                <w:lang w:eastAsia="zh-CN"/>
                <w14:textFill>
                  <w14:solidFill>
                    <w14:schemeClr w14:val="tx1"/>
                  </w14:solidFill>
                </w14:textFill>
              </w:rPr>
              <w:t>查阅《排污许可申请与核发技术指南</w:t>
            </w:r>
            <w:r>
              <w:rPr>
                <w:rFonts w:hint="default"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t xml:space="preserve"> 工业炉窑</w:t>
            </w:r>
            <w:r>
              <w:rPr>
                <w:rFonts w:hint="default" w:ascii="Times New Roman" w:hAnsi="Times New Roman" w:cs="Times New Roman"/>
                <w:b w:val="0"/>
                <w:bCs w:val="0"/>
                <w:color w:val="000000" w:themeColor="text1"/>
                <w:kern w:val="0"/>
                <w:sz w:val="21"/>
                <w:szCs w:val="21"/>
                <w:highlight w:val="none"/>
                <w:lang w:eastAsia="zh-CN"/>
                <w14:textFill>
                  <w14:solidFill>
                    <w14:schemeClr w14:val="tx1"/>
                  </w14:solidFill>
                </w14:textFill>
              </w:rPr>
              <w:t>》（HJ1121—2020），本项目采用</w:t>
            </w:r>
            <w:r>
              <w:rPr>
                <w:rFonts w:hint="default"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t>选择性催化还原（SCR）装置属于可行性技术。</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2" w:firstLineChars="200"/>
              <w:jc w:val="both"/>
              <w:textAlignment w:val="auto"/>
              <w:rPr>
                <w:rFonts w:hint="default" w:ascii="Times New Roman" w:hAnsi="Times New Roman" w:cs="Times New Roman"/>
                <w:b/>
                <w:bCs/>
                <w:color w:val="000000" w:themeColor="text1"/>
                <w:ker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kern w:val="0"/>
                <w:sz w:val="21"/>
                <w:szCs w:val="21"/>
                <w:highlight w:val="none"/>
                <w:lang w:eastAsia="zh-CN"/>
                <w14:textFill>
                  <w14:solidFill>
                    <w14:schemeClr w14:val="tx1"/>
                  </w14:solidFill>
                </w14:textFill>
              </w:rPr>
              <w:fldChar w:fldCharType="begin"/>
            </w:r>
            <w:r>
              <w:rPr>
                <w:rFonts w:hint="default" w:ascii="Times New Roman" w:hAnsi="Times New Roman" w:cs="Times New Roman"/>
                <w:b/>
                <w:bCs/>
                <w:color w:val="000000" w:themeColor="text1"/>
                <w:kern w:val="0"/>
                <w:sz w:val="21"/>
                <w:szCs w:val="21"/>
                <w:highlight w:val="none"/>
                <w:lang w:eastAsia="zh-CN"/>
                <w14:textFill>
                  <w14:solidFill>
                    <w14:schemeClr w14:val="tx1"/>
                  </w14:solidFill>
                </w14:textFill>
              </w:rPr>
              <w:instrText xml:space="preserve"> = 3 \* GB3 \* MERGEFORMAT </w:instrText>
            </w:r>
            <w:r>
              <w:rPr>
                <w:rFonts w:hint="default" w:ascii="Times New Roman" w:hAnsi="Times New Roman" w:cs="Times New Roman"/>
                <w:b/>
                <w:bCs/>
                <w:color w:val="000000" w:themeColor="text1"/>
                <w:kern w:val="0"/>
                <w:sz w:val="21"/>
                <w:szCs w:val="21"/>
                <w:highlight w:val="none"/>
                <w:lang w:eastAsia="zh-CN"/>
                <w14:textFill>
                  <w14:solidFill>
                    <w14:schemeClr w14:val="tx1"/>
                  </w14:solidFill>
                </w14:textFill>
              </w:rPr>
              <w:fldChar w:fldCharType="separate"/>
            </w:r>
            <w:r>
              <w:rPr>
                <w:rFonts w:hint="default" w:ascii="Times New Roman" w:hAnsi="Times New Roman" w:cs="Times New Roman"/>
                <w:b/>
                <w:bCs/>
                <w:color w:val="000000" w:themeColor="text1"/>
                <w:highlight w:val="none"/>
                <w14:textFill>
                  <w14:solidFill>
                    <w14:schemeClr w14:val="tx1"/>
                  </w14:solidFill>
                </w14:textFill>
              </w:rPr>
              <w:t>③</w:t>
            </w:r>
            <w:r>
              <w:rPr>
                <w:rFonts w:hint="default" w:ascii="Times New Roman" w:hAnsi="Times New Roman" w:cs="Times New Roman"/>
                <w:b/>
                <w:bCs/>
                <w:color w:val="000000" w:themeColor="text1"/>
                <w:kern w:val="0"/>
                <w:sz w:val="21"/>
                <w:szCs w:val="21"/>
                <w:highlight w:val="none"/>
                <w:lang w:eastAsia="zh-CN"/>
                <w14:textFill>
                  <w14:solidFill>
                    <w14:schemeClr w14:val="tx1"/>
                  </w14:solidFill>
                </w14:textFill>
              </w:rPr>
              <w:fldChar w:fldCharType="end"/>
            </w:r>
            <w:r>
              <w:rPr>
                <w:rFonts w:hint="default" w:ascii="Times New Roman" w:hAnsi="Times New Roman" w:cs="Times New Roman"/>
                <w:b/>
                <w:bCs/>
                <w:color w:val="000000" w:themeColor="text1"/>
                <w:kern w:val="0"/>
                <w:sz w:val="21"/>
                <w:szCs w:val="21"/>
                <w:highlight w:val="none"/>
                <w:lang w:eastAsia="zh-CN"/>
                <w14:textFill>
                  <w14:solidFill>
                    <w14:schemeClr w14:val="tx1"/>
                  </w14:solidFill>
                </w14:textFill>
              </w:rPr>
              <w:t>酸洗废气</w:t>
            </w: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治理措施可行性分析</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jc w:val="both"/>
              <w:textAlignment w:val="auto"/>
              <w:rPr>
                <w:rFonts w:hint="default" w:ascii="Times New Roman" w:hAnsi="Times New Roman" w:cs="Times New Roman"/>
                <w:b w:val="0"/>
                <w:bCs w:val="0"/>
                <w:color w:val="000000" w:themeColor="text1"/>
                <w:kern w:val="0"/>
                <w:sz w:val="21"/>
                <w:szCs w:val="21"/>
                <w:highlight w:val="none"/>
                <w:lang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lang w:eastAsia="zh-CN"/>
                <w14:textFill>
                  <w14:solidFill>
                    <w14:schemeClr w14:val="tx1"/>
                  </w14:solidFill>
                </w14:textFill>
              </w:rPr>
              <w:t>项目酸洗产生的硝酸雾（以NOx计）、HF废气经微负压收集后通过</w:t>
            </w:r>
            <w:r>
              <w:rPr>
                <w:rFonts w:hint="eastAsia" w:cs="Times New Roman"/>
                <w:b w:val="0"/>
                <w:bCs w:val="0"/>
                <w:color w:val="000000" w:themeColor="text1"/>
                <w:kern w:val="0"/>
                <w:sz w:val="21"/>
                <w:szCs w:val="21"/>
                <w:highlight w:val="none"/>
                <w:lang w:eastAsia="zh-CN"/>
                <w14:textFill>
                  <w14:solidFill>
                    <w14:schemeClr w14:val="tx1"/>
                  </w14:solidFill>
                </w14:textFill>
              </w:rPr>
              <w:t>两级酸雾喷淋塔</w:t>
            </w:r>
            <w:r>
              <w:rPr>
                <w:rFonts w:hint="default" w:ascii="Times New Roman" w:hAnsi="Times New Roman" w:cs="Times New Roman"/>
                <w:b w:val="0"/>
                <w:bCs w:val="0"/>
                <w:color w:val="000000" w:themeColor="text1"/>
                <w:kern w:val="0"/>
                <w:sz w:val="21"/>
                <w:szCs w:val="21"/>
                <w:highlight w:val="none"/>
                <w:lang w:eastAsia="zh-CN"/>
                <w14:textFill>
                  <w14:solidFill>
                    <w14:schemeClr w14:val="tx1"/>
                  </w14:solidFill>
                </w14:textFill>
              </w:rPr>
              <w:t>处理，喷淋</w:t>
            </w:r>
            <w:r>
              <w:rPr>
                <w:rFonts w:hint="eastAsia" w:cs="Times New Roman"/>
                <w:b w:val="0"/>
                <w:bCs w:val="0"/>
                <w:color w:val="000000" w:themeColor="text1"/>
                <w:kern w:val="0"/>
                <w:sz w:val="21"/>
                <w:szCs w:val="21"/>
                <w:highlight w:val="none"/>
                <w:lang w:eastAsia="zh-CN"/>
                <w14:textFill>
                  <w14:solidFill>
                    <w14:schemeClr w14:val="tx1"/>
                  </w14:solidFill>
                </w14:textFill>
              </w:rPr>
              <w:t>装置</w:t>
            </w:r>
            <w:r>
              <w:rPr>
                <w:rFonts w:hint="default" w:ascii="Times New Roman" w:hAnsi="Times New Roman" w:cs="Times New Roman"/>
                <w:b w:val="0"/>
                <w:bCs w:val="0"/>
                <w:color w:val="000000" w:themeColor="text1"/>
                <w:kern w:val="0"/>
                <w:sz w:val="21"/>
                <w:szCs w:val="21"/>
                <w:highlight w:val="none"/>
                <w:lang w:eastAsia="zh-CN"/>
                <w14:textFill>
                  <w14:solidFill>
                    <w14:schemeClr w14:val="tx1"/>
                  </w14:solidFill>
                </w14:textFill>
              </w:rPr>
              <w:t>采用氢氧化钠溶液作为吸收液，装置设自动加药系统，pH控制，要求当PH值低于低限设定值，泵开，流量计记录数据，当PH值达到高限设定值时，泵关。吸收液通过水泵泵入净化塔顶部，经由布水器和填料层回落至塔底溶液箱，如此反复循环使用。涂膏酸洗废气进入喷淋进风段，气体经均风板向上流动经过填料层，与每层喷嘴喷出的中和液接触反映，气液进行充分中和吸收后由塔顶烟囱排入大气。本项目</w:t>
            </w:r>
            <w:r>
              <w:rPr>
                <w:rFonts w:hint="eastAsia" w:cs="Times New Roman"/>
                <w:b w:val="0"/>
                <w:bCs w:val="0"/>
                <w:color w:val="000000" w:themeColor="text1"/>
                <w:kern w:val="0"/>
                <w:sz w:val="21"/>
                <w:szCs w:val="21"/>
                <w:highlight w:val="none"/>
                <w:lang w:eastAsia="zh-CN"/>
                <w14:textFill>
                  <w14:solidFill>
                    <w14:schemeClr w14:val="tx1"/>
                  </w14:solidFill>
                </w14:textFill>
              </w:rPr>
              <w:t>两级酸雾喷淋塔</w:t>
            </w:r>
            <w:r>
              <w:rPr>
                <w:rFonts w:hint="default" w:ascii="Times New Roman" w:hAnsi="Times New Roman" w:cs="Times New Roman"/>
                <w:b w:val="0"/>
                <w:bCs w:val="0"/>
                <w:color w:val="000000" w:themeColor="text1"/>
                <w:kern w:val="0"/>
                <w:sz w:val="21"/>
                <w:szCs w:val="21"/>
                <w:highlight w:val="none"/>
                <w:lang w:eastAsia="zh-CN"/>
                <w14:textFill>
                  <w14:solidFill>
                    <w14:schemeClr w14:val="tx1"/>
                  </w14:solidFill>
                </w14:textFill>
              </w:rPr>
              <w:t>内设置中心柱，并配置上下2层旋流板塔层，使烟气从主塔底部切向进入后呈螺旋上升，加大烟气与水雾接触的时间与距离；塔内设置2层喷淋系统，采用1寸大口径碳化硅空心锥雾化喷嘴，每层采用耐腐耐磨卧式水泵单独供水，使去除效果达到最佳；主塔上部设置不锈钢Z型高效阻水除雾器时，水汽被阻止，净气被排出。二级碱喷淋对酸雾的去除效率通常可以达到90%以上。碱液喷淋塔结构示意图见下图。</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0" w:firstLineChars="0"/>
              <w:jc w:val="both"/>
              <w:textAlignment w:val="auto"/>
              <w:rPr>
                <w:rFonts w:hint="default" w:ascii="Times New Roman" w:hAnsi="Times New Roman" w:cs="Times New Roman"/>
                <w:b/>
                <w:bCs/>
                <w:color w:val="000000" w:themeColor="text1"/>
                <w:kern w:val="0"/>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4"/>
                <w:szCs w:val="24"/>
                <w:lang w:val="zh-CN"/>
                <w14:textFill>
                  <w14:solidFill>
                    <w14:schemeClr w14:val="tx1"/>
                  </w14:solidFill>
                </w14:textFill>
              </w:rPr>
              <w:object>
                <v:shape id="_x0000_i1029" o:spt="75" type="#_x0000_t75" style="height:256.4pt;width:402.75pt;" o:ole="t" filled="f" o:preferrelative="t" stroked="t" coordsize="21600,21600">
                  <v:path/>
                  <v:fill on="f" focussize="0,0"/>
                  <v:stroke color="#000000" joinstyle="miter"/>
                  <v:imagedata r:id="rId24" o:title=""/>
                  <o:lock v:ext="edit" aspectratio="t"/>
                  <w10:wrap type="none"/>
                  <w10:anchorlock/>
                </v:shape>
                <o:OLEObject Type="Embed" ProgID="Visio.Drawing.15" ShapeID="_x0000_i1029" DrawAspect="Content" ObjectID="_1468075729" r:id="rId23">
                  <o:LockedField>false</o:LockedField>
                </o:OLEObject>
              </w:object>
            </w:r>
          </w:p>
          <w:p>
            <w:pPr>
              <w:pStyle w:val="26"/>
              <w:keepNext w:val="0"/>
              <w:keepLines w:val="0"/>
              <w:pageBreakBefore w:val="0"/>
              <w:widowControl w:val="0"/>
              <w:numPr>
                <w:ilvl w:val="0"/>
                <w:numId w:val="9"/>
              </w:numPr>
              <w:kinsoku/>
              <w:wordWrap/>
              <w:overflowPunct/>
              <w:topLinePunct w:val="0"/>
              <w:bidi w:val="0"/>
              <w:adjustRightInd/>
              <w:snapToGrid/>
              <w:spacing w:line="360" w:lineRule="auto"/>
              <w:ind w:left="0" w:leftChars="0" w:hanging="420" w:firstLineChars="0"/>
              <w:textAlignment w:val="auto"/>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酸雾喷淋塔结构示意图</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jc w:val="both"/>
              <w:textAlignment w:val="auto"/>
              <w:rPr>
                <w:rFonts w:hint="default" w:ascii="Times New Roman" w:hAnsi="Times New Roman" w:cs="Times New Roman"/>
                <w:b w:val="0"/>
                <w:bCs w:val="0"/>
                <w:color w:val="000000" w:themeColor="text1"/>
                <w:kern w:val="0"/>
                <w:sz w:val="21"/>
                <w:szCs w:val="21"/>
                <w:highlight w:val="none"/>
                <w:lang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lang w:eastAsia="zh-CN"/>
                <w14:textFill>
                  <w14:solidFill>
                    <w14:schemeClr w14:val="tx1"/>
                  </w14:solidFill>
                </w14:textFill>
              </w:rPr>
              <w:t>参照《江东科技有限公司特种光纤系列产品项目验收监测报告》（NVTT-2017-0236，2017.3）（该公司涉及酸洗工序，使用硝酸和HF酸洗，产生的酸雾和本项目类似。）HF、硝酸雾经废气喷淋塔处理后，HF、硝酸雾最大排放浓度分别为</w:t>
            </w:r>
            <w:r>
              <w:rPr>
                <w:rFonts w:hint="eastAsia" w:cs="Times New Roman"/>
                <w:b w:val="0"/>
                <w:bCs w:val="0"/>
                <w:color w:val="000000" w:themeColor="text1"/>
                <w:kern w:val="0"/>
                <w:sz w:val="21"/>
                <w:szCs w:val="21"/>
                <w:highlight w:val="none"/>
                <w:lang w:val="en-US" w:eastAsia="zh-CN"/>
                <w14:textFill>
                  <w14:solidFill>
                    <w14:schemeClr w14:val="tx1"/>
                  </w14:solidFill>
                </w14:textFill>
              </w:rPr>
              <w:t>0.85</w:t>
            </w:r>
            <w:r>
              <w:rPr>
                <w:rFonts w:hint="default" w:ascii="Times New Roman" w:hAnsi="Times New Roman" w:cs="Times New Roman"/>
                <w:b w:val="0"/>
                <w:bCs w:val="0"/>
                <w:color w:val="000000" w:themeColor="text1"/>
                <w:kern w:val="0"/>
                <w:sz w:val="21"/>
                <w:szCs w:val="21"/>
                <w:highlight w:val="none"/>
                <w:lang w:eastAsia="zh-CN"/>
                <w14:textFill>
                  <w14:solidFill>
                    <w14:schemeClr w14:val="tx1"/>
                  </w14:solidFill>
                </w14:textFill>
              </w:rPr>
              <w:t>mg/m</w:t>
            </w:r>
            <w:r>
              <w:rPr>
                <w:rFonts w:hint="default" w:ascii="Times New Roman" w:hAnsi="Times New Roman" w:cs="Times New Roman"/>
                <w:b w:val="0"/>
                <w:bCs w:val="0"/>
                <w:color w:val="000000" w:themeColor="text1"/>
                <w:kern w:val="0"/>
                <w:sz w:val="21"/>
                <w:szCs w:val="21"/>
                <w:highlight w:val="none"/>
                <w:vertAlign w:val="superscript"/>
                <w:lang w:eastAsia="zh-CN"/>
                <w14:textFill>
                  <w14:solidFill>
                    <w14:schemeClr w14:val="tx1"/>
                  </w14:solidFill>
                </w14:textFill>
              </w:rPr>
              <w:t>3</w:t>
            </w:r>
            <w:r>
              <w:rPr>
                <w:rFonts w:hint="default" w:ascii="Times New Roman" w:hAnsi="Times New Roman" w:cs="Times New Roman"/>
                <w:b w:val="0"/>
                <w:bCs w:val="0"/>
                <w:color w:val="000000" w:themeColor="text1"/>
                <w:kern w:val="0"/>
                <w:sz w:val="21"/>
                <w:szCs w:val="21"/>
                <w:highlight w:val="none"/>
                <w:lang w:eastAsia="zh-CN"/>
                <w14:textFill>
                  <w14:solidFill>
                    <w14:schemeClr w14:val="tx1"/>
                  </w14:solidFill>
                </w14:textFill>
              </w:rPr>
              <w:t>、</w:t>
            </w:r>
            <w:r>
              <w:rPr>
                <w:rFonts w:hint="eastAsia" w:cs="Times New Roman"/>
                <w:b w:val="0"/>
                <w:bCs w:val="0"/>
                <w:color w:val="000000" w:themeColor="text1"/>
                <w:kern w:val="0"/>
                <w:sz w:val="21"/>
                <w:szCs w:val="21"/>
                <w:highlight w:val="none"/>
                <w:lang w:val="en-US" w:eastAsia="zh-CN"/>
                <w14:textFill>
                  <w14:solidFill>
                    <w14:schemeClr w14:val="tx1"/>
                  </w14:solidFill>
                </w14:textFill>
              </w:rPr>
              <w:t>7.09</w:t>
            </w:r>
            <w:r>
              <w:rPr>
                <w:rFonts w:hint="default" w:ascii="Times New Roman" w:hAnsi="Times New Roman" w:cs="Times New Roman"/>
                <w:b w:val="0"/>
                <w:bCs w:val="0"/>
                <w:color w:val="000000" w:themeColor="text1"/>
                <w:kern w:val="0"/>
                <w:sz w:val="21"/>
                <w:szCs w:val="21"/>
                <w:highlight w:val="none"/>
                <w:lang w:eastAsia="zh-CN"/>
                <w14:textFill>
                  <w14:solidFill>
                    <w14:schemeClr w14:val="tx1"/>
                  </w14:solidFill>
                </w14:textFill>
              </w:rPr>
              <w:t>mg/m</w:t>
            </w:r>
            <w:r>
              <w:rPr>
                <w:rFonts w:hint="default" w:ascii="Times New Roman" w:hAnsi="Times New Roman" w:cs="Times New Roman"/>
                <w:b w:val="0"/>
                <w:bCs w:val="0"/>
                <w:color w:val="000000" w:themeColor="text1"/>
                <w:kern w:val="0"/>
                <w:sz w:val="21"/>
                <w:szCs w:val="21"/>
                <w:highlight w:val="none"/>
                <w:vertAlign w:val="superscript"/>
                <w:lang w:eastAsia="zh-CN"/>
                <w14:textFill>
                  <w14:solidFill>
                    <w14:schemeClr w14:val="tx1"/>
                  </w14:solidFill>
                </w14:textFill>
              </w:rPr>
              <w:t>3</w:t>
            </w:r>
            <w:r>
              <w:rPr>
                <w:rFonts w:hint="default" w:ascii="Times New Roman" w:hAnsi="Times New Roman" w:cs="Times New Roman"/>
                <w:b w:val="0"/>
                <w:bCs w:val="0"/>
                <w:color w:val="000000" w:themeColor="text1"/>
                <w:kern w:val="0"/>
                <w:sz w:val="21"/>
                <w:szCs w:val="21"/>
                <w:highlight w:val="none"/>
                <w:lang w:eastAsia="zh-CN"/>
                <w14:textFill>
                  <w14:solidFill>
                    <w14:schemeClr w14:val="tx1"/>
                  </w14:solidFill>
                </w14:textFill>
              </w:rPr>
              <w:t>；排放速率分别为</w:t>
            </w:r>
            <w:r>
              <w:rPr>
                <w:rFonts w:hint="eastAsia" w:cs="Times New Roman"/>
                <w:b w:val="0"/>
                <w:bCs w:val="0"/>
                <w:color w:val="000000" w:themeColor="text1"/>
                <w:kern w:val="0"/>
                <w:sz w:val="21"/>
                <w:szCs w:val="21"/>
                <w:highlight w:val="none"/>
                <w:lang w:val="en-US" w:eastAsia="zh-CN"/>
                <w14:textFill>
                  <w14:solidFill>
                    <w14:schemeClr w14:val="tx1"/>
                  </w14:solidFill>
                </w14:textFill>
              </w:rPr>
              <w:t>0.002</w:t>
            </w:r>
            <w:r>
              <w:rPr>
                <w:rFonts w:hint="default" w:ascii="Times New Roman" w:hAnsi="Times New Roman" w:cs="Times New Roman"/>
                <w:b w:val="0"/>
                <w:bCs w:val="0"/>
                <w:color w:val="000000" w:themeColor="text1"/>
                <w:kern w:val="0"/>
                <w:sz w:val="21"/>
                <w:szCs w:val="21"/>
                <w:highlight w:val="none"/>
                <w:lang w:eastAsia="zh-CN"/>
                <w14:textFill>
                  <w14:solidFill>
                    <w14:schemeClr w14:val="tx1"/>
                  </w14:solidFill>
                </w14:textFill>
              </w:rPr>
              <w:t>kg/h、</w:t>
            </w:r>
            <w:r>
              <w:rPr>
                <w:rFonts w:hint="eastAsia" w:cs="Times New Roman"/>
                <w:b w:val="0"/>
                <w:bCs w:val="0"/>
                <w:color w:val="000000" w:themeColor="text1"/>
                <w:kern w:val="0"/>
                <w:sz w:val="21"/>
                <w:szCs w:val="21"/>
                <w:highlight w:val="none"/>
                <w:lang w:val="en-US" w:eastAsia="zh-CN"/>
                <w14:textFill>
                  <w14:solidFill>
                    <w14:schemeClr w14:val="tx1"/>
                  </w14:solidFill>
                </w14:textFill>
              </w:rPr>
              <w:t>0.014</w:t>
            </w:r>
            <w:r>
              <w:rPr>
                <w:rFonts w:hint="default" w:ascii="Times New Roman" w:hAnsi="Times New Roman" w:cs="Times New Roman"/>
                <w:b w:val="0"/>
                <w:bCs w:val="0"/>
                <w:color w:val="000000" w:themeColor="text1"/>
                <w:kern w:val="0"/>
                <w:sz w:val="21"/>
                <w:szCs w:val="21"/>
                <w:highlight w:val="none"/>
                <w:lang w:eastAsia="zh-CN"/>
                <w14:textFill>
                  <w14:solidFill>
                    <w14:schemeClr w14:val="tx1"/>
                  </w14:solidFill>
                </w14:textFill>
              </w:rPr>
              <w:t>kg/h；因此本项目酸雾废气采用</w:t>
            </w:r>
            <w:r>
              <w:rPr>
                <w:rFonts w:hint="eastAsia" w:cs="Times New Roman"/>
                <w:b w:val="0"/>
                <w:bCs w:val="0"/>
                <w:color w:val="000000" w:themeColor="text1"/>
                <w:kern w:val="0"/>
                <w:sz w:val="21"/>
                <w:szCs w:val="21"/>
                <w:highlight w:val="none"/>
                <w:lang w:eastAsia="zh-CN"/>
                <w14:textFill>
                  <w14:solidFill>
                    <w14:schemeClr w14:val="tx1"/>
                  </w14:solidFill>
                </w14:textFill>
              </w:rPr>
              <w:t>两级酸雾</w:t>
            </w:r>
            <w:r>
              <w:rPr>
                <w:rFonts w:hint="default" w:ascii="Times New Roman" w:hAnsi="Times New Roman" w:cs="Times New Roman"/>
                <w:b w:val="0"/>
                <w:bCs w:val="0"/>
                <w:color w:val="000000" w:themeColor="text1"/>
                <w:kern w:val="0"/>
                <w:sz w:val="21"/>
                <w:szCs w:val="21"/>
                <w:highlight w:val="none"/>
                <w:lang w:eastAsia="zh-CN"/>
                <w14:textFill>
                  <w14:solidFill>
                    <w14:schemeClr w14:val="tx1"/>
                  </w14:solidFill>
                </w14:textFill>
              </w:rPr>
              <w:t>喷淋塔处理，外排废气能够实现达标排放，治理措施可行。</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2" w:firstLineChars="200"/>
              <w:jc w:val="both"/>
              <w:textAlignment w:val="auto"/>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lang w:eastAsia="zh-CN"/>
                <w14:textFill>
                  <w14:solidFill>
                    <w14:schemeClr w14:val="tx1"/>
                  </w14:solidFill>
                </w14:textFill>
              </w:rPr>
              <w:t>（</w:t>
            </w: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3</w:t>
            </w:r>
            <w:r>
              <w:rPr>
                <w:rFonts w:hint="default" w:ascii="Times New Roman" w:hAnsi="Times New Roman" w:cs="Times New Roman"/>
                <w:b/>
                <w:bCs/>
                <w:color w:val="000000" w:themeColor="text1"/>
                <w:kern w:val="0"/>
                <w:sz w:val="21"/>
                <w:szCs w:val="21"/>
                <w:highlight w:val="none"/>
                <w:lang w:eastAsia="zh-CN"/>
                <w14:textFill>
                  <w14:solidFill>
                    <w14:schemeClr w14:val="tx1"/>
                  </w14:solidFill>
                </w14:textFill>
              </w:rPr>
              <w:t>）大气环境影响分析</w:t>
            </w:r>
          </w:p>
          <w:p>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jc w:val="both"/>
              <w:textAlignment w:val="auto"/>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根据《新乡市2021年环境质量年报》数据，项目所在区域为不达标区。目前，新乡市正在实施《新乡市2022年大气污染防治攻坚战实施方案》等措施，将不断改善区域大气环境质量。</w:t>
            </w:r>
          </w:p>
          <w:p>
            <w:pPr>
              <w:keepNext w:val="0"/>
              <w:keepLines w:val="0"/>
              <w:pageBreakBefore w:val="0"/>
              <w:widowControl w:val="0"/>
              <w:kinsoku/>
              <w:wordWrap/>
              <w:overflowPunct/>
              <w:topLinePunct w:val="0"/>
              <w:autoSpaceDE w:val="0"/>
              <w:autoSpaceDN w:val="0"/>
              <w:bidi w:val="0"/>
              <w:adjustRightInd/>
              <w:snapToGrid/>
              <w:spacing w:line="360" w:lineRule="auto"/>
              <w:ind w:left="0" w:firstLine="420" w:firstLineChars="200"/>
              <w:jc w:val="both"/>
              <w:textAlignment w:val="auto"/>
              <w:rPr>
                <w:rFonts w:hint="default" w:ascii="Times New Roman" w:hAnsi="Times New Roman" w:cs="Times New Roman"/>
                <w:bCs/>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kern w:val="0"/>
                <w:szCs w:val="21"/>
                <w:highlight w:val="none"/>
                <w14:textFill>
                  <w14:solidFill>
                    <w14:schemeClr w14:val="tx1"/>
                  </w14:solidFill>
                </w14:textFill>
              </w:rPr>
              <w:t>根据现场勘查，</w:t>
            </w:r>
            <w:r>
              <w:rPr>
                <w:rFonts w:hint="default" w:ascii="Times New Roman" w:hAnsi="Times New Roman" w:cs="Times New Roman"/>
                <w:b/>
                <w:bCs w:val="0"/>
                <w:color w:val="000000" w:themeColor="text1"/>
                <w:kern w:val="0"/>
                <w:szCs w:val="21"/>
                <w:highlight w:val="none"/>
                <w:u w:val="single"/>
                <w14:textFill>
                  <w14:solidFill>
                    <w14:schemeClr w14:val="tx1"/>
                  </w14:solidFill>
                </w14:textFill>
              </w:rPr>
              <w:t>距离本项目</w:t>
            </w:r>
            <w:r>
              <w:rPr>
                <w:rFonts w:hint="eastAsia" w:cs="Times New Roman"/>
                <w:b/>
                <w:bCs w:val="0"/>
                <w:color w:val="000000" w:themeColor="text1"/>
                <w:kern w:val="0"/>
                <w:szCs w:val="21"/>
                <w:highlight w:val="none"/>
                <w:u w:val="single"/>
                <w:lang w:eastAsia="zh-CN"/>
                <w14:textFill>
                  <w14:solidFill>
                    <w14:schemeClr w14:val="tx1"/>
                  </w14:solidFill>
                </w14:textFill>
              </w:rPr>
              <w:t>周边</w:t>
            </w:r>
            <w:r>
              <w:rPr>
                <w:rFonts w:hint="default" w:ascii="Times New Roman" w:hAnsi="Times New Roman" w:cs="Times New Roman"/>
                <w:b/>
                <w:bCs w:val="0"/>
                <w:color w:val="000000" w:themeColor="text1"/>
                <w:kern w:val="0"/>
                <w:szCs w:val="21"/>
                <w:highlight w:val="none"/>
                <w:u w:val="single"/>
                <w14:textFill>
                  <w14:solidFill>
                    <w14:schemeClr w14:val="tx1"/>
                  </w14:solidFill>
                </w14:textFill>
              </w:rPr>
              <w:t>敏感点为南侧</w:t>
            </w:r>
            <w:r>
              <w:rPr>
                <w:rFonts w:hint="default" w:ascii="Times New Roman" w:hAnsi="Times New Roman" w:cs="Times New Roman"/>
                <w:b/>
                <w:bCs w:val="0"/>
                <w:color w:val="000000" w:themeColor="text1"/>
                <w:kern w:val="0"/>
                <w:szCs w:val="21"/>
                <w:highlight w:val="none"/>
                <w:u w:val="single"/>
                <w:lang w:val="en-US" w:eastAsia="zh-CN"/>
                <w14:textFill>
                  <w14:solidFill>
                    <w14:schemeClr w14:val="tx1"/>
                  </w14:solidFill>
                </w14:textFill>
              </w:rPr>
              <w:t>50</w:t>
            </w:r>
            <w:r>
              <w:rPr>
                <w:rFonts w:hint="default" w:ascii="Times New Roman" w:hAnsi="Times New Roman" w:cs="Times New Roman"/>
                <w:b/>
                <w:bCs w:val="0"/>
                <w:color w:val="000000" w:themeColor="text1"/>
                <w:kern w:val="0"/>
                <w:szCs w:val="21"/>
                <w:highlight w:val="none"/>
                <w:u w:val="single"/>
                <w14:textFill>
                  <w14:solidFill>
                    <w14:schemeClr w14:val="tx1"/>
                  </w14:solidFill>
                </w14:textFill>
              </w:rPr>
              <w:t>m处的</w:t>
            </w:r>
            <w:r>
              <w:rPr>
                <w:rFonts w:hint="default" w:ascii="Times New Roman" w:hAnsi="Times New Roman" w:cs="Times New Roman"/>
                <w:b/>
                <w:bCs w:val="0"/>
                <w:color w:val="000000" w:themeColor="text1"/>
                <w:kern w:val="0"/>
                <w:szCs w:val="21"/>
                <w:highlight w:val="none"/>
                <w:u w:val="single"/>
                <w:lang w:eastAsia="zh-CN"/>
                <w14:textFill>
                  <w14:solidFill>
                    <w14:schemeClr w14:val="tx1"/>
                  </w14:solidFill>
                </w14:textFill>
              </w:rPr>
              <w:t>西街</w:t>
            </w:r>
            <w:r>
              <w:rPr>
                <w:rFonts w:hint="default" w:ascii="Times New Roman" w:hAnsi="Times New Roman" w:cs="Times New Roman"/>
                <w:b/>
                <w:bCs w:val="0"/>
                <w:color w:val="000000" w:themeColor="text1"/>
                <w:kern w:val="0"/>
                <w:szCs w:val="21"/>
                <w:highlight w:val="none"/>
                <w:u w:val="single"/>
                <w14:textFill>
                  <w14:solidFill>
                    <w14:schemeClr w14:val="tx1"/>
                  </w14:solidFill>
                </w14:textFill>
              </w:rPr>
              <w:t>村</w:t>
            </w:r>
            <w:r>
              <w:rPr>
                <w:rFonts w:hint="eastAsia" w:cs="Times New Roman"/>
                <w:b/>
                <w:bCs w:val="0"/>
                <w:color w:val="000000" w:themeColor="text1"/>
                <w:kern w:val="0"/>
                <w:szCs w:val="21"/>
                <w:highlight w:val="none"/>
                <w:u w:val="single"/>
                <w:lang w:eastAsia="zh-CN"/>
                <w14:textFill>
                  <w14:solidFill>
                    <w14:schemeClr w14:val="tx1"/>
                  </w14:solidFill>
                </w14:textFill>
              </w:rPr>
              <w:t>，东南</w:t>
            </w:r>
            <w:r>
              <w:rPr>
                <w:rFonts w:hint="eastAsia" w:cs="Times New Roman"/>
                <w:b/>
                <w:bCs w:val="0"/>
                <w:color w:val="000000" w:themeColor="text1"/>
                <w:kern w:val="0"/>
                <w:szCs w:val="21"/>
                <w:highlight w:val="none"/>
                <w:u w:val="single"/>
                <w:lang w:val="en-US" w:eastAsia="zh-CN"/>
                <w14:textFill>
                  <w14:solidFill>
                    <w14:schemeClr w14:val="tx1"/>
                  </w14:solidFill>
                </w14:textFill>
              </w:rPr>
              <w:t>340m处金典花园居民区</w:t>
            </w:r>
            <w:r>
              <w:rPr>
                <w:rFonts w:hint="eastAsia" w:cs="Times New Roman"/>
                <w:b/>
                <w:bCs w:val="0"/>
                <w:color w:val="000000" w:themeColor="text1"/>
                <w:kern w:val="0"/>
                <w:szCs w:val="21"/>
                <w:highlight w:val="none"/>
                <w:u w:val="single"/>
                <w:lang w:eastAsia="zh-CN"/>
                <w14:textFill>
                  <w14:solidFill>
                    <w14:schemeClr w14:val="tx1"/>
                  </w14:solidFill>
                </w14:textFill>
              </w:rPr>
              <w:t>，东侧</w:t>
            </w:r>
            <w:r>
              <w:rPr>
                <w:rFonts w:hint="eastAsia" w:cs="Times New Roman"/>
                <w:b/>
                <w:bCs w:val="0"/>
                <w:color w:val="000000" w:themeColor="text1"/>
                <w:kern w:val="0"/>
                <w:szCs w:val="21"/>
                <w:highlight w:val="none"/>
                <w:u w:val="single"/>
                <w:lang w:val="en-US" w:eastAsia="zh-CN"/>
                <w14:textFill>
                  <w14:solidFill>
                    <w14:schemeClr w14:val="tx1"/>
                  </w14:solidFill>
                </w14:textFill>
              </w:rPr>
              <w:t>225m处新乡县卫生学校、东侧330m处新乡县公安局司鉴定中心和东侧440m处新乡县人民医院</w:t>
            </w:r>
            <w:r>
              <w:rPr>
                <w:rFonts w:hint="eastAsia" w:cs="Times New Roman"/>
                <w:b/>
                <w:bCs w:val="0"/>
                <w:color w:val="000000" w:themeColor="text1"/>
                <w:kern w:val="0"/>
                <w:szCs w:val="21"/>
                <w:highlight w:val="none"/>
                <w:u w:val="single"/>
                <w:lang w:eastAsia="zh-CN"/>
                <w14:textFill>
                  <w14:solidFill>
                    <w14:schemeClr w14:val="tx1"/>
                  </w14:solidFill>
                </w14:textFill>
              </w:rPr>
              <w:t>，</w:t>
            </w:r>
            <w:r>
              <w:rPr>
                <w:rFonts w:hint="default" w:ascii="Times New Roman" w:hAnsi="Times New Roman" w:cs="Times New Roman"/>
                <w:b/>
                <w:bCs w:val="0"/>
                <w:color w:val="000000" w:themeColor="text1"/>
                <w:kern w:val="0"/>
                <w:szCs w:val="21"/>
                <w:highlight w:val="none"/>
                <w:u w:val="single"/>
                <w14:textFill>
                  <w14:solidFill>
                    <w14:schemeClr w14:val="tx1"/>
                  </w14:solidFill>
                </w14:textFill>
              </w:rPr>
              <w:t>本项目距离</w:t>
            </w:r>
            <w:r>
              <w:rPr>
                <w:rFonts w:hint="eastAsia" w:cs="Times New Roman"/>
                <w:b/>
                <w:bCs w:val="0"/>
                <w:color w:val="000000" w:themeColor="text1"/>
                <w:kern w:val="0"/>
                <w:szCs w:val="21"/>
                <w:highlight w:val="none"/>
                <w:u w:val="single"/>
                <w:lang w:eastAsia="zh-CN"/>
                <w14:textFill>
                  <w14:solidFill>
                    <w14:schemeClr w14:val="tx1"/>
                  </w14:solidFill>
                </w14:textFill>
              </w:rPr>
              <w:t>最近的</w:t>
            </w:r>
            <w:r>
              <w:rPr>
                <w:rFonts w:hint="default" w:ascii="Times New Roman" w:hAnsi="Times New Roman" w:cs="Times New Roman"/>
                <w:b/>
                <w:bCs w:val="0"/>
                <w:color w:val="000000" w:themeColor="text1"/>
                <w:kern w:val="0"/>
                <w:szCs w:val="21"/>
                <w:highlight w:val="none"/>
                <w:u w:val="single"/>
                <w14:textFill>
                  <w14:solidFill>
                    <w14:schemeClr w14:val="tx1"/>
                  </w14:solidFill>
                </w14:textFill>
              </w:rPr>
              <w:t>敏感点</w:t>
            </w:r>
            <w:r>
              <w:rPr>
                <w:rFonts w:hint="eastAsia" w:cs="Times New Roman"/>
                <w:b/>
                <w:bCs w:val="0"/>
                <w:color w:val="000000" w:themeColor="text1"/>
                <w:kern w:val="0"/>
                <w:szCs w:val="21"/>
                <w:highlight w:val="none"/>
                <w:u w:val="single"/>
                <w:lang w:eastAsia="zh-CN"/>
                <w14:textFill>
                  <w14:solidFill>
                    <w14:schemeClr w14:val="tx1"/>
                  </w14:solidFill>
                </w14:textFill>
              </w:rPr>
              <w:t>为南侧</w:t>
            </w:r>
            <w:r>
              <w:rPr>
                <w:rFonts w:hint="default" w:ascii="Times New Roman" w:hAnsi="Times New Roman" w:cs="Times New Roman"/>
                <w:b/>
                <w:bCs w:val="0"/>
                <w:color w:val="000000" w:themeColor="text1"/>
                <w:kern w:val="0"/>
                <w:szCs w:val="21"/>
                <w:highlight w:val="none"/>
                <w:u w:val="single"/>
                <w:lang w:val="en-US" w:eastAsia="zh-CN"/>
                <w14:textFill>
                  <w14:solidFill>
                    <w14:schemeClr w14:val="tx1"/>
                  </w14:solidFill>
                </w14:textFill>
              </w:rPr>
              <w:t>50</w:t>
            </w:r>
            <w:r>
              <w:rPr>
                <w:rFonts w:hint="default" w:ascii="Times New Roman" w:hAnsi="Times New Roman" w:cs="Times New Roman"/>
                <w:b/>
                <w:bCs w:val="0"/>
                <w:color w:val="000000" w:themeColor="text1"/>
                <w:kern w:val="0"/>
                <w:szCs w:val="21"/>
                <w:highlight w:val="none"/>
                <w:u w:val="single"/>
                <w14:textFill>
                  <w14:solidFill>
                    <w14:schemeClr w14:val="tx1"/>
                  </w14:solidFill>
                </w14:textFill>
              </w:rPr>
              <w:t>m处的</w:t>
            </w:r>
            <w:r>
              <w:rPr>
                <w:rFonts w:hint="default" w:ascii="Times New Roman" w:hAnsi="Times New Roman" w:cs="Times New Roman"/>
                <w:b/>
                <w:bCs w:val="0"/>
                <w:color w:val="000000" w:themeColor="text1"/>
                <w:kern w:val="0"/>
                <w:szCs w:val="21"/>
                <w:highlight w:val="none"/>
                <w:u w:val="single"/>
                <w:lang w:eastAsia="zh-CN"/>
                <w14:textFill>
                  <w14:solidFill>
                    <w14:schemeClr w14:val="tx1"/>
                  </w14:solidFill>
                </w14:textFill>
              </w:rPr>
              <w:t>西街</w:t>
            </w:r>
            <w:r>
              <w:rPr>
                <w:rFonts w:hint="default" w:ascii="Times New Roman" w:hAnsi="Times New Roman" w:cs="Times New Roman"/>
                <w:b/>
                <w:bCs w:val="0"/>
                <w:color w:val="000000" w:themeColor="text1"/>
                <w:kern w:val="0"/>
                <w:szCs w:val="21"/>
                <w:highlight w:val="none"/>
                <w:u w:val="single"/>
                <w14:textFill>
                  <w14:solidFill>
                    <w14:schemeClr w14:val="tx1"/>
                  </w14:solidFill>
                </w14:textFill>
              </w:rPr>
              <w:t>村</w:t>
            </w:r>
            <w:r>
              <w:rPr>
                <w:rFonts w:hint="eastAsia" w:cs="Times New Roman"/>
                <w:bCs/>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bCs/>
                <w:color w:val="000000" w:themeColor="text1"/>
                <w:kern w:val="0"/>
                <w:szCs w:val="21"/>
                <w:highlight w:val="none"/>
                <w14:textFill>
                  <w14:solidFill>
                    <w14:schemeClr w14:val="tx1"/>
                  </w14:solidFill>
                </w14:textFill>
              </w:rPr>
              <w:t>本项目</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针对生产过程切割、打磨、焊接等工序均设置二次密闭</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+负压集气罩进行收集，并通过配套设置脉冲袋式除尘器进行处理，燃气炉废气通过设置选择性催化还原（SCR）装置进行处理，酸洗过程酸雾废气</w:t>
            </w:r>
            <w:r>
              <w:rPr>
                <w:rFonts w:hint="eastAsia" w:cs="Times New Roman"/>
                <w:bCs/>
                <w:color w:val="000000" w:themeColor="text1"/>
                <w:kern w:val="0"/>
                <w:szCs w:val="21"/>
                <w:highlight w:val="none"/>
                <w:lang w:val="en-US" w:eastAsia="zh-CN"/>
                <w14:textFill>
                  <w14:solidFill>
                    <w14:schemeClr w14:val="tx1"/>
                  </w14:solidFill>
                </w14:textFill>
              </w:rPr>
              <w:t>设置二次密闭间收集，并</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采用两级喷淋装置进行处理，项目</w:t>
            </w:r>
            <w:r>
              <w:rPr>
                <w:rFonts w:hint="default" w:ascii="Times New Roman" w:hAnsi="Times New Roman" w:cs="Times New Roman"/>
                <w:bCs/>
                <w:color w:val="000000" w:themeColor="text1"/>
                <w:kern w:val="0"/>
                <w:szCs w:val="21"/>
                <w:highlight w:val="none"/>
                <w14:textFill>
                  <w14:solidFill>
                    <w14:schemeClr w14:val="tx1"/>
                  </w14:solidFill>
                </w14:textFill>
              </w:rPr>
              <w:t>严格的环保</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收集和处理措施，不会对周围环境敏感目标产生较大影响</w:t>
            </w:r>
            <w:r>
              <w:rPr>
                <w:rFonts w:hint="default" w:ascii="Times New Roman" w:hAnsi="Times New Roman" w:cs="Times New Roman"/>
                <w:bCs/>
                <w:color w:val="000000" w:themeColor="text1"/>
                <w:kern w:val="0"/>
                <w:szCs w:val="21"/>
                <w:highlight w:val="none"/>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200"/>
              <w:textAlignment w:val="auto"/>
              <w:rPr>
                <w:rFonts w:hint="default"/>
                <w:color w:val="000000" w:themeColor="text1"/>
                <w:lang w:eastAsia="zh-CN"/>
                <w14:textFill>
                  <w14:solidFill>
                    <w14:schemeClr w14:val="tx1"/>
                  </w14:solidFill>
                </w14:textFill>
              </w:rPr>
            </w:pPr>
            <w:r>
              <w:rPr>
                <w:rFonts w:hint="default" w:ascii="Times New Roman" w:hAnsi="Times New Roman" w:cs="Times New Roman"/>
                <w:bCs/>
                <w:color w:val="000000" w:themeColor="text1"/>
                <w:kern w:val="0"/>
                <w:szCs w:val="21"/>
                <w:highlight w:val="none"/>
                <w14:textFill>
                  <w14:solidFill>
                    <w14:schemeClr w14:val="tx1"/>
                  </w14:solidFill>
                </w14:textFill>
              </w:rPr>
              <w:t>综上，本项目</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建成</w:t>
            </w:r>
            <w:r>
              <w:rPr>
                <w:rFonts w:hint="default" w:ascii="Times New Roman" w:hAnsi="Times New Roman" w:cs="Times New Roman"/>
                <w:bCs/>
                <w:color w:val="000000" w:themeColor="text1"/>
                <w:kern w:val="0"/>
                <w:szCs w:val="21"/>
                <w:highlight w:val="none"/>
                <w14:textFill>
                  <w14:solidFill>
                    <w14:schemeClr w14:val="tx1"/>
                  </w14:solidFill>
                </w14:textFill>
              </w:rPr>
              <w:t>后对周边环境的影响是可以接受的。</w:t>
            </w:r>
            <w:r>
              <w:rPr>
                <w:rFonts w:hint="default" w:ascii="Times New Roman" w:hAnsi="Times New Roman" w:cs="Times New Roman"/>
                <w:bCs/>
                <w:color w:val="000000" w:themeColor="text1"/>
                <w:kern w:val="0"/>
                <w:szCs w:val="21"/>
                <w:highlight w:val="none"/>
                <w14:textFill>
                  <w14:solidFill>
                    <w14:schemeClr w14:val="tx1"/>
                  </w14:solidFill>
                </w14:textFill>
              </w:rPr>
              <w:br w:type="textWrapping"/>
            </w:r>
            <w:r>
              <w:rPr>
                <w:rFonts w:hint="default" w:ascii="Times New Roman" w:hAnsi="Times New Roman" w:cs="Times New Roman"/>
                <w:b/>
                <w:bCs/>
                <w:color w:val="000000" w:themeColor="text1"/>
                <w:kern w:val="0"/>
                <w:sz w:val="21"/>
                <w:szCs w:val="21"/>
                <w:highlight w:val="none"/>
                <w:lang w:eastAsia="zh-CN"/>
                <w14:textFill>
                  <w14:solidFill>
                    <w14:schemeClr w14:val="tx1"/>
                  </w14:solidFill>
                </w14:textFill>
              </w:rPr>
              <w:t>（</w:t>
            </w: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4</w:t>
            </w:r>
            <w:r>
              <w:rPr>
                <w:rFonts w:hint="default" w:ascii="Times New Roman" w:hAnsi="Times New Roman" w:cs="Times New Roman"/>
                <w:b/>
                <w:bCs/>
                <w:color w:val="000000" w:themeColor="text1"/>
                <w:kern w:val="0"/>
                <w:sz w:val="21"/>
                <w:szCs w:val="21"/>
                <w:highlight w:val="none"/>
                <w:lang w:eastAsia="zh-CN"/>
                <w14:textFill>
                  <w14:solidFill>
                    <w14:schemeClr w14:val="tx1"/>
                  </w14:solidFill>
                </w14:textFill>
              </w:rPr>
              <w:t>）污染物排放量核算</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b w:val="0"/>
                <w:b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1"/>
                <w:szCs w:val="21"/>
                <w:highlight w:val="none"/>
                <w:u w:val="none"/>
                <w:lang w:val="en-US" w:eastAsia="zh-CN"/>
                <w14:textFill>
                  <w14:solidFill>
                    <w14:schemeClr w14:val="tx1"/>
                  </w14:solidFill>
                </w14:textFill>
              </w:rPr>
              <w:t>大气污染物有组织排放量核算表</w:t>
            </w:r>
          </w:p>
          <w:tbl>
            <w:tblPr>
              <w:tblStyle w:val="21"/>
              <w:tblW w:w="4996"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602"/>
              <w:gridCol w:w="2160"/>
              <w:gridCol w:w="1327"/>
              <w:gridCol w:w="1327"/>
              <w:gridCol w:w="1325"/>
              <w:gridCol w:w="1338"/>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373"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t>序号</w:t>
                  </w:r>
                </w:p>
              </w:tc>
              <w:tc>
                <w:tcPr>
                  <w:tcW w:w="1336"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t>排放口编号</w:t>
                  </w:r>
                </w:p>
              </w:tc>
              <w:tc>
                <w:tcPr>
                  <w:tcW w:w="821"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t>污染物</w:t>
                  </w:r>
                </w:p>
              </w:tc>
              <w:tc>
                <w:tcPr>
                  <w:tcW w:w="821"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t>核算排放浓度/</w:t>
                  </w:r>
                </w:p>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t>（mg/</w:t>
                  </w: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m</w:t>
                  </w:r>
                  <w:r>
                    <w:rPr>
                      <w:rFonts w:hint="default" w:ascii="Times New Roman" w:hAnsi="Times New Roman" w:cs="Times New Roman"/>
                      <w:b w:val="0"/>
                      <w:bCs w:val="0"/>
                      <w:color w:val="000000" w:themeColor="text1"/>
                      <w:sz w:val="18"/>
                      <w:szCs w:val="18"/>
                      <w:highlight w:val="none"/>
                      <w:u w:val="none"/>
                      <w:vertAlign w:val="superscript"/>
                      <w:lang w:val="en-US" w:eastAsia="zh-CN"/>
                      <w14:textFill>
                        <w14:solidFill>
                          <w14:schemeClr w14:val="tx1"/>
                        </w14:solidFill>
                      </w14:textFill>
                    </w:rPr>
                    <w:t>3</w:t>
                  </w:r>
                  <w: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t>）</w:t>
                  </w:r>
                </w:p>
              </w:tc>
              <w:tc>
                <w:tcPr>
                  <w:tcW w:w="820"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t>核算排放速率/</w:t>
                  </w:r>
                </w:p>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t>（kg/h）</w:t>
                  </w:r>
                </w:p>
              </w:tc>
              <w:tc>
                <w:tcPr>
                  <w:tcW w:w="826"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t>核算年排放量/</w:t>
                  </w:r>
                </w:p>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t>（t/a）</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5000" w:type="pct"/>
                  <w:gridSpan w:val="6"/>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eastAsia="zh-CN"/>
                      <w14:textFill>
                        <w14:solidFill>
                          <w14:schemeClr w14:val="tx1"/>
                        </w14:solidFill>
                      </w14:textFill>
                    </w:rPr>
                    <w:t>一般</w:t>
                  </w:r>
                  <w: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t>排放口</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373" w:type="pct"/>
                  <w:vMerge w:val="restar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1</w:t>
                  </w:r>
                </w:p>
              </w:tc>
              <w:tc>
                <w:tcPr>
                  <w:tcW w:w="1336" w:type="pct"/>
                  <w:vMerge w:val="restart"/>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18"/>
                      <w:szCs w:val="18"/>
                      <w:highlight w:val="none"/>
                      <w:u w:val="none"/>
                      <w14:textFill>
                        <w14:solidFill>
                          <w14:schemeClr w14:val="tx1"/>
                        </w14:solidFill>
                      </w14:textFill>
                    </w:rPr>
                    <w:t>DA00</w:t>
                  </w:r>
                  <w:r>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t>1</w:t>
                  </w:r>
                </w:p>
              </w:tc>
              <w:tc>
                <w:tcPr>
                  <w:tcW w:w="821"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eastAsia="宋体" w:cs="Times New Roman"/>
                      <w:b w:val="0"/>
                      <w:bCs w:val="0"/>
                      <w:color w:val="000000" w:themeColor="text1"/>
                      <w:sz w:val="18"/>
                      <w:szCs w:val="18"/>
                      <w:highlight w:val="none"/>
                      <w:u w:val="none"/>
                      <w:lang w:val="fr-FR"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fr-FR" w:eastAsia="zh-CN"/>
                      <w14:textFill>
                        <w14:solidFill>
                          <w14:schemeClr w14:val="tx1"/>
                        </w14:solidFill>
                      </w14:textFill>
                    </w:rPr>
                    <w:t>颗粒物</w:t>
                  </w:r>
                </w:p>
              </w:tc>
              <w:tc>
                <w:tcPr>
                  <w:tcW w:w="821" w:type="pct"/>
                  <w:noWrap w:val="0"/>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kern w:val="0"/>
                      <w:sz w:val="18"/>
                      <w:szCs w:val="18"/>
                      <w:highlight w:val="none"/>
                      <w:u w:val="non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5</w:t>
                  </w:r>
                </w:p>
              </w:tc>
              <w:tc>
                <w:tcPr>
                  <w:tcW w:w="820"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bidi="ar-SA"/>
                      <w14:textFill>
                        <w14:solidFill>
                          <w14:schemeClr w14:val="tx1"/>
                        </w14:solidFill>
                      </w14:textFill>
                    </w:rPr>
                  </w:pPr>
                  <w:r>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t>0.0306</w:t>
                  </w:r>
                </w:p>
              </w:tc>
              <w:tc>
                <w:tcPr>
                  <w:tcW w:w="826"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0.0734</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373" w:type="pct"/>
                  <w:vMerge w:val="continue"/>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p>
              </w:tc>
              <w:tc>
                <w:tcPr>
                  <w:tcW w:w="1336" w:type="pct"/>
                  <w:vMerge w:val="continue"/>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14:textFill>
                        <w14:solidFill>
                          <w14:schemeClr w14:val="tx1"/>
                        </w14:solidFill>
                      </w14:textFill>
                    </w:rPr>
                  </w:pPr>
                </w:p>
              </w:tc>
              <w:tc>
                <w:tcPr>
                  <w:tcW w:w="821"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SO</w:t>
                  </w:r>
                  <w:r>
                    <w:rPr>
                      <w:rFonts w:hint="default" w:ascii="Times New Roman" w:hAnsi="Times New Roman" w:cs="Times New Roman"/>
                      <w:b w:val="0"/>
                      <w:bCs w:val="0"/>
                      <w:color w:val="000000" w:themeColor="text1"/>
                      <w:sz w:val="18"/>
                      <w:szCs w:val="18"/>
                      <w:highlight w:val="none"/>
                      <w:u w:val="none"/>
                      <w:vertAlign w:val="subscript"/>
                      <w:lang w:val="en-US" w:eastAsia="zh-CN"/>
                      <w14:textFill>
                        <w14:solidFill>
                          <w14:schemeClr w14:val="tx1"/>
                        </w14:solidFill>
                      </w14:textFill>
                    </w:rPr>
                    <w:t>2</w:t>
                  </w:r>
                </w:p>
              </w:tc>
              <w:tc>
                <w:tcPr>
                  <w:tcW w:w="821" w:type="pct"/>
                  <w:noWrap w:val="0"/>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kern w:val="0"/>
                      <w:sz w:val="18"/>
                      <w:szCs w:val="18"/>
                      <w:highlight w:val="none"/>
                      <w:u w:val="non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9</w:t>
                  </w:r>
                </w:p>
              </w:tc>
              <w:tc>
                <w:tcPr>
                  <w:tcW w:w="820"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bidi="ar-SA"/>
                      <w14:textFill>
                        <w14:solidFill>
                          <w14:schemeClr w14:val="tx1"/>
                        </w14:solidFill>
                      </w14:textFill>
                    </w:rPr>
                  </w:pPr>
                  <w:r>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t>0.0255</w:t>
                  </w:r>
                </w:p>
              </w:tc>
              <w:tc>
                <w:tcPr>
                  <w:tcW w:w="826"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0.1322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373" w:type="pct"/>
                  <w:vMerge w:val="continue"/>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p>
              </w:tc>
              <w:tc>
                <w:tcPr>
                  <w:tcW w:w="1336" w:type="pct"/>
                  <w:vMerge w:val="continue"/>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14:textFill>
                        <w14:solidFill>
                          <w14:schemeClr w14:val="tx1"/>
                        </w14:solidFill>
                      </w14:textFill>
                    </w:rPr>
                  </w:pPr>
                </w:p>
              </w:tc>
              <w:tc>
                <w:tcPr>
                  <w:tcW w:w="821"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NO</w:t>
                  </w:r>
                  <w:r>
                    <w:rPr>
                      <w:rFonts w:hint="default" w:ascii="Times New Roman" w:hAnsi="Times New Roman" w:cs="Times New Roman"/>
                      <w:b w:val="0"/>
                      <w:bCs w:val="0"/>
                      <w:color w:val="000000" w:themeColor="text1"/>
                      <w:sz w:val="18"/>
                      <w:szCs w:val="18"/>
                      <w:highlight w:val="none"/>
                      <w:u w:val="none"/>
                      <w:vertAlign w:val="subscript"/>
                      <w:lang w:val="en-US" w:eastAsia="zh-CN"/>
                      <w14:textFill>
                        <w14:solidFill>
                          <w14:schemeClr w14:val="tx1"/>
                        </w14:solidFill>
                      </w14:textFill>
                    </w:rPr>
                    <w:t>x</w:t>
                  </w:r>
                </w:p>
              </w:tc>
              <w:tc>
                <w:tcPr>
                  <w:tcW w:w="821" w:type="pct"/>
                  <w:noWrap w:val="0"/>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kern w:val="0"/>
                      <w:sz w:val="18"/>
                      <w:szCs w:val="18"/>
                      <w:highlight w:val="none"/>
                      <w:u w:val="non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45</w:t>
                  </w:r>
                </w:p>
              </w:tc>
              <w:tc>
                <w:tcPr>
                  <w:tcW w:w="820"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bidi="ar-SA"/>
                      <w14:textFill>
                        <w14:solidFill>
                          <w14:schemeClr w14:val="tx1"/>
                        </w14:solidFill>
                      </w14:textFill>
                    </w:rPr>
                  </w:pPr>
                  <w:r>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t>0.275</w:t>
                  </w:r>
                </w:p>
              </w:tc>
              <w:tc>
                <w:tcPr>
                  <w:tcW w:w="82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14:textFill>
                        <w14:solidFill>
                          <w14:schemeClr w14:val="tx1"/>
                        </w14:solidFill>
                      </w14:textFill>
                    </w:rPr>
                    <w:t>0.661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373" w:type="pct"/>
                  <w:vMerge w:val="continue"/>
                  <w:tcBorders>
                    <w:bottom w:val="single" w:color="000000"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p>
              </w:tc>
              <w:tc>
                <w:tcPr>
                  <w:tcW w:w="1336" w:type="pct"/>
                  <w:vMerge w:val="continue"/>
                  <w:tcBorders>
                    <w:bottom w:val="single" w:color="000000" w:sz="4" w:space="0"/>
                  </w:tcBorders>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14:textFill>
                        <w14:solidFill>
                          <w14:schemeClr w14:val="tx1"/>
                        </w14:solidFill>
                      </w14:textFill>
                    </w:rPr>
                  </w:pPr>
                </w:p>
              </w:tc>
              <w:tc>
                <w:tcPr>
                  <w:tcW w:w="821"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氨</w:t>
                  </w:r>
                </w:p>
              </w:tc>
              <w:tc>
                <w:tcPr>
                  <w:tcW w:w="821"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t>7.9</w:t>
                  </w:r>
                </w:p>
              </w:tc>
              <w:tc>
                <w:tcPr>
                  <w:tcW w:w="820"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val="0"/>
                      <w:bCs w:val="0"/>
                      <w:i w:val="0"/>
                      <w:iCs w:val="0"/>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cs="Times New Roman"/>
                      <w:b/>
                      <w:bCs/>
                      <w:color w:val="000000" w:themeColor="text1"/>
                      <w:kern w:val="2"/>
                      <w:sz w:val="18"/>
                      <w:szCs w:val="18"/>
                      <w:highlight w:val="none"/>
                      <w:u w:val="single"/>
                      <w:lang w:val="en-US" w:eastAsia="zh-CN" w:bidi="ar-SA"/>
                      <w14:textFill>
                        <w14:solidFill>
                          <w14:schemeClr w14:val="tx1"/>
                        </w14:solidFill>
                      </w14:textFill>
                    </w:rPr>
                    <w:t xml:space="preserve">0.048 </w:t>
                  </w:r>
                </w:p>
              </w:tc>
              <w:tc>
                <w:tcPr>
                  <w:tcW w:w="82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bidi="ar-SA"/>
                      <w14:textFill>
                        <w14:solidFill>
                          <w14:schemeClr w14:val="tx1"/>
                        </w14:solidFill>
                      </w14:textFill>
                    </w:rPr>
                  </w:pPr>
                  <w:r>
                    <w:rPr>
                      <w:rFonts w:hint="default" w:ascii="Times New Roman" w:hAnsi="Times New Roman" w:cs="Times New Roman"/>
                      <w:b/>
                      <w:bCs/>
                      <w:color w:val="000000" w:themeColor="text1"/>
                      <w:sz w:val="18"/>
                      <w:szCs w:val="18"/>
                      <w:highlight w:val="none"/>
                      <w:u w:val="single"/>
                      <w:lang w:val="en-US" w:eastAsia="zh-CN" w:bidi="ar-SA"/>
                      <w14:textFill>
                        <w14:solidFill>
                          <w14:schemeClr w14:val="tx1"/>
                        </w14:solidFill>
                      </w14:textFill>
                    </w:rPr>
                    <w:t>0.116</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373" w:type="pct"/>
                  <w:tcBorders>
                    <w:bottom w:val="single" w:color="000000"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2</w:t>
                  </w:r>
                </w:p>
              </w:tc>
              <w:tc>
                <w:tcPr>
                  <w:tcW w:w="1336" w:type="pct"/>
                  <w:tcBorders>
                    <w:bottom w:val="single" w:color="000000" w:sz="4" w:space="0"/>
                  </w:tcBorders>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18"/>
                      <w:szCs w:val="18"/>
                      <w:highlight w:val="none"/>
                      <w:u w:val="none"/>
                      <w14:textFill>
                        <w14:solidFill>
                          <w14:schemeClr w14:val="tx1"/>
                        </w14:solidFill>
                      </w14:textFill>
                    </w:rPr>
                    <w:t>DA00</w:t>
                  </w:r>
                  <w:r>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t>2</w:t>
                  </w:r>
                </w:p>
              </w:tc>
              <w:tc>
                <w:tcPr>
                  <w:tcW w:w="821"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fr-FR" w:eastAsia="zh-CN"/>
                      <w14:textFill>
                        <w14:solidFill>
                          <w14:schemeClr w14:val="tx1"/>
                        </w14:solidFill>
                      </w14:textFill>
                    </w:rPr>
                    <w:t>颗粒物</w:t>
                  </w:r>
                </w:p>
              </w:tc>
              <w:tc>
                <w:tcPr>
                  <w:tcW w:w="1327"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kern w:val="2"/>
                      <w:sz w:val="18"/>
                      <w:szCs w:val="18"/>
                      <w:highlight w:val="none"/>
                      <w:u w:val="none"/>
                      <w:lang w:val="en-US" w:eastAsia="zh-CN" w:bidi="ar-SA"/>
                      <w14:textFill>
                        <w14:solidFill>
                          <w14:schemeClr w14:val="tx1"/>
                        </w14:solidFill>
                      </w14:textFill>
                    </w:rPr>
                  </w:pPr>
                  <w:r>
                    <w:rPr>
                      <w:rFonts w:hint="eastAsia" w:cs="Times New Roman"/>
                      <w:color w:val="000000" w:themeColor="text1"/>
                      <w:kern w:val="2"/>
                      <w:sz w:val="18"/>
                      <w:szCs w:val="18"/>
                      <w:highlight w:val="none"/>
                      <w:lang w:val="en-US" w:eastAsia="zh-CN" w:bidi="ar-SA"/>
                      <w14:textFill>
                        <w14:solidFill>
                          <w14:schemeClr w14:val="tx1"/>
                        </w14:solidFill>
                      </w14:textFill>
                    </w:rPr>
                    <w:t>2.23</w:t>
                  </w:r>
                </w:p>
              </w:tc>
              <w:tc>
                <w:tcPr>
                  <w:tcW w:w="1325" w:type="dxa"/>
                  <w:noWrap w:val="0"/>
                  <w:vAlign w:val="center"/>
                </w:tcPr>
                <w:p>
                  <w:pPr>
                    <w:keepNext w:val="0"/>
                    <w:keepLines w:val="0"/>
                    <w:pageBreakBefore w:val="0"/>
                    <w:widowControl/>
                    <w:suppressLineNumbers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b w:val="0"/>
                      <w:bCs w:val="0"/>
                      <w:i w:val="0"/>
                      <w:iCs w:val="0"/>
                      <w:color w:val="000000" w:themeColor="text1"/>
                      <w:kern w:val="0"/>
                      <w:sz w:val="18"/>
                      <w:szCs w:val="18"/>
                      <w:highlight w:val="none"/>
                      <w:u w:val="none"/>
                      <w:lang w:val="en-US" w:eastAsia="zh-CN" w:bidi="ar"/>
                      <w14:textFill>
                        <w14:solidFill>
                          <w14:schemeClr w14:val="tx1"/>
                        </w14:solidFill>
                      </w14:textFill>
                    </w:rPr>
                  </w:pPr>
                  <w:r>
                    <w:rPr>
                      <w:rFonts w:hint="eastAsia" w:cs="Times New Roman"/>
                      <w:i w:val="0"/>
                      <w:iCs w:val="0"/>
                      <w:color w:val="000000" w:themeColor="text1"/>
                      <w:kern w:val="0"/>
                      <w:sz w:val="18"/>
                      <w:szCs w:val="18"/>
                      <w:highlight w:val="none"/>
                      <w:u w:val="none"/>
                      <w:lang w:val="en-US" w:eastAsia="zh-CN" w:bidi="ar"/>
                      <w14:textFill>
                        <w14:solidFill>
                          <w14:schemeClr w14:val="tx1"/>
                        </w14:solidFill>
                      </w14:textFill>
                    </w:rPr>
                    <w:t>0.018</w:t>
                  </w:r>
                </w:p>
              </w:tc>
              <w:tc>
                <w:tcPr>
                  <w:tcW w:w="133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bidi="ar-SA"/>
                      <w14:textFill>
                        <w14:solidFill>
                          <w14:schemeClr w14:val="tx1"/>
                        </w14:solidFill>
                      </w14:textFill>
                    </w:rPr>
                  </w:pPr>
                  <w:r>
                    <w:rPr>
                      <w:rFonts w:hint="eastAsia" w:cs="Times New Roman"/>
                      <w:color w:val="000000" w:themeColor="text1"/>
                      <w:kern w:val="2"/>
                      <w:sz w:val="18"/>
                      <w:szCs w:val="18"/>
                      <w:highlight w:val="none"/>
                      <w:lang w:val="en-US" w:eastAsia="zh-CN" w:bidi="ar-SA"/>
                      <w14:textFill>
                        <w14:solidFill>
                          <w14:schemeClr w14:val="tx1"/>
                        </w14:solidFill>
                      </w14:textFill>
                    </w:rPr>
                    <w:t>0.0428</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373" w:type="pct"/>
                  <w:tcBorders>
                    <w:bottom w:val="single" w:color="000000"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3</w:t>
                  </w:r>
                </w:p>
              </w:tc>
              <w:tc>
                <w:tcPr>
                  <w:tcW w:w="1336" w:type="pct"/>
                  <w:tcBorders>
                    <w:bottom w:val="single" w:color="000000" w:sz="4" w:space="0"/>
                  </w:tcBorders>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14:textFill>
                        <w14:solidFill>
                          <w14:schemeClr w14:val="tx1"/>
                        </w14:solidFill>
                      </w14:textFill>
                    </w:rPr>
                  </w:pPr>
                  <w:r>
                    <w:rPr>
                      <w:rFonts w:hint="default" w:ascii="Times New Roman" w:hAnsi="Times New Roman" w:eastAsia="宋体" w:cs="Times New Roman"/>
                      <w:b w:val="0"/>
                      <w:bCs w:val="0"/>
                      <w:color w:val="000000" w:themeColor="text1"/>
                      <w:sz w:val="18"/>
                      <w:szCs w:val="18"/>
                      <w:highlight w:val="none"/>
                      <w:u w:val="none"/>
                      <w14:textFill>
                        <w14:solidFill>
                          <w14:schemeClr w14:val="tx1"/>
                        </w14:solidFill>
                      </w14:textFill>
                    </w:rPr>
                    <w:t>DA00</w:t>
                  </w:r>
                  <w:r>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t>3</w:t>
                  </w:r>
                </w:p>
              </w:tc>
              <w:tc>
                <w:tcPr>
                  <w:tcW w:w="821"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fr-FR" w:eastAsia="zh-CN"/>
                      <w14:textFill>
                        <w14:solidFill>
                          <w14:schemeClr w14:val="tx1"/>
                        </w14:solidFill>
                      </w14:textFill>
                    </w:rPr>
                    <w:t>颗粒物</w:t>
                  </w:r>
                </w:p>
              </w:tc>
              <w:tc>
                <w:tcPr>
                  <w:tcW w:w="1327"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kern w:val="2"/>
                      <w:sz w:val="18"/>
                      <w:szCs w:val="18"/>
                      <w:highlight w:val="none"/>
                      <w:u w:val="none"/>
                      <w:lang w:val="en-US" w:eastAsia="zh-CN" w:bidi="ar-SA"/>
                      <w14:textFill>
                        <w14:solidFill>
                          <w14:schemeClr w14:val="tx1"/>
                        </w14:solidFill>
                      </w14:textFill>
                    </w:rPr>
                  </w:pPr>
                  <w:r>
                    <w:rPr>
                      <w:rFonts w:hint="eastAsia" w:cs="Times New Roman"/>
                      <w:color w:val="000000" w:themeColor="text1"/>
                      <w:kern w:val="2"/>
                      <w:sz w:val="18"/>
                      <w:szCs w:val="18"/>
                      <w:highlight w:val="none"/>
                      <w:lang w:val="en-US" w:eastAsia="zh-CN" w:bidi="ar-SA"/>
                      <w14:textFill>
                        <w14:solidFill>
                          <w14:schemeClr w14:val="tx1"/>
                        </w14:solidFill>
                      </w14:textFill>
                    </w:rPr>
                    <w:t>3.9</w:t>
                  </w:r>
                </w:p>
              </w:tc>
              <w:tc>
                <w:tcPr>
                  <w:tcW w:w="1325" w:type="dxa"/>
                  <w:noWrap w:val="0"/>
                  <w:vAlign w:val="center"/>
                </w:tcPr>
                <w:p>
                  <w:pPr>
                    <w:keepNext w:val="0"/>
                    <w:keepLines w:val="0"/>
                    <w:pageBreakBefore w:val="0"/>
                    <w:widowControl/>
                    <w:suppressLineNumbers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b w:val="0"/>
                      <w:bCs w:val="0"/>
                      <w:i w:val="0"/>
                      <w:iCs w:val="0"/>
                      <w:color w:val="000000" w:themeColor="text1"/>
                      <w:kern w:val="0"/>
                      <w:sz w:val="18"/>
                      <w:szCs w:val="18"/>
                      <w:highlight w:val="none"/>
                      <w:u w:val="none"/>
                      <w:lang w:val="en-US" w:eastAsia="zh-CN" w:bidi="ar"/>
                      <w14:textFill>
                        <w14:solidFill>
                          <w14:schemeClr w14:val="tx1"/>
                        </w14:solidFill>
                      </w14:textFill>
                    </w:rPr>
                  </w:pPr>
                  <w:r>
                    <w:rPr>
                      <w:rFonts w:hint="eastAsia" w:cs="Times New Roman"/>
                      <w:i w:val="0"/>
                      <w:iCs w:val="0"/>
                      <w:color w:val="000000" w:themeColor="text1"/>
                      <w:kern w:val="0"/>
                      <w:sz w:val="18"/>
                      <w:szCs w:val="18"/>
                      <w:highlight w:val="none"/>
                      <w:u w:val="none"/>
                      <w:lang w:val="en-US" w:eastAsia="zh-CN" w:bidi="ar"/>
                      <w14:textFill>
                        <w14:solidFill>
                          <w14:schemeClr w14:val="tx1"/>
                        </w14:solidFill>
                      </w14:textFill>
                    </w:rPr>
                    <w:t>0.023</w:t>
                  </w:r>
                </w:p>
              </w:tc>
              <w:tc>
                <w:tcPr>
                  <w:tcW w:w="133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bidi="ar-SA"/>
                      <w14:textFill>
                        <w14:solidFill>
                          <w14:schemeClr w14:val="tx1"/>
                        </w14:solidFill>
                      </w14:textFill>
                    </w:rPr>
                  </w:pPr>
                  <w:r>
                    <w:rPr>
                      <w:rFonts w:hint="eastAsia" w:cs="Times New Roman"/>
                      <w:color w:val="000000" w:themeColor="text1"/>
                      <w:kern w:val="2"/>
                      <w:sz w:val="18"/>
                      <w:szCs w:val="18"/>
                      <w:highlight w:val="none"/>
                      <w:lang w:val="en-US" w:eastAsia="zh-CN" w:bidi="ar-SA"/>
                      <w14:textFill>
                        <w14:solidFill>
                          <w14:schemeClr w14:val="tx1"/>
                        </w14:solidFill>
                      </w14:textFill>
                    </w:rPr>
                    <w:t>0.0562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373" w:type="pct"/>
                  <w:vMerge w:val="restar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4</w:t>
                  </w:r>
                </w:p>
              </w:tc>
              <w:tc>
                <w:tcPr>
                  <w:tcW w:w="1336" w:type="pct"/>
                  <w:vMerge w:val="restart"/>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t>DA004</w:t>
                  </w:r>
                </w:p>
              </w:tc>
              <w:tc>
                <w:tcPr>
                  <w:tcW w:w="821"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fr-FR" w:eastAsia="zh-CN"/>
                      <w14:textFill>
                        <w14:solidFill>
                          <w14:schemeClr w14:val="tx1"/>
                        </w14:solidFill>
                      </w14:textFill>
                    </w:rPr>
                  </w:pPr>
                  <w:r>
                    <w:rPr>
                      <w:rFonts w:hint="default" w:ascii="Times New Roman" w:hAnsi="Times New Roman" w:cs="Times New Roman"/>
                      <w:b w:val="0"/>
                      <w:bCs w:val="0"/>
                      <w:color w:val="000000" w:themeColor="text1"/>
                      <w:kern w:val="0"/>
                      <w:sz w:val="18"/>
                      <w:szCs w:val="18"/>
                      <w:highlight w:val="none"/>
                      <w:u w:val="none"/>
                      <w:lang w:val="en-US" w:eastAsia="zh-CN"/>
                      <w14:textFill>
                        <w14:solidFill>
                          <w14:schemeClr w14:val="tx1"/>
                        </w14:solidFill>
                      </w14:textFill>
                    </w:rPr>
                    <w:t>氢氟酸雾</w:t>
                  </w:r>
                </w:p>
              </w:tc>
              <w:tc>
                <w:tcPr>
                  <w:tcW w:w="1327" w:type="dxa"/>
                  <w:noWrap w:val="0"/>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kern w:val="2"/>
                      <w:sz w:val="18"/>
                      <w:szCs w:val="18"/>
                      <w:highlight w:val="none"/>
                      <w:u w:val="none"/>
                      <w:lang w:val="en-US" w:eastAsia="zh-CN" w:bidi="ar-SA"/>
                      <w14:textFill>
                        <w14:solidFill>
                          <w14:schemeClr w14:val="tx1"/>
                        </w14:solidFill>
                      </w14:textFill>
                    </w:rPr>
                  </w:pPr>
                  <w:r>
                    <w:rPr>
                      <w:rFonts w:hint="eastAsia" w:cs="Times New Roman"/>
                      <w:color w:val="000000" w:themeColor="text1"/>
                      <w:kern w:val="0"/>
                      <w:sz w:val="18"/>
                      <w:szCs w:val="18"/>
                      <w:highlight w:val="none"/>
                      <w:lang w:val="en-US" w:eastAsia="zh-CN" w:bidi="ar-SA"/>
                      <w14:textFill>
                        <w14:solidFill>
                          <w14:schemeClr w14:val="tx1"/>
                        </w14:solidFill>
                      </w14:textFill>
                    </w:rPr>
                    <w:t>0.85</w:t>
                  </w:r>
                </w:p>
              </w:tc>
              <w:tc>
                <w:tcPr>
                  <w:tcW w:w="1325" w:type="dxa"/>
                  <w:noWrap w:val="0"/>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val="0"/>
                      <w:bCs w:val="0"/>
                      <w:i w:val="0"/>
                      <w:iCs w:val="0"/>
                      <w:color w:val="000000" w:themeColor="text1"/>
                      <w:kern w:val="0"/>
                      <w:sz w:val="18"/>
                      <w:szCs w:val="18"/>
                      <w:highlight w:val="none"/>
                      <w:u w:val="none"/>
                      <w:lang w:val="en-US" w:eastAsia="zh-CN" w:bidi="ar"/>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0.002</w:t>
                  </w:r>
                </w:p>
              </w:tc>
              <w:tc>
                <w:tcPr>
                  <w:tcW w:w="1338"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bidi="ar-SA"/>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0.0041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373" w:type="pct"/>
                  <w:vMerge w:val="continue"/>
                  <w:tcBorders>
                    <w:bottom w:val="single" w:color="000000"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p>
              </w:tc>
              <w:tc>
                <w:tcPr>
                  <w:tcW w:w="1336" w:type="pct"/>
                  <w:vMerge w:val="continue"/>
                  <w:tcBorders>
                    <w:bottom w:val="single" w:color="000000" w:sz="4" w:space="0"/>
                  </w:tcBorders>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14:textFill>
                        <w14:solidFill>
                          <w14:schemeClr w14:val="tx1"/>
                        </w14:solidFill>
                      </w14:textFill>
                    </w:rPr>
                  </w:pPr>
                </w:p>
              </w:tc>
              <w:tc>
                <w:tcPr>
                  <w:tcW w:w="821"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fr-FR" w:eastAsia="zh-CN"/>
                      <w14:textFill>
                        <w14:solidFill>
                          <w14:schemeClr w14:val="tx1"/>
                        </w14:solidFill>
                      </w14:textFill>
                    </w:rPr>
                  </w:pPr>
                  <w:r>
                    <w:rPr>
                      <w:rFonts w:hint="default" w:ascii="Times New Roman" w:hAnsi="Times New Roman" w:cs="Times New Roman"/>
                      <w:b w:val="0"/>
                      <w:bCs w:val="0"/>
                      <w:color w:val="000000" w:themeColor="text1"/>
                      <w:kern w:val="0"/>
                      <w:sz w:val="18"/>
                      <w:szCs w:val="18"/>
                      <w:highlight w:val="none"/>
                      <w:u w:val="none"/>
                      <w:lang w:val="en-US" w:eastAsia="zh-CN"/>
                      <w14:textFill>
                        <w14:solidFill>
                          <w14:schemeClr w14:val="tx1"/>
                        </w14:solidFill>
                      </w14:textFill>
                    </w:rPr>
                    <w:t>硝酸雾（NOx计）</w:t>
                  </w:r>
                </w:p>
              </w:tc>
              <w:tc>
                <w:tcPr>
                  <w:tcW w:w="1327" w:type="dxa"/>
                  <w:noWrap w:val="0"/>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kern w:val="2"/>
                      <w:sz w:val="18"/>
                      <w:szCs w:val="18"/>
                      <w:highlight w:val="none"/>
                      <w:u w:val="none"/>
                      <w:lang w:val="en-US" w:eastAsia="zh-CN" w:bidi="ar-SA"/>
                      <w14:textFill>
                        <w14:solidFill>
                          <w14:schemeClr w14:val="tx1"/>
                        </w14:solidFill>
                      </w14:textFill>
                    </w:rPr>
                  </w:pPr>
                  <w:r>
                    <w:rPr>
                      <w:rFonts w:hint="eastAsia" w:cs="Times New Roman"/>
                      <w:color w:val="000000" w:themeColor="text1"/>
                      <w:kern w:val="0"/>
                      <w:sz w:val="18"/>
                      <w:szCs w:val="18"/>
                      <w:highlight w:val="none"/>
                      <w:lang w:val="en-US" w:eastAsia="zh-CN" w:bidi="ar-SA"/>
                      <w14:textFill>
                        <w14:solidFill>
                          <w14:schemeClr w14:val="tx1"/>
                        </w14:solidFill>
                      </w14:textFill>
                    </w:rPr>
                    <w:t>7.09</w:t>
                  </w:r>
                </w:p>
              </w:tc>
              <w:tc>
                <w:tcPr>
                  <w:tcW w:w="1325" w:type="dxa"/>
                  <w:noWrap w:val="0"/>
                  <w:vAlign w:val="center"/>
                </w:tcPr>
                <w:p>
                  <w:pPr>
                    <w:keepNext w:val="0"/>
                    <w:keepLines w:val="0"/>
                    <w:pageBreakBefore w:val="0"/>
                    <w:widowControl w:val="0"/>
                    <w:tabs>
                      <w:tab w:val="center" w:pos="1440"/>
                    </w:tabs>
                    <w:kinsoku w:val="0"/>
                    <w:wordWrap w:val="0"/>
                    <w:overflowPunct w:val="0"/>
                    <w:topLinePunct/>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val="0"/>
                      <w:bCs w:val="0"/>
                      <w:i w:val="0"/>
                      <w:iCs w:val="0"/>
                      <w:color w:val="000000" w:themeColor="text1"/>
                      <w:kern w:val="0"/>
                      <w:sz w:val="18"/>
                      <w:szCs w:val="18"/>
                      <w:highlight w:val="none"/>
                      <w:u w:val="none"/>
                      <w:lang w:val="en-US" w:eastAsia="zh-CN" w:bidi="ar"/>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0.014</w:t>
                  </w:r>
                </w:p>
              </w:tc>
              <w:tc>
                <w:tcPr>
                  <w:tcW w:w="133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bidi="ar-SA"/>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0.0341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710" w:type="pct"/>
                  <w:gridSpan w:val="2"/>
                  <w:vMerge w:val="restar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eastAsia="zh-CN"/>
                      <w14:textFill>
                        <w14:solidFill>
                          <w14:schemeClr w14:val="tx1"/>
                        </w14:solidFill>
                      </w14:textFill>
                    </w:rPr>
                    <w:t>一般</w:t>
                  </w:r>
                  <w: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t>排放口合计</w:t>
                  </w:r>
                </w:p>
              </w:tc>
              <w:tc>
                <w:tcPr>
                  <w:tcW w:w="2462" w:type="pct"/>
                  <w:gridSpan w:val="3"/>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eastAsia="宋体" w:cs="Times New Roman"/>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fr-FR" w:eastAsia="zh-CN"/>
                      <w14:textFill>
                        <w14:solidFill>
                          <w14:schemeClr w14:val="tx1"/>
                        </w14:solidFill>
                      </w14:textFill>
                    </w:rPr>
                    <w:t>颗粒物</w:t>
                  </w:r>
                </w:p>
              </w:tc>
              <w:tc>
                <w:tcPr>
                  <w:tcW w:w="82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0.1724</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710" w:type="pct"/>
                  <w:gridSpan w:val="2"/>
                  <w:vMerge w:val="continue"/>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lang w:eastAsia="zh-CN"/>
                      <w14:textFill>
                        <w14:solidFill>
                          <w14:schemeClr w14:val="tx1"/>
                        </w14:solidFill>
                      </w14:textFill>
                    </w:rPr>
                  </w:pPr>
                </w:p>
              </w:tc>
              <w:tc>
                <w:tcPr>
                  <w:tcW w:w="2462" w:type="pct"/>
                  <w:gridSpan w:val="3"/>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eastAsia="宋体" w:cs="Times New Roman"/>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SO</w:t>
                  </w:r>
                  <w:r>
                    <w:rPr>
                      <w:rFonts w:hint="default" w:ascii="Times New Roman" w:hAnsi="Times New Roman" w:cs="Times New Roman"/>
                      <w:b w:val="0"/>
                      <w:bCs w:val="0"/>
                      <w:color w:val="000000" w:themeColor="text1"/>
                      <w:sz w:val="18"/>
                      <w:szCs w:val="18"/>
                      <w:highlight w:val="none"/>
                      <w:u w:val="none"/>
                      <w:vertAlign w:val="subscript"/>
                      <w:lang w:val="en-US" w:eastAsia="zh-CN"/>
                      <w14:textFill>
                        <w14:solidFill>
                          <w14:schemeClr w14:val="tx1"/>
                        </w14:solidFill>
                      </w14:textFill>
                    </w:rPr>
                    <w:t>2</w:t>
                  </w:r>
                </w:p>
              </w:tc>
              <w:tc>
                <w:tcPr>
                  <w:tcW w:w="82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cs="Times New Roman"/>
                      <w:color w:val="000000" w:themeColor="text1"/>
                      <w:kern w:val="0"/>
                      <w:sz w:val="18"/>
                      <w:szCs w:val="18"/>
                      <w:highlight w:val="none"/>
                      <w:lang w:val="en-US" w:eastAsia="zh-CN"/>
                      <w14:textFill>
                        <w14:solidFill>
                          <w14:schemeClr w14:val="tx1"/>
                        </w14:solidFill>
                      </w14:textFill>
                    </w:rPr>
                  </w:pPr>
                  <w:r>
                    <w:rPr>
                      <w:rFonts w:hint="default" w:cs="Times New Roman"/>
                      <w:color w:val="000000" w:themeColor="text1"/>
                      <w:kern w:val="0"/>
                      <w:sz w:val="18"/>
                      <w:szCs w:val="18"/>
                      <w:highlight w:val="none"/>
                      <w:lang w:val="en-US" w:eastAsia="zh-CN"/>
                      <w14:textFill>
                        <w14:solidFill>
                          <w14:schemeClr w14:val="tx1"/>
                        </w14:solidFill>
                      </w14:textFill>
                    </w:rPr>
                    <w:t>0.1322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710" w:type="pct"/>
                  <w:gridSpan w:val="2"/>
                  <w:vMerge w:val="continue"/>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lang w:eastAsia="zh-CN"/>
                      <w14:textFill>
                        <w14:solidFill>
                          <w14:schemeClr w14:val="tx1"/>
                        </w14:solidFill>
                      </w14:textFill>
                    </w:rPr>
                  </w:pPr>
                </w:p>
              </w:tc>
              <w:tc>
                <w:tcPr>
                  <w:tcW w:w="2462" w:type="pct"/>
                  <w:gridSpan w:val="3"/>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eastAsia="宋体" w:cs="Times New Roman"/>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NO</w:t>
                  </w:r>
                  <w:r>
                    <w:rPr>
                      <w:rFonts w:hint="default" w:ascii="Times New Roman" w:hAnsi="Times New Roman" w:cs="Times New Roman"/>
                      <w:b w:val="0"/>
                      <w:bCs w:val="0"/>
                      <w:color w:val="000000" w:themeColor="text1"/>
                      <w:sz w:val="18"/>
                      <w:szCs w:val="18"/>
                      <w:highlight w:val="none"/>
                      <w:u w:val="none"/>
                      <w:vertAlign w:val="subscript"/>
                      <w:lang w:val="en-US" w:eastAsia="zh-CN"/>
                      <w14:textFill>
                        <w14:solidFill>
                          <w14:schemeClr w14:val="tx1"/>
                        </w14:solidFill>
                      </w14:textFill>
                    </w:rPr>
                    <w:t>x</w:t>
                  </w:r>
                  <w:r>
                    <w:rPr>
                      <w:rFonts w:hint="eastAsia" w:cs="Times New Roman"/>
                      <w:b w:val="0"/>
                      <w:bCs w:val="0"/>
                      <w:color w:val="000000" w:themeColor="text1"/>
                      <w:sz w:val="18"/>
                      <w:szCs w:val="18"/>
                      <w:highlight w:val="none"/>
                      <w:u w:val="none"/>
                      <w:vertAlign w:val="baseline"/>
                      <w:lang w:val="en-US" w:eastAsia="zh-CN"/>
                      <w14:textFill>
                        <w14:solidFill>
                          <w14:schemeClr w14:val="tx1"/>
                        </w14:solidFill>
                      </w14:textFill>
                    </w:rPr>
                    <w:t>（其中</w:t>
                  </w:r>
                  <w:r>
                    <w:rPr>
                      <w:rFonts w:hint="default" w:ascii="Times New Roman" w:hAnsi="Times New Roman" w:cs="Times New Roman"/>
                      <w:b w:val="0"/>
                      <w:bCs w:val="0"/>
                      <w:color w:val="000000" w:themeColor="text1"/>
                      <w:kern w:val="0"/>
                      <w:sz w:val="18"/>
                      <w:szCs w:val="18"/>
                      <w:highlight w:val="none"/>
                      <w:u w:val="none"/>
                      <w:lang w:val="en-US" w:eastAsia="zh-CN"/>
                      <w14:textFill>
                        <w14:solidFill>
                          <w14:schemeClr w14:val="tx1"/>
                        </w14:solidFill>
                      </w14:textFill>
                    </w:rPr>
                    <w:t>硝酸雾</w:t>
                  </w:r>
                  <w:r>
                    <w:rPr>
                      <w:rFonts w:hint="eastAsia" w:cs="Times New Roman"/>
                      <w:b w:val="0"/>
                      <w:bCs w:val="0"/>
                      <w:color w:val="000000" w:themeColor="text1"/>
                      <w:kern w:val="0"/>
                      <w:sz w:val="18"/>
                      <w:szCs w:val="18"/>
                      <w:highlight w:val="none"/>
                      <w:u w:val="none"/>
                      <w:lang w:val="en-US" w:eastAsia="zh-CN"/>
                      <w14:textFill>
                        <w14:solidFill>
                          <w14:schemeClr w14:val="tx1"/>
                        </w14:solidFill>
                      </w14:textFill>
                    </w:rPr>
                    <w:t>以</w:t>
                  </w:r>
                  <w:r>
                    <w:rPr>
                      <w:rFonts w:hint="default" w:ascii="Times New Roman" w:hAnsi="Times New Roman" w:cs="Times New Roman"/>
                      <w:b w:val="0"/>
                      <w:bCs w:val="0"/>
                      <w:color w:val="000000" w:themeColor="text1"/>
                      <w:kern w:val="0"/>
                      <w:sz w:val="18"/>
                      <w:szCs w:val="18"/>
                      <w:highlight w:val="none"/>
                      <w:u w:val="none"/>
                      <w:lang w:val="en-US" w:eastAsia="zh-CN"/>
                      <w14:textFill>
                        <w14:solidFill>
                          <w14:schemeClr w14:val="tx1"/>
                        </w14:solidFill>
                      </w14:textFill>
                    </w:rPr>
                    <w:t>NOx计</w:t>
                  </w:r>
                  <w:r>
                    <w:rPr>
                      <w:rFonts w:hint="eastAsia" w:cs="Times New Roman"/>
                      <w:b w:val="0"/>
                      <w:bCs w:val="0"/>
                      <w:color w:val="000000" w:themeColor="text1"/>
                      <w:sz w:val="18"/>
                      <w:szCs w:val="18"/>
                      <w:highlight w:val="none"/>
                      <w:u w:val="none"/>
                      <w:vertAlign w:val="baseline"/>
                      <w:lang w:val="en-US" w:eastAsia="zh-CN"/>
                      <w14:textFill>
                        <w14:solidFill>
                          <w14:schemeClr w14:val="tx1"/>
                        </w14:solidFill>
                      </w14:textFill>
                    </w:rPr>
                    <w:t>）</w:t>
                  </w:r>
                </w:p>
              </w:tc>
              <w:tc>
                <w:tcPr>
                  <w:tcW w:w="82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0.6951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710" w:type="pct"/>
                  <w:gridSpan w:val="2"/>
                  <w:vMerge w:val="continue"/>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lang w:eastAsia="zh-CN"/>
                      <w14:textFill>
                        <w14:solidFill>
                          <w14:schemeClr w14:val="tx1"/>
                        </w14:solidFill>
                      </w14:textFill>
                    </w:rPr>
                  </w:pPr>
                </w:p>
              </w:tc>
              <w:tc>
                <w:tcPr>
                  <w:tcW w:w="2462" w:type="pct"/>
                  <w:gridSpan w:val="3"/>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氨</w:t>
                  </w:r>
                </w:p>
              </w:tc>
              <w:tc>
                <w:tcPr>
                  <w:tcW w:w="82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cs="Times New Roman"/>
                      <w:color w:val="000000" w:themeColor="text1"/>
                      <w:kern w:val="0"/>
                      <w:sz w:val="18"/>
                      <w:szCs w:val="18"/>
                      <w:highlight w:val="none"/>
                      <w:lang w:val="en-US" w:eastAsia="zh-CN"/>
                      <w14:textFill>
                        <w14:solidFill>
                          <w14:schemeClr w14:val="tx1"/>
                        </w14:solidFill>
                      </w14:textFill>
                    </w:rPr>
                  </w:pPr>
                  <w:r>
                    <w:rPr>
                      <w:rFonts w:hint="default" w:cs="Times New Roman"/>
                      <w:color w:val="000000" w:themeColor="text1"/>
                      <w:kern w:val="0"/>
                      <w:sz w:val="18"/>
                      <w:szCs w:val="18"/>
                      <w:highlight w:val="none"/>
                      <w:lang w:val="en-US" w:eastAsia="zh-CN"/>
                      <w14:textFill>
                        <w14:solidFill>
                          <w14:schemeClr w14:val="tx1"/>
                        </w14:solidFill>
                      </w14:textFill>
                    </w:rPr>
                    <w:t>0.116</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96" w:hRule="atLeast"/>
                <w:jc w:val="center"/>
              </w:trPr>
              <w:tc>
                <w:tcPr>
                  <w:tcW w:w="1710" w:type="pct"/>
                  <w:gridSpan w:val="2"/>
                  <w:vMerge w:val="continue"/>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lang w:eastAsia="zh-CN"/>
                      <w14:textFill>
                        <w14:solidFill>
                          <w14:schemeClr w14:val="tx1"/>
                        </w14:solidFill>
                      </w14:textFill>
                    </w:rPr>
                  </w:pPr>
                </w:p>
              </w:tc>
              <w:tc>
                <w:tcPr>
                  <w:tcW w:w="2462" w:type="pct"/>
                  <w:gridSpan w:val="3"/>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18"/>
                      <w:szCs w:val="18"/>
                      <w:highlight w:val="none"/>
                      <w:u w:val="none"/>
                      <w:lang w:val="en-US" w:eastAsia="zh-CN"/>
                      <w14:textFill>
                        <w14:solidFill>
                          <w14:schemeClr w14:val="tx1"/>
                        </w14:solidFill>
                      </w14:textFill>
                    </w:rPr>
                    <w:t>氢氟酸雾</w:t>
                  </w:r>
                </w:p>
              </w:tc>
              <w:tc>
                <w:tcPr>
                  <w:tcW w:w="82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cs="Times New Roman"/>
                      <w:color w:val="000000" w:themeColor="text1"/>
                      <w:kern w:val="0"/>
                      <w:sz w:val="18"/>
                      <w:szCs w:val="18"/>
                      <w:highlight w:val="none"/>
                      <w:lang w:val="en-US" w:eastAsia="zh-CN"/>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0.0041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5000" w:type="pct"/>
                  <w:gridSpan w:val="6"/>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t>有组织排放总计</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710" w:type="pct"/>
                  <w:gridSpan w:val="2"/>
                  <w:vMerge w:val="restar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t>有组织排放总计</w:t>
                  </w:r>
                </w:p>
              </w:tc>
              <w:tc>
                <w:tcPr>
                  <w:tcW w:w="3979" w:type="dxa"/>
                  <w:gridSpan w:val="3"/>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eastAsia="宋体" w:cs="Times New Roman"/>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fr-FR" w:eastAsia="zh-CN"/>
                      <w14:textFill>
                        <w14:solidFill>
                          <w14:schemeClr w14:val="tx1"/>
                        </w14:solidFill>
                      </w14:textFill>
                    </w:rPr>
                    <w:t>颗粒物</w:t>
                  </w:r>
                </w:p>
              </w:tc>
              <w:tc>
                <w:tcPr>
                  <w:tcW w:w="133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lang w:val="en-US" w:eastAsia="zh-CN" w:bidi="ar-SA"/>
                      <w14:textFill>
                        <w14:solidFill>
                          <w14:schemeClr w14:val="tx1"/>
                        </w14:solidFill>
                      </w14:textFill>
                    </w:rPr>
                  </w:pPr>
                  <w:r>
                    <w:rPr>
                      <w:rFonts w:hint="eastAsia" w:cs="Times New Roman"/>
                      <w:b w:val="0"/>
                      <w:bCs w:val="0"/>
                      <w:color w:val="000000" w:themeColor="text1"/>
                      <w:sz w:val="18"/>
                      <w:szCs w:val="18"/>
                      <w:highlight w:val="none"/>
                      <w:u w:val="none"/>
                      <w:lang w:val="en-US" w:eastAsia="zh-CN" w:bidi="ar-SA"/>
                      <w14:textFill>
                        <w14:solidFill>
                          <w14:schemeClr w14:val="tx1"/>
                        </w14:solidFill>
                      </w14:textFill>
                    </w:rPr>
                    <w:t>0.1724</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710" w:type="pct"/>
                  <w:gridSpan w:val="2"/>
                  <w:vMerge w:val="continue"/>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pPr>
                </w:p>
              </w:tc>
              <w:tc>
                <w:tcPr>
                  <w:tcW w:w="3979" w:type="dxa"/>
                  <w:gridSpan w:val="3"/>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eastAsia="宋体" w:cs="Times New Roman"/>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SO</w:t>
                  </w:r>
                  <w:r>
                    <w:rPr>
                      <w:rFonts w:hint="default" w:ascii="Times New Roman" w:hAnsi="Times New Roman" w:cs="Times New Roman"/>
                      <w:b w:val="0"/>
                      <w:bCs w:val="0"/>
                      <w:color w:val="000000" w:themeColor="text1"/>
                      <w:sz w:val="18"/>
                      <w:szCs w:val="18"/>
                      <w:highlight w:val="none"/>
                      <w:u w:val="none"/>
                      <w:vertAlign w:val="subscript"/>
                      <w:lang w:val="en-US" w:eastAsia="zh-CN"/>
                      <w14:textFill>
                        <w14:solidFill>
                          <w14:schemeClr w14:val="tx1"/>
                        </w14:solidFill>
                      </w14:textFill>
                    </w:rPr>
                    <w:t>2</w:t>
                  </w:r>
                </w:p>
              </w:tc>
              <w:tc>
                <w:tcPr>
                  <w:tcW w:w="133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bidi="ar-SA"/>
                      <w14:textFill>
                        <w14:solidFill>
                          <w14:schemeClr w14:val="tx1"/>
                        </w14:solidFill>
                      </w14:textFill>
                    </w:rPr>
                  </w:pPr>
                  <w:r>
                    <w:rPr>
                      <w:rFonts w:hint="default" w:cs="Times New Roman"/>
                      <w:color w:val="000000" w:themeColor="text1"/>
                      <w:kern w:val="0"/>
                      <w:sz w:val="18"/>
                      <w:szCs w:val="18"/>
                      <w:highlight w:val="none"/>
                      <w:lang w:val="en-US" w:eastAsia="zh-CN"/>
                      <w14:textFill>
                        <w14:solidFill>
                          <w14:schemeClr w14:val="tx1"/>
                        </w14:solidFill>
                      </w14:textFill>
                    </w:rPr>
                    <w:t>0.1322</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710" w:type="pct"/>
                  <w:gridSpan w:val="2"/>
                  <w:vMerge w:val="continue"/>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pPr>
                </w:p>
              </w:tc>
              <w:tc>
                <w:tcPr>
                  <w:tcW w:w="3979" w:type="dxa"/>
                  <w:gridSpan w:val="3"/>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eastAsia="宋体" w:cs="Times New Roman"/>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NO</w:t>
                  </w:r>
                  <w:r>
                    <w:rPr>
                      <w:rFonts w:hint="default" w:ascii="Times New Roman" w:hAnsi="Times New Roman" w:cs="Times New Roman"/>
                      <w:b w:val="0"/>
                      <w:bCs w:val="0"/>
                      <w:color w:val="000000" w:themeColor="text1"/>
                      <w:sz w:val="18"/>
                      <w:szCs w:val="18"/>
                      <w:highlight w:val="none"/>
                      <w:u w:val="none"/>
                      <w:vertAlign w:val="subscript"/>
                      <w:lang w:val="en-US" w:eastAsia="zh-CN"/>
                      <w14:textFill>
                        <w14:solidFill>
                          <w14:schemeClr w14:val="tx1"/>
                        </w14:solidFill>
                      </w14:textFill>
                    </w:rPr>
                    <w:t>x</w:t>
                  </w:r>
                  <w:r>
                    <w:rPr>
                      <w:rFonts w:hint="eastAsia" w:cs="Times New Roman"/>
                      <w:b w:val="0"/>
                      <w:bCs w:val="0"/>
                      <w:color w:val="000000" w:themeColor="text1"/>
                      <w:sz w:val="18"/>
                      <w:szCs w:val="18"/>
                      <w:highlight w:val="none"/>
                      <w:u w:val="none"/>
                      <w:vertAlign w:val="baseline"/>
                      <w:lang w:val="en-US" w:eastAsia="zh-CN"/>
                      <w14:textFill>
                        <w14:solidFill>
                          <w14:schemeClr w14:val="tx1"/>
                        </w14:solidFill>
                      </w14:textFill>
                    </w:rPr>
                    <w:t>（其中</w:t>
                  </w:r>
                  <w:r>
                    <w:rPr>
                      <w:rFonts w:hint="default" w:ascii="Times New Roman" w:hAnsi="Times New Roman" w:cs="Times New Roman"/>
                      <w:b w:val="0"/>
                      <w:bCs w:val="0"/>
                      <w:color w:val="000000" w:themeColor="text1"/>
                      <w:kern w:val="0"/>
                      <w:sz w:val="18"/>
                      <w:szCs w:val="18"/>
                      <w:highlight w:val="none"/>
                      <w:u w:val="none"/>
                      <w:lang w:val="en-US" w:eastAsia="zh-CN"/>
                      <w14:textFill>
                        <w14:solidFill>
                          <w14:schemeClr w14:val="tx1"/>
                        </w14:solidFill>
                      </w14:textFill>
                    </w:rPr>
                    <w:t>硝酸雾</w:t>
                  </w:r>
                  <w:r>
                    <w:rPr>
                      <w:rFonts w:hint="eastAsia" w:cs="Times New Roman"/>
                      <w:b w:val="0"/>
                      <w:bCs w:val="0"/>
                      <w:color w:val="000000" w:themeColor="text1"/>
                      <w:kern w:val="0"/>
                      <w:sz w:val="18"/>
                      <w:szCs w:val="18"/>
                      <w:highlight w:val="none"/>
                      <w:u w:val="none"/>
                      <w:lang w:val="en-US" w:eastAsia="zh-CN"/>
                      <w14:textFill>
                        <w14:solidFill>
                          <w14:schemeClr w14:val="tx1"/>
                        </w14:solidFill>
                      </w14:textFill>
                    </w:rPr>
                    <w:t>以</w:t>
                  </w:r>
                  <w:r>
                    <w:rPr>
                      <w:rFonts w:hint="default" w:ascii="Times New Roman" w:hAnsi="Times New Roman" w:cs="Times New Roman"/>
                      <w:b w:val="0"/>
                      <w:bCs w:val="0"/>
                      <w:color w:val="000000" w:themeColor="text1"/>
                      <w:kern w:val="0"/>
                      <w:sz w:val="18"/>
                      <w:szCs w:val="18"/>
                      <w:highlight w:val="none"/>
                      <w:u w:val="none"/>
                      <w:lang w:val="en-US" w:eastAsia="zh-CN"/>
                      <w14:textFill>
                        <w14:solidFill>
                          <w14:schemeClr w14:val="tx1"/>
                        </w14:solidFill>
                      </w14:textFill>
                    </w:rPr>
                    <w:t>NOx计</w:t>
                  </w:r>
                  <w:r>
                    <w:rPr>
                      <w:rFonts w:hint="eastAsia" w:cs="Times New Roman"/>
                      <w:b w:val="0"/>
                      <w:bCs w:val="0"/>
                      <w:color w:val="000000" w:themeColor="text1"/>
                      <w:sz w:val="18"/>
                      <w:szCs w:val="18"/>
                      <w:highlight w:val="none"/>
                      <w:u w:val="none"/>
                      <w:vertAlign w:val="baseline"/>
                      <w:lang w:val="en-US" w:eastAsia="zh-CN"/>
                      <w14:textFill>
                        <w14:solidFill>
                          <w14:schemeClr w14:val="tx1"/>
                        </w14:solidFill>
                      </w14:textFill>
                    </w:rPr>
                    <w:t>）</w:t>
                  </w:r>
                </w:p>
              </w:tc>
              <w:tc>
                <w:tcPr>
                  <w:tcW w:w="133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bidi="ar-SA"/>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0.6951</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710" w:type="pct"/>
                  <w:gridSpan w:val="2"/>
                  <w:vMerge w:val="continue"/>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pPr>
                </w:p>
              </w:tc>
              <w:tc>
                <w:tcPr>
                  <w:tcW w:w="3979" w:type="dxa"/>
                  <w:gridSpan w:val="3"/>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氨</w:t>
                  </w:r>
                </w:p>
              </w:tc>
              <w:tc>
                <w:tcPr>
                  <w:tcW w:w="133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bidi="ar-SA"/>
                      <w14:textFill>
                        <w14:solidFill>
                          <w14:schemeClr w14:val="tx1"/>
                        </w14:solidFill>
                      </w14:textFill>
                    </w:rPr>
                  </w:pPr>
                  <w:r>
                    <w:rPr>
                      <w:rFonts w:hint="default" w:cs="Times New Roman"/>
                      <w:color w:val="000000" w:themeColor="text1"/>
                      <w:kern w:val="0"/>
                      <w:sz w:val="18"/>
                      <w:szCs w:val="18"/>
                      <w:highlight w:val="none"/>
                      <w:lang w:val="en-US" w:eastAsia="zh-CN"/>
                      <w14:textFill>
                        <w14:solidFill>
                          <w14:schemeClr w14:val="tx1"/>
                        </w14:solidFill>
                      </w14:textFill>
                    </w:rPr>
                    <w:t>0.116</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710" w:type="pct"/>
                  <w:gridSpan w:val="2"/>
                  <w:vMerge w:val="continue"/>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pPr>
                </w:p>
              </w:tc>
              <w:tc>
                <w:tcPr>
                  <w:tcW w:w="3979" w:type="dxa"/>
                  <w:gridSpan w:val="3"/>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18"/>
                      <w:szCs w:val="18"/>
                      <w:highlight w:val="none"/>
                      <w:u w:val="none"/>
                      <w:lang w:val="en-US" w:eastAsia="zh-CN"/>
                      <w14:textFill>
                        <w14:solidFill>
                          <w14:schemeClr w14:val="tx1"/>
                        </w14:solidFill>
                      </w14:textFill>
                    </w:rPr>
                    <w:t>氢氟酸雾</w:t>
                  </w:r>
                </w:p>
              </w:tc>
              <w:tc>
                <w:tcPr>
                  <w:tcW w:w="1338"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bidi="ar-SA"/>
                      <w14:textFill>
                        <w14:solidFill>
                          <w14:schemeClr w14:val="tx1"/>
                        </w14:solidFill>
                      </w14:textFill>
                    </w:rPr>
                  </w:pPr>
                  <w:r>
                    <w:rPr>
                      <w:rFonts w:hint="eastAsia" w:cs="Times New Roman"/>
                      <w:color w:val="000000" w:themeColor="text1"/>
                      <w:kern w:val="0"/>
                      <w:sz w:val="18"/>
                      <w:szCs w:val="18"/>
                      <w:highlight w:val="none"/>
                      <w:lang w:val="en-US" w:eastAsia="zh-CN"/>
                      <w14:textFill>
                        <w14:solidFill>
                          <w14:schemeClr w14:val="tx1"/>
                        </w14:solidFill>
                      </w14:textFill>
                    </w:rPr>
                    <w:t>0.0041</w:t>
                  </w:r>
                </w:p>
              </w:tc>
            </w:tr>
          </w:tbl>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b w:val="0"/>
                <w:b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21"/>
                <w:szCs w:val="21"/>
                <w:highlight w:val="none"/>
                <w:u w:val="none"/>
                <w:lang w:val="en-US" w:eastAsia="zh-CN"/>
                <w14:textFill>
                  <w14:solidFill>
                    <w14:schemeClr w14:val="tx1"/>
                  </w14:solidFill>
                </w14:textFill>
              </w:rPr>
              <w:t>大气污染物无组织排放量核算表</w:t>
            </w:r>
          </w:p>
          <w:tbl>
            <w:tblPr>
              <w:tblStyle w:val="21"/>
              <w:tblW w:w="4998" w:type="pct"/>
              <w:jc w:val="center"/>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625"/>
              <w:gridCol w:w="1155"/>
              <w:gridCol w:w="988"/>
              <w:gridCol w:w="1161"/>
              <w:gridCol w:w="1770"/>
              <w:gridCol w:w="1080"/>
              <w:gridCol w:w="1303"/>
            </w:tblGrid>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7" w:type="pct"/>
                  <w:vMerge w:val="restart"/>
                  <w:tcBorders>
                    <w:top w:val="single" w:color="auto" w:sz="4" w:space="0"/>
                    <w:left w:val="nil"/>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val="0"/>
                      <w:bCs w:val="0"/>
                      <w:color w:val="000000" w:themeColor="text1"/>
                      <w:kern w:val="0"/>
                      <w:sz w:val="18"/>
                      <w:szCs w:val="18"/>
                      <w:highlight w:val="none"/>
                      <w:u w:val="none"/>
                      <w14:textFill>
                        <w14:solidFill>
                          <w14:schemeClr w14:val="tx1"/>
                        </w14:solidFill>
                      </w14:textFill>
                    </w:rPr>
                  </w:pPr>
                  <w:r>
                    <w:rPr>
                      <w:rFonts w:hint="default" w:ascii="Times New Roman" w:hAnsi="Times New Roman" w:cs="Times New Roman"/>
                      <w:b w:val="0"/>
                      <w:bCs w:val="0"/>
                      <w:color w:val="000000" w:themeColor="text1"/>
                      <w:kern w:val="0"/>
                      <w:sz w:val="18"/>
                      <w:szCs w:val="18"/>
                      <w:highlight w:val="none"/>
                      <w:u w:val="none"/>
                      <w14:textFill>
                        <w14:solidFill>
                          <w14:schemeClr w14:val="tx1"/>
                        </w14:solidFill>
                      </w14:textFill>
                    </w:rPr>
                    <w:t>序号</w:t>
                  </w:r>
                </w:p>
              </w:tc>
              <w:tc>
                <w:tcPr>
                  <w:tcW w:w="715" w:type="pct"/>
                  <w:vMerge w:val="restart"/>
                  <w:tcBorders>
                    <w:top w:val="single" w:color="auto" w:sz="4" w:space="0"/>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val="0"/>
                      <w:bCs w:val="0"/>
                      <w:color w:val="000000" w:themeColor="text1"/>
                      <w:kern w:val="0"/>
                      <w:sz w:val="18"/>
                      <w:szCs w:val="18"/>
                      <w:highlight w:val="none"/>
                      <w:u w:val="none"/>
                      <w14:textFill>
                        <w14:solidFill>
                          <w14:schemeClr w14:val="tx1"/>
                        </w14:solidFill>
                      </w14:textFill>
                    </w:rPr>
                  </w:pPr>
                  <w:r>
                    <w:rPr>
                      <w:rFonts w:hint="default" w:ascii="Times New Roman" w:hAnsi="Times New Roman" w:cs="Times New Roman"/>
                      <w:b w:val="0"/>
                      <w:bCs w:val="0"/>
                      <w:color w:val="000000" w:themeColor="text1"/>
                      <w:kern w:val="0"/>
                      <w:sz w:val="18"/>
                      <w:szCs w:val="18"/>
                      <w:highlight w:val="none"/>
                      <w:u w:val="none"/>
                      <w14:textFill>
                        <w14:solidFill>
                          <w14:schemeClr w14:val="tx1"/>
                        </w14:solidFill>
                      </w14:textFill>
                    </w:rPr>
                    <w:t>排放</w:t>
                  </w:r>
                </w:p>
                <w:p>
                  <w:pPr>
                    <w:keepNext w:val="0"/>
                    <w:keepLines w:val="0"/>
                    <w:pageBreakBefore w:val="0"/>
                    <w:kinsoku/>
                    <w:wordWrap/>
                    <w:overflowPunct/>
                    <w:topLinePunct w:val="0"/>
                    <w:autoSpaceDE w:val="0"/>
                    <w:autoSpaceDN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val="0"/>
                      <w:bCs w:val="0"/>
                      <w:color w:val="000000" w:themeColor="text1"/>
                      <w:kern w:val="0"/>
                      <w:sz w:val="18"/>
                      <w:szCs w:val="18"/>
                      <w:highlight w:val="none"/>
                      <w:u w:val="none"/>
                      <w14:textFill>
                        <w14:solidFill>
                          <w14:schemeClr w14:val="tx1"/>
                        </w14:solidFill>
                      </w14:textFill>
                    </w:rPr>
                  </w:pPr>
                  <w:r>
                    <w:rPr>
                      <w:rFonts w:hint="default" w:ascii="Times New Roman" w:hAnsi="Times New Roman" w:cs="Times New Roman"/>
                      <w:b w:val="0"/>
                      <w:bCs w:val="0"/>
                      <w:color w:val="000000" w:themeColor="text1"/>
                      <w:kern w:val="0"/>
                      <w:sz w:val="18"/>
                      <w:szCs w:val="18"/>
                      <w:highlight w:val="none"/>
                      <w:u w:val="none"/>
                      <w14:textFill>
                        <w14:solidFill>
                          <w14:schemeClr w14:val="tx1"/>
                        </w14:solidFill>
                      </w14:textFill>
                    </w:rPr>
                    <w:t>编号</w:t>
                  </w:r>
                </w:p>
              </w:tc>
              <w:tc>
                <w:tcPr>
                  <w:tcW w:w="609" w:type="pct"/>
                  <w:vMerge w:val="restart"/>
                  <w:tcBorders>
                    <w:top w:val="single" w:color="auto" w:sz="4" w:space="0"/>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val="0"/>
                      <w:bCs w:val="0"/>
                      <w:color w:val="000000" w:themeColor="text1"/>
                      <w:kern w:val="0"/>
                      <w:sz w:val="18"/>
                      <w:szCs w:val="18"/>
                      <w:highlight w:val="none"/>
                      <w:u w:val="none"/>
                      <w14:textFill>
                        <w14:solidFill>
                          <w14:schemeClr w14:val="tx1"/>
                        </w14:solidFill>
                      </w14:textFill>
                    </w:rPr>
                  </w:pPr>
                  <w:r>
                    <w:rPr>
                      <w:rFonts w:hint="default" w:ascii="Times New Roman" w:hAnsi="Times New Roman" w:cs="Times New Roman"/>
                      <w:b w:val="0"/>
                      <w:bCs w:val="0"/>
                      <w:color w:val="000000" w:themeColor="text1"/>
                      <w:kern w:val="0"/>
                      <w:sz w:val="18"/>
                      <w:szCs w:val="18"/>
                      <w:highlight w:val="none"/>
                      <w:u w:val="none"/>
                      <w14:textFill>
                        <w14:solidFill>
                          <w14:schemeClr w14:val="tx1"/>
                        </w14:solidFill>
                      </w14:textFill>
                    </w:rPr>
                    <w:t>产污环节</w:t>
                  </w:r>
                </w:p>
              </w:tc>
              <w:tc>
                <w:tcPr>
                  <w:tcW w:w="718" w:type="pct"/>
                  <w:vMerge w:val="restart"/>
                  <w:tcBorders>
                    <w:top w:val="single" w:color="auto" w:sz="4" w:space="0"/>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val="0"/>
                      <w:bCs w:val="0"/>
                      <w:color w:val="000000" w:themeColor="text1"/>
                      <w:kern w:val="0"/>
                      <w:sz w:val="18"/>
                      <w:szCs w:val="18"/>
                      <w:highlight w:val="none"/>
                      <w:u w:val="none"/>
                      <w14:textFill>
                        <w14:solidFill>
                          <w14:schemeClr w14:val="tx1"/>
                        </w14:solidFill>
                      </w14:textFill>
                    </w:rPr>
                  </w:pPr>
                  <w:r>
                    <w:rPr>
                      <w:rFonts w:hint="default" w:ascii="Times New Roman" w:hAnsi="Times New Roman" w:cs="Times New Roman"/>
                      <w:b w:val="0"/>
                      <w:bCs w:val="0"/>
                      <w:color w:val="000000" w:themeColor="text1"/>
                      <w:kern w:val="0"/>
                      <w:sz w:val="18"/>
                      <w:szCs w:val="18"/>
                      <w:highlight w:val="none"/>
                      <w:u w:val="none"/>
                      <w14:textFill>
                        <w14:solidFill>
                          <w14:schemeClr w14:val="tx1"/>
                        </w14:solidFill>
                      </w14:textFill>
                    </w:rPr>
                    <w:t>污染物</w:t>
                  </w:r>
                </w:p>
              </w:tc>
              <w:tc>
                <w:tcPr>
                  <w:tcW w:w="1095" w:type="pct"/>
                  <w:vMerge w:val="restart"/>
                  <w:tcBorders>
                    <w:top w:val="single" w:color="auto" w:sz="4" w:space="0"/>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val="0"/>
                      <w:bCs w:val="0"/>
                      <w:color w:val="000000" w:themeColor="text1"/>
                      <w:kern w:val="0"/>
                      <w:sz w:val="18"/>
                      <w:szCs w:val="18"/>
                      <w:highlight w:val="none"/>
                      <w:u w:val="none"/>
                      <w14:textFill>
                        <w14:solidFill>
                          <w14:schemeClr w14:val="tx1"/>
                        </w14:solidFill>
                      </w14:textFill>
                    </w:rPr>
                  </w:pPr>
                  <w:r>
                    <w:rPr>
                      <w:rFonts w:hint="default" w:ascii="Times New Roman" w:hAnsi="Times New Roman" w:cs="Times New Roman"/>
                      <w:b w:val="0"/>
                      <w:bCs w:val="0"/>
                      <w:color w:val="000000" w:themeColor="text1"/>
                      <w:kern w:val="0"/>
                      <w:sz w:val="18"/>
                      <w:szCs w:val="18"/>
                      <w:highlight w:val="none"/>
                      <w:u w:val="none"/>
                      <w14:textFill>
                        <w14:solidFill>
                          <w14:schemeClr w14:val="tx1"/>
                        </w14:solidFill>
                      </w14:textFill>
                    </w:rPr>
                    <w:t>主要污染防治措施</w:t>
                  </w:r>
                </w:p>
              </w:tc>
              <w:tc>
                <w:tcPr>
                  <w:tcW w:w="668" w:type="pct"/>
                  <w:vMerge w:val="restart"/>
                  <w:tcBorders>
                    <w:top w:val="single" w:color="auto" w:sz="4" w:space="0"/>
                    <w:left w:val="single" w:color="auto" w:sz="6" w:space="0"/>
                    <w:bottom w:val="single" w:color="auto" w:sz="6" w:space="0"/>
                    <w:right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u w:val="none"/>
                      <w:lang w:eastAsia="zh-CN"/>
                      <w14:textFill>
                        <w14:solidFill>
                          <w14:schemeClr w14:val="tx1"/>
                        </w14:solidFill>
                      </w14:textFill>
                    </w:rPr>
                  </w:pPr>
                  <w:r>
                    <w:rPr>
                      <w:rFonts w:hint="default" w:ascii="Times New Roman" w:hAnsi="Times New Roman" w:cs="Times New Roman"/>
                      <w:b w:val="0"/>
                      <w:bCs w:val="0"/>
                      <w:color w:val="000000" w:themeColor="text1"/>
                      <w:kern w:val="0"/>
                      <w:sz w:val="18"/>
                      <w:szCs w:val="18"/>
                      <w:highlight w:val="none"/>
                      <w:u w:val="none"/>
                      <w:lang w:eastAsia="zh-CN"/>
                      <w14:textFill>
                        <w14:solidFill>
                          <w14:schemeClr w14:val="tx1"/>
                        </w14:solidFill>
                      </w14:textFill>
                    </w:rPr>
                    <w:t>排放速率（</w:t>
                  </w:r>
                  <w:r>
                    <w:rPr>
                      <w:rFonts w:hint="default" w:ascii="Times New Roman" w:hAnsi="Times New Roman" w:cs="Times New Roman"/>
                      <w:b w:val="0"/>
                      <w:bCs w:val="0"/>
                      <w:color w:val="000000" w:themeColor="text1"/>
                      <w:kern w:val="0"/>
                      <w:sz w:val="18"/>
                      <w:szCs w:val="18"/>
                      <w:highlight w:val="none"/>
                      <w:u w:val="none"/>
                      <w:lang w:val="en-US" w:eastAsia="zh-CN"/>
                      <w14:textFill>
                        <w14:solidFill>
                          <w14:schemeClr w14:val="tx1"/>
                        </w14:solidFill>
                      </w14:textFill>
                    </w:rPr>
                    <w:t>kg/h</w:t>
                  </w:r>
                  <w:r>
                    <w:rPr>
                      <w:rFonts w:hint="default" w:ascii="Times New Roman" w:hAnsi="Times New Roman" w:cs="Times New Roman"/>
                      <w:b w:val="0"/>
                      <w:bCs w:val="0"/>
                      <w:color w:val="000000" w:themeColor="text1"/>
                      <w:kern w:val="0"/>
                      <w:sz w:val="18"/>
                      <w:szCs w:val="18"/>
                      <w:highlight w:val="none"/>
                      <w:u w:val="none"/>
                      <w:lang w:eastAsia="zh-CN"/>
                      <w14:textFill>
                        <w14:solidFill>
                          <w14:schemeClr w14:val="tx1"/>
                        </w14:solidFill>
                      </w14:textFill>
                    </w:rPr>
                    <w:t>）</w:t>
                  </w:r>
                </w:p>
              </w:tc>
              <w:tc>
                <w:tcPr>
                  <w:tcW w:w="804" w:type="pct"/>
                  <w:vMerge w:val="restart"/>
                  <w:tcBorders>
                    <w:top w:val="single" w:color="auto" w:sz="4" w:space="0"/>
                    <w:left w:val="single" w:color="auto" w:sz="4" w:space="0"/>
                    <w:bottom w:val="single" w:color="auto" w:sz="6" w:space="0"/>
                    <w:right w:val="nil"/>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val="0"/>
                      <w:bCs w:val="0"/>
                      <w:color w:val="000000" w:themeColor="text1"/>
                      <w:kern w:val="0"/>
                      <w:sz w:val="18"/>
                      <w:szCs w:val="18"/>
                      <w:highlight w:val="none"/>
                      <w:u w:val="none"/>
                      <w14:textFill>
                        <w14:solidFill>
                          <w14:schemeClr w14:val="tx1"/>
                        </w14:solidFill>
                      </w14:textFill>
                    </w:rPr>
                  </w:pPr>
                  <w:r>
                    <w:rPr>
                      <w:rFonts w:hint="default" w:ascii="Times New Roman" w:hAnsi="Times New Roman" w:cs="Times New Roman"/>
                      <w:b w:val="0"/>
                      <w:bCs w:val="0"/>
                      <w:color w:val="000000" w:themeColor="text1"/>
                      <w:kern w:val="0"/>
                      <w:sz w:val="18"/>
                      <w:szCs w:val="18"/>
                      <w:highlight w:val="none"/>
                      <w:u w:val="none"/>
                      <w14:textFill>
                        <w14:solidFill>
                          <w14:schemeClr w14:val="tx1"/>
                        </w14:solidFill>
                      </w14:textFill>
                    </w:rPr>
                    <w:t>年排放量（t/a）</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7" w:type="pct"/>
                  <w:vMerge w:val="continue"/>
                  <w:tcBorders>
                    <w:top w:val="single" w:color="auto" w:sz="4" w:space="0"/>
                    <w:left w:val="nil"/>
                    <w:bottom w:val="single" w:color="auto" w:sz="6" w:space="0"/>
                    <w:right w:val="single" w:color="auto" w:sz="6" w:space="0"/>
                  </w:tcBorders>
                  <w:noWrap w:val="0"/>
                  <w:vAlign w:val="center"/>
                </w:tcPr>
                <w:p>
                  <w:pPr>
                    <w:keepNext w:val="0"/>
                    <w:keepLines w:val="0"/>
                    <w:pageBreakBefore w:val="0"/>
                    <w:widowControl/>
                    <w:kinsoku/>
                    <w:wordWrap/>
                    <w:overflowPunct/>
                    <w:topLinePunct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val="0"/>
                      <w:bCs w:val="0"/>
                      <w:color w:val="000000" w:themeColor="text1"/>
                      <w:kern w:val="0"/>
                      <w:sz w:val="18"/>
                      <w:szCs w:val="18"/>
                      <w:highlight w:val="none"/>
                      <w:u w:val="none"/>
                      <w14:textFill>
                        <w14:solidFill>
                          <w14:schemeClr w14:val="tx1"/>
                        </w14:solidFill>
                      </w14:textFill>
                    </w:rPr>
                  </w:pPr>
                </w:p>
              </w:tc>
              <w:tc>
                <w:tcPr>
                  <w:tcW w:w="715" w:type="pct"/>
                  <w:vMerge w:val="continue"/>
                  <w:tcBorders>
                    <w:top w:val="single" w:color="auto" w:sz="4" w:space="0"/>
                    <w:left w:val="single" w:color="auto" w:sz="6" w:space="0"/>
                    <w:bottom w:val="single" w:color="auto" w:sz="6" w:space="0"/>
                    <w:right w:val="single" w:color="auto" w:sz="6" w:space="0"/>
                  </w:tcBorders>
                  <w:noWrap w:val="0"/>
                  <w:vAlign w:val="center"/>
                </w:tcPr>
                <w:p>
                  <w:pPr>
                    <w:keepNext w:val="0"/>
                    <w:keepLines w:val="0"/>
                    <w:pageBreakBefore w:val="0"/>
                    <w:widowControl/>
                    <w:kinsoku/>
                    <w:wordWrap/>
                    <w:overflowPunct/>
                    <w:topLinePunct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val="0"/>
                      <w:bCs w:val="0"/>
                      <w:color w:val="000000" w:themeColor="text1"/>
                      <w:kern w:val="0"/>
                      <w:sz w:val="18"/>
                      <w:szCs w:val="18"/>
                      <w:highlight w:val="none"/>
                      <w:u w:val="none"/>
                      <w14:textFill>
                        <w14:solidFill>
                          <w14:schemeClr w14:val="tx1"/>
                        </w14:solidFill>
                      </w14:textFill>
                    </w:rPr>
                  </w:pPr>
                </w:p>
              </w:tc>
              <w:tc>
                <w:tcPr>
                  <w:tcW w:w="609" w:type="pct"/>
                  <w:vMerge w:val="continue"/>
                  <w:tcBorders>
                    <w:top w:val="single" w:color="auto" w:sz="4" w:space="0"/>
                    <w:left w:val="single" w:color="auto" w:sz="6" w:space="0"/>
                    <w:bottom w:val="single" w:color="auto" w:sz="6" w:space="0"/>
                    <w:right w:val="single" w:color="auto" w:sz="6" w:space="0"/>
                  </w:tcBorders>
                  <w:noWrap w:val="0"/>
                  <w:vAlign w:val="center"/>
                </w:tcPr>
                <w:p>
                  <w:pPr>
                    <w:keepNext w:val="0"/>
                    <w:keepLines w:val="0"/>
                    <w:pageBreakBefore w:val="0"/>
                    <w:widowControl/>
                    <w:kinsoku/>
                    <w:wordWrap/>
                    <w:overflowPunct/>
                    <w:topLinePunct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val="0"/>
                      <w:bCs w:val="0"/>
                      <w:color w:val="000000" w:themeColor="text1"/>
                      <w:kern w:val="0"/>
                      <w:sz w:val="18"/>
                      <w:szCs w:val="18"/>
                      <w:highlight w:val="none"/>
                      <w:u w:val="none"/>
                      <w14:textFill>
                        <w14:solidFill>
                          <w14:schemeClr w14:val="tx1"/>
                        </w14:solidFill>
                      </w14:textFill>
                    </w:rPr>
                  </w:pPr>
                </w:p>
              </w:tc>
              <w:tc>
                <w:tcPr>
                  <w:tcW w:w="718" w:type="pct"/>
                  <w:vMerge w:val="continue"/>
                  <w:tcBorders>
                    <w:top w:val="single" w:color="auto" w:sz="4" w:space="0"/>
                    <w:left w:val="single" w:color="auto" w:sz="6" w:space="0"/>
                    <w:bottom w:val="single" w:color="auto" w:sz="6" w:space="0"/>
                    <w:right w:val="single" w:color="auto" w:sz="6" w:space="0"/>
                  </w:tcBorders>
                  <w:noWrap w:val="0"/>
                  <w:vAlign w:val="center"/>
                </w:tcPr>
                <w:p>
                  <w:pPr>
                    <w:keepNext w:val="0"/>
                    <w:keepLines w:val="0"/>
                    <w:pageBreakBefore w:val="0"/>
                    <w:widowControl/>
                    <w:kinsoku/>
                    <w:wordWrap/>
                    <w:overflowPunct/>
                    <w:topLinePunct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val="0"/>
                      <w:bCs w:val="0"/>
                      <w:color w:val="000000" w:themeColor="text1"/>
                      <w:kern w:val="0"/>
                      <w:sz w:val="18"/>
                      <w:szCs w:val="18"/>
                      <w:highlight w:val="none"/>
                      <w:u w:val="none"/>
                      <w14:textFill>
                        <w14:solidFill>
                          <w14:schemeClr w14:val="tx1"/>
                        </w14:solidFill>
                      </w14:textFill>
                    </w:rPr>
                  </w:pPr>
                </w:p>
              </w:tc>
              <w:tc>
                <w:tcPr>
                  <w:tcW w:w="1095" w:type="pct"/>
                  <w:vMerge w:val="continue"/>
                  <w:tcBorders>
                    <w:top w:val="single" w:color="auto" w:sz="4" w:space="0"/>
                    <w:left w:val="single" w:color="auto" w:sz="6" w:space="0"/>
                    <w:bottom w:val="single" w:color="auto" w:sz="6" w:space="0"/>
                    <w:right w:val="single" w:color="auto" w:sz="6" w:space="0"/>
                  </w:tcBorders>
                  <w:noWrap w:val="0"/>
                  <w:vAlign w:val="center"/>
                </w:tcPr>
                <w:p>
                  <w:pPr>
                    <w:keepNext w:val="0"/>
                    <w:keepLines w:val="0"/>
                    <w:pageBreakBefore w:val="0"/>
                    <w:widowControl/>
                    <w:kinsoku/>
                    <w:wordWrap/>
                    <w:overflowPunct/>
                    <w:topLinePunct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val="0"/>
                      <w:bCs w:val="0"/>
                      <w:color w:val="000000" w:themeColor="text1"/>
                      <w:kern w:val="0"/>
                      <w:sz w:val="18"/>
                      <w:szCs w:val="18"/>
                      <w:highlight w:val="none"/>
                      <w:u w:val="none"/>
                      <w14:textFill>
                        <w14:solidFill>
                          <w14:schemeClr w14:val="tx1"/>
                        </w14:solidFill>
                      </w14:textFill>
                    </w:rPr>
                  </w:pPr>
                </w:p>
              </w:tc>
              <w:tc>
                <w:tcPr>
                  <w:tcW w:w="668" w:type="pct"/>
                  <w:vMerge w:val="continue"/>
                  <w:tcBorders>
                    <w:top w:val="single" w:color="auto" w:sz="4" w:space="0"/>
                    <w:left w:val="single" w:color="auto" w:sz="6" w:space="0"/>
                    <w:bottom w:val="single" w:color="auto" w:sz="6" w:space="0"/>
                    <w:right w:val="single" w:color="auto" w:sz="4" w:space="0"/>
                  </w:tcBorders>
                  <w:noWrap w:val="0"/>
                  <w:vAlign w:val="center"/>
                </w:tcPr>
                <w:p>
                  <w:pPr>
                    <w:keepNext w:val="0"/>
                    <w:keepLines w:val="0"/>
                    <w:pageBreakBefore w:val="0"/>
                    <w:widowControl/>
                    <w:kinsoku/>
                    <w:wordWrap/>
                    <w:overflowPunct/>
                    <w:topLinePunct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val="0"/>
                      <w:bCs w:val="0"/>
                      <w:color w:val="000000" w:themeColor="text1"/>
                      <w:kern w:val="0"/>
                      <w:sz w:val="18"/>
                      <w:szCs w:val="18"/>
                      <w:highlight w:val="none"/>
                      <w:u w:val="none"/>
                      <w14:textFill>
                        <w14:solidFill>
                          <w14:schemeClr w14:val="tx1"/>
                        </w14:solidFill>
                      </w14:textFill>
                    </w:rPr>
                  </w:pPr>
                </w:p>
              </w:tc>
              <w:tc>
                <w:tcPr>
                  <w:tcW w:w="804" w:type="pct"/>
                  <w:vMerge w:val="continue"/>
                  <w:tcBorders>
                    <w:top w:val="single" w:color="auto" w:sz="4" w:space="0"/>
                    <w:left w:val="single" w:color="auto" w:sz="4" w:space="0"/>
                    <w:bottom w:val="single" w:color="auto" w:sz="6" w:space="0"/>
                    <w:right w:val="nil"/>
                  </w:tcBorders>
                  <w:noWrap w:val="0"/>
                  <w:vAlign w:val="center"/>
                </w:tcPr>
                <w:p>
                  <w:pPr>
                    <w:keepNext w:val="0"/>
                    <w:keepLines w:val="0"/>
                    <w:pageBreakBefore w:val="0"/>
                    <w:widowControl/>
                    <w:kinsoku/>
                    <w:wordWrap/>
                    <w:overflowPunct/>
                    <w:topLinePunct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val="0"/>
                      <w:bCs w:val="0"/>
                      <w:color w:val="000000" w:themeColor="text1"/>
                      <w:kern w:val="0"/>
                      <w:sz w:val="18"/>
                      <w:szCs w:val="18"/>
                      <w:highlight w:val="none"/>
                      <w:u w:val="none"/>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745" w:hRule="atLeast"/>
                <w:jc w:val="center"/>
              </w:trPr>
              <w:tc>
                <w:tcPr>
                  <w:tcW w:w="387" w:type="pct"/>
                  <w:tcBorders>
                    <w:top w:val="single" w:color="auto" w:sz="6" w:space="0"/>
                    <w:left w:val="nil"/>
                    <w:bottom w:val="single" w:color="auto" w:sz="6" w:space="0"/>
                    <w:right w:val="single" w:color="auto" w:sz="6" w:space="0"/>
                  </w:tcBorders>
                  <w:noWrap w:val="0"/>
                  <w:vAlign w:val="center"/>
                </w:tcPr>
                <w:p>
                  <w:pPr>
                    <w:keepNext w:val="0"/>
                    <w:keepLines w:val="0"/>
                    <w:pageBreakBefore w:val="0"/>
                    <w:widowControl/>
                    <w:kinsoku/>
                    <w:wordWrap/>
                    <w:overflowPunct/>
                    <w:topLinePunct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14:textFill>
                        <w14:solidFill>
                          <w14:schemeClr w14:val="tx1"/>
                        </w14:solidFill>
                      </w14:textFill>
                    </w:rPr>
                    <w:t>1</w:t>
                  </w:r>
                </w:p>
              </w:tc>
              <w:tc>
                <w:tcPr>
                  <w:tcW w:w="715" w:type="pct"/>
                  <w:tcBorders>
                    <w:top w:val="single" w:color="auto" w:sz="6" w:space="0"/>
                    <w:left w:val="single" w:color="auto" w:sz="6" w:space="0"/>
                    <w:bottom w:val="single" w:color="auto" w:sz="6" w:space="0"/>
                    <w:right w:val="single" w:color="auto" w:sz="6" w:space="0"/>
                  </w:tcBorders>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1#生产车间</w:t>
                  </w:r>
                </w:p>
              </w:tc>
              <w:tc>
                <w:tcPr>
                  <w:tcW w:w="609" w:type="pct"/>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下料工序</w:t>
                  </w:r>
                </w:p>
              </w:tc>
              <w:tc>
                <w:tcPr>
                  <w:tcW w:w="718" w:type="pct"/>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kinsoku/>
                    <w:wordWrap/>
                    <w:overflowPunct/>
                    <w:topLinePunct w:val="0"/>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eastAsia="zh-CN"/>
                      <w14:textFill>
                        <w14:solidFill>
                          <w14:schemeClr w14:val="tx1"/>
                        </w14:solidFill>
                      </w14:textFill>
                    </w:rPr>
                    <w:t>颗粒物</w:t>
                  </w:r>
                </w:p>
              </w:tc>
              <w:tc>
                <w:tcPr>
                  <w:tcW w:w="1095" w:type="pct"/>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eastAsia="zh-CN"/>
                      <w14:textFill>
                        <w14:solidFill>
                          <w14:schemeClr w14:val="tx1"/>
                        </w14:solidFill>
                      </w14:textFill>
                    </w:rPr>
                    <w:t>设置二次密闭间收集，规范日常生产</w:t>
                  </w:r>
                </w:p>
              </w:tc>
              <w:tc>
                <w:tcPr>
                  <w:tcW w:w="1080" w:type="dxa"/>
                  <w:tcBorders>
                    <w:top w:val="single" w:color="auto" w:sz="6" w:space="0"/>
                    <w:left w:val="single" w:color="auto" w:sz="6" w:space="0"/>
                    <w:bottom w:val="single" w:color="auto" w:sz="6" w:space="0"/>
                    <w:right w:val="single" w:color="auto" w:sz="4" w:space="0"/>
                  </w:tcBorders>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0.036</w:t>
                  </w:r>
                </w:p>
              </w:tc>
              <w:tc>
                <w:tcPr>
                  <w:tcW w:w="1303" w:type="dxa"/>
                  <w:tcBorders>
                    <w:top w:val="single" w:color="auto" w:sz="6" w:space="0"/>
                    <w:left w:val="single" w:color="auto" w:sz="4" w:space="0"/>
                    <w:bottom w:val="single" w:color="auto" w:sz="6" w:space="0"/>
                    <w:right w:val="nil"/>
                  </w:tcBorders>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0.0437</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730" w:hRule="atLeast"/>
                <w:jc w:val="center"/>
              </w:trPr>
              <w:tc>
                <w:tcPr>
                  <w:tcW w:w="387" w:type="pct"/>
                  <w:tcBorders>
                    <w:top w:val="single" w:color="auto" w:sz="6" w:space="0"/>
                    <w:left w:val="nil"/>
                    <w:bottom w:val="single" w:color="auto" w:sz="6" w:space="0"/>
                    <w:right w:val="single" w:color="auto" w:sz="6" w:space="0"/>
                  </w:tcBorders>
                  <w:noWrap w:val="0"/>
                  <w:vAlign w:val="center"/>
                </w:tcPr>
                <w:p>
                  <w:pPr>
                    <w:keepNext w:val="0"/>
                    <w:keepLines w:val="0"/>
                    <w:pageBreakBefore w:val="0"/>
                    <w:widowControl/>
                    <w:kinsoku/>
                    <w:wordWrap/>
                    <w:overflowPunct/>
                    <w:topLinePunct w:val="0"/>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2</w:t>
                  </w:r>
                </w:p>
              </w:tc>
              <w:tc>
                <w:tcPr>
                  <w:tcW w:w="715" w:type="pct"/>
                  <w:tcBorders>
                    <w:top w:val="single" w:color="auto" w:sz="6" w:space="0"/>
                    <w:left w:val="single" w:color="auto" w:sz="6" w:space="0"/>
                    <w:bottom w:val="single" w:color="auto" w:sz="6" w:space="0"/>
                    <w:right w:val="single" w:color="auto" w:sz="6" w:space="0"/>
                  </w:tcBorders>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2#和3#生产车间</w:t>
                  </w:r>
                </w:p>
              </w:tc>
              <w:tc>
                <w:tcPr>
                  <w:tcW w:w="609" w:type="pct"/>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焊接、打磨工序</w:t>
                  </w:r>
                </w:p>
              </w:tc>
              <w:tc>
                <w:tcPr>
                  <w:tcW w:w="718" w:type="pct"/>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kinsoku/>
                    <w:wordWrap/>
                    <w:overflowPunct/>
                    <w:topLinePunct w:val="0"/>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eastAsia="zh-CN"/>
                      <w14:textFill>
                        <w14:solidFill>
                          <w14:schemeClr w14:val="tx1"/>
                        </w14:solidFill>
                      </w14:textFill>
                    </w:rPr>
                    <w:t>颗粒物</w:t>
                  </w:r>
                </w:p>
              </w:tc>
              <w:tc>
                <w:tcPr>
                  <w:tcW w:w="1095" w:type="pct"/>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eastAsia="zh-CN"/>
                      <w14:textFill>
                        <w14:solidFill>
                          <w14:schemeClr w14:val="tx1"/>
                        </w14:solidFill>
                      </w14:textFill>
                    </w:rPr>
                    <w:t>设置二次密闭间收集，规范日常生产</w:t>
                  </w:r>
                </w:p>
              </w:tc>
              <w:tc>
                <w:tcPr>
                  <w:tcW w:w="1080" w:type="dxa"/>
                  <w:tcBorders>
                    <w:top w:val="single" w:color="auto" w:sz="6" w:space="0"/>
                    <w:left w:val="single" w:color="auto" w:sz="6" w:space="0"/>
                    <w:bottom w:val="single" w:color="auto" w:sz="6" w:space="0"/>
                    <w:right w:val="single" w:color="auto" w:sz="4" w:space="0"/>
                  </w:tcBorders>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0.048</w:t>
                  </w:r>
                </w:p>
              </w:tc>
              <w:tc>
                <w:tcPr>
                  <w:tcW w:w="1303" w:type="dxa"/>
                  <w:tcBorders>
                    <w:top w:val="single" w:color="auto" w:sz="6" w:space="0"/>
                    <w:left w:val="single" w:color="auto" w:sz="4" w:space="0"/>
                    <w:bottom w:val="single" w:color="auto" w:sz="6" w:space="0"/>
                    <w:right w:val="nil"/>
                  </w:tcBorders>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0.0574</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387" w:type="pct"/>
                  <w:vMerge w:val="restart"/>
                  <w:tcBorders>
                    <w:top w:val="single" w:color="auto" w:sz="6" w:space="0"/>
                    <w:left w:val="nil"/>
                    <w:right w:val="single" w:color="auto" w:sz="6" w:space="0"/>
                  </w:tcBorders>
                  <w:noWrap w:val="0"/>
                  <w:vAlign w:val="center"/>
                </w:tcPr>
                <w:p>
                  <w:pPr>
                    <w:keepNext w:val="0"/>
                    <w:keepLines w:val="0"/>
                    <w:pageBreakBefore w:val="0"/>
                    <w:widowControl/>
                    <w:kinsoku/>
                    <w:wordWrap/>
                    <w:overflowPunct/>
                    <w:topLinePunct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3</w:t>
                  </w:r>
                </w:p>
              </w:tc>
              <w:tc>
                <w:tcPr>
                  <w:tcW w:w="715" w:type="pct"/>
                  <w:vMerge w:val="restart"/>
                  <w:tcBorders>
                    <w:top w:val="single" w:color="auto" w:sz="6" w:space="0"/>
                    <w:left w:val="single" w:color="auto" w:sz="6" w:space="0"/>
                    <w:right w:val="single" w:color="auto" w:sz="6" w:space="0"/>
                  </w:tcBorders>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4#酸洗车间</w:t>
                  </w:r>
                </w:p>
              </w:tc>
              <w:tc>
                <w:tcPr>
                  <w:tcW w:w="609" w:type="pct"/>
                  <w:vMerge w:val="restart"/>
                  <w:tcBorders>
                    <w:top w:val="single" w:color="auto" w:sz="6" w:space="0"/>
                    <w:left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酸洗</w:t>
                  </w:r>
                </w:p>
              </w:tc>
              <w:tc>
                <w:tcPr>
                  <w:tcW w:w="718" w:type="pct"/>
                  <w:tcBorders>
                    <w:top w:val="single" w:color="auto" w:sz="6" w:space="0"/>
                    <w:left w:val="single" w:color="auto" w:sz="6" w:space="0"/>
                    <w:bottom w:val="single" w:color="auto" w:sz="4"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b w:val="0"/>
                      <w:bCs w:val="0"/>
                      <w:color w:val="000000" w:themeColor="text1"/>
                      <w:kern w:val="0"/>
                      <w:sz w:val="18"/>
                      <w:szCs w:val="18"/>
                      <w:highlight w:val="none"/>
                      <w:u w:val="none"/>
                      <w:lang w:val="en-US" w:eastAsia="zh-CN"/>
                      <w14:textFill>
                        <w14:solidFill>
                          <w14:schemeClr w14:val="tx1"/>
                        </w14:solidFill>
                      </w14:textFill>
                    </w:rPr>
                    <w:t>氢氟酸雾</w:t>
                  </w:r>
                </w:p>
              </w:tc>
              <w:tc>
                <w:tcPr>
                  <w:tcW w:w="1095" w:type="pct"/>
                  <w:vMerge w:val="restart"/>
                  <w:tcBorders>
                    <w:top w:val="single" w:color="auto" w:sz="6" w:space="0"/>
                    <w:left w:val="single" w:color="auto" w:sz="6" w:space="0"/>
                    <w:right w:val="single" w:color="auto" w:sz="6" w:space="0"/>
                  </w:tcBorders>
                  <w:noWrap w:val="0"/>
                  <w:vAlign w:val="center"/>
                </w:tcPr>
                <w:p>
                  <w:pPr>
                    <w:keepNext w:val="0"/>
                    <w:keepLines w:val="0"/>
                    <w:pageBreakBefore w:val="0"/>
                    <w:kinsoku/>
                    <w:wordWrap/>
                    <w:overflowPunct/>
                    <w:topLinePunct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eastAsia="zh-CN"/>
                      <w14:textFill>
                        <w14:solidFill>
                          <w14:schemeClr w14:val="tx1"/>
                        </w14:solidFill>
                      </w14:textFill>
                    </w:rPr>
                    <w:t>设置二次密闭间收集，规范日常生产</w:t>
                  </w:r>
                </w:p>
              </w:tc>
              <w:tc>
                <w:tcPr>
                  <w:tcW w:w="1080" w:type="dxa"/>
                  <w:tcBorders>
                    <w:top w:val="single" w:color="auto" w:sz="6" w:space="0"/>
                    <w:left w:val="single" w:color="auto" w:sz="6" w:space="0"/>
                    <w:bottom w:val="single" w:color="auto" w:sz="4" w:space="0"/>
                    <w:right w:val="single" w:color="auto" w:sz="4" w:space="0"/>
                  </w:tcBorders>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0.0002</w:t>
                  </w:r>
                </w:p>
              </w:tc>
              <w:tc>
                <w:tcPr>
                  <w:tcW w:w="1303" w:type="dxa"/>
                  <w:tcBorders>
                    <w:top w:val="single" w:color="auto" w:sz="6" w:space="0"/>
                    <w:left w:val="single" w:color="auto" w:sz="4" w:space="0"/>
                    <w:bottom w:val="single" w:color="auto" w:sz="4" w:space="0"/>
                    <w:right w:val="nil"/>
                  </w:tcBorders>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0.0005</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6" w:hRule="atLeast"/>
                <w:jc w:val="center"/>
              </w:trPr>
              <w:tc>
                <w:tcPr>
                  <w:tcW w:w="387" w:type="pct"/>
                  <w:vMerge w:val="continue"/>
                  <w:tcBorders>
                    <w:left w:val="nil"/>
                    <w:bottom w:val="single" w:color="auto" w:sz="6" w:space="0"/>
                    <w:right w:val="single" w:color="auto" w:sz="6" w:space="0"/>
                  </w:tcBorders>
                  <w:noWrap w:val="0"/>
                  <w:vAlign w:val="center"/>
                </w:tcPr>
                <w:p>
                  <w:pPr>
                    <w:keepNext w:val="0"/>
                    <w:keepLines w:val="0"/>
                    <w:pageBreakBefore w:val="0"/>
                    <w:widowControl/>
                    <w:kinsoku/>
                    <w:wordWrap/>
                    <w:overflowPunct/>
                    <w:topLinePunct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p>
              </w:tc>
              <w:tc>
                <w:tcPr>
                  <w:tcW w:w="715" w:type="pct"/>
                  <w:vMerge w:val="continue"/>
                  <w:tcBorders>
                    <w:left w:val="single" w:color="auto" w:sz="6" w:space="0"/>
                    <w:bottom w:val="single" w:color="auto" w:sz="6" w:space="0"/>
                    <w:right w:val="single" w:color="auto" w:sz="6" w:space="0"/>
                  </w:tcBorders>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p>
              </w:tc>
              <w:tc>
                <w:tcPr>
                  <w:tcW w:w="609" w:type="pct"/>
                  <w:vMerge w:val="continue"/>
                  <w:tcBorders>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p>
              </w:tc>
              <w:tc>
                <w:tcPr>
                  <w:tcW w:w="718" w:type="pct"/>
                  <w:tcBorders>
                    <w:top w:val="single" w:color="auto" w:sz="4" w:space="0"/>
                    <w:left w:val="single" w:color="auto" w:sz="6" w:space="0"/>
                    <w:bottom w:val="single" w:color="auto" w:sz="6"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b w:val="0"/>
                      <w:bCs w:val="0"/>
                      <w:color w:val="000000" w:themeColor="text1"/>
                      <w:kern w:val="0"/>
                      <w:sz w:val="18"/>
                      <w:szCs w:val="18"/>
                      <w:highlight w:val="none"/>
                      <w:u w:val="none"/>
                      <w:lang w:val="en-US" w:eastAsia="zh-CN"/>
                      <w14:textFill>
                        <w14:solidFill>
                          <w14:schemeClr w14:val="tx1"/>
                        </w14:solidFill>
                      </w14:textFill>
                    </w:rPr>
                    <w:t>硝酸雾（NOx计）</w:t>
                  </w:r>
                </w:p>
              </w:tc>
              <w:tc>
                <w:tcPr>
                  <w:tcW w:w="1095" w:type="pct"/>
                  <w:vMerge w:val="continue"/>
                  <w:tcBorders>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 w:val="0"/>
                      <w:bCs w:val="0"/>
                      <w:color w:val="000000" w:themeColor="text1"/>
                      <w:sz w:val="18"/>
                      <w:szCs w:val="18"/>
                      <w:highlight w:val="none"/>
                      <w:u w:val="none"/>
                      <w:lang w:eastAsia="zh-CN"/>
                      <w14:textFill>
                        <w14:solidFill>
                          <w14:schemeClr w14:val="tx1"/>
                        </w14:solidFill>
                      </w14:textFill>
                    </w:rPr>
                  </w:pPr>
                </w:p>
              </w:tc>
              <w:tc>
                <w:tcPr>
                  <w:tcW w:w="1080" w:type="dxa"/>
                  <w:tcBorders>
                    <w:top w:val="single" w:color="auto" w:sz="4" w:space="0"/>
                    <w:left w:val="single" w:color="auto" w:sz="6" w:space="0"/>
                    <w:bottom w:val="single" w:color="auto" w:sz="6" w:space="0"/>
                    <w:right w:val="single" w:color="auto" w:sz="4" w:space="0"/>
                  </w:tcBorders>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 xml:space="preserve">0.002 </w:t>
                  </w:r>
                </w:p>
              </w:tc>
              <w:tc>
                <w:tcPr>
                  <w:tcW w:w="1303" w:type="dxa"/>
                  <w:tcBorders>
                    <w:top w:val="single" w:color="auto" w:sz="4" w:space="0"/>
                    <w:left w:val="single" w:color="auto" w:sz="4" w:space="0"/>
                    <w:bottom w:val="single" w:color="auto" w:sz="6" w:space="0"/>
                    <w:right w:val="nil"/>
                  </w:tcBorders>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0.0038</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00" w:type="pct"/>
                  <w:gridSpan w:val="7"/>
                  <w:tcBorders>
                    <w:top w:val="single" w:color="auto" w:sz="6" w:space="0"/>
                    <w:left w:val="nil"/>
                    <w:bottom w:val="single" w:color="auto" w:sz="6" w:space="0"/>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bCs/>
                      <w:color w:val="000000" w:themeColor="text1"/>
                      <w:sz w:val="18"/>
                      <w:szCs w:val="18"/>
                      <w:highlight w:val="none"/>
                      <w:lang w:eastAsia="zh-CN"/>
                      <w14:textFill>
                        <w14:solidFill>
                          <w14:schemeClr w14:val="tx1"/>
                        </w14:solidFill>
                      </w14:textFill>
                    </w:rPr>
                    <w:t>无</w:t>
                  </w:r>
                  <w:r>
                    <w:rPr>
                      <w:rFonts w:hint="default" w:ascii="Times New Roman" w:hAnsi="Times New Roman" w:cs="Times New Roman"/>
                      <w:bCs/>
                      <w:color w:val="000000" w:themeColor="text1"/>
                      <w:sz w:val="18"/>
                      <w:szCs w:val="18"/>
                      <w:highlight w:val="none"/>
                      <w14:textFill>
                        <w14:solidFill>
                          <w14:schemeClr w14:val="tx1"/>
                        </w14:solidFill>
                      </w14:textFill>
                    </w:rPr>
                    <w:t>组织排放总计</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713" w:type="pct"/>
                  <w:gridSpan w:val="3"/>
                  <w:vMerge w:val="restart"/>
                  <w:tcBorders>
                    <w:top w:val="single" w:color="auto" w:sz="6" w:space="0"/>
                    <w:left w:val="nil"/>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bCs/>
                      <w:color w:val="000000" w:themeColor="text1"/>
                      <w:sz w:val="18"/>
                      <w:szCs w:val="18"/>
                      <w:highlight w:val="none"/>
                      <w:lang w:eastAsia="zh-CN"/>
                      <w14:textFill>
                        <w14:solidFill>
                          <w14:schemeClr w14:val="tx1"/>
                        </w14:solidFill>
                      </w14:textFill>
                    </w:rPr>
                    <w:t>无</w:t>
                  </w:r>
                  <w:r>
                    <w:rPr>
                      <w:rFonts w:hint="default" w:ascii="Times New Roman" w:hAnsi="Times New Roman" w:cs="Times New Roman"/>
                      <w:bCs/>
                      <w:color w:val="000000" w:themeColor="text1"/>
                      <w:sz w:val="18"/>
                      <w:szCs w:val="18"/>
                      <w:highlight w:val="none"/>
                      <w14:textFill>
                        <w14:solidFill>
                          <w14:schemeClr w14:val="tx1"/>
                        </w14:solidFill>
                      </w14:textFill>
                    </w:rPr>
                    <w:t>组织排放总计</w:t>
                  </w:r>
                </w:p>
              </w:tc>
              <w:tc>
                <w:tcPr>
                  <w:tcW w:w="1813" w:type="pct"/>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Cs/>
                      <w:color w:val="000000" w:themeColor="text1"/>
                      <w:sz w:val="18"/>
                      <w:szCs w:val="18"/>
                      <w:highlight w:val="none"/>
                      <w:lang w:eastAsia="zh-CN"/>
                      <w14:textFill>
                        <w14:solidFill>
                          <w14:schemeClr w14:val="tx1"/>
                        </w14:solidFill>
                      </w14:textFill>
                    </w:rPr>
                  </w:pPr>
                  <w:r>
                    <w:rPr>
                      <w:rFonts w:hint="default" w:ascii="Times New Roman" w:hAnsi="Times New Roman" w:cs="Times New Roman"/>
                      <w:bCs/>
                      <w:color w:val="000000" w:themeColor="text1"/>
                      <w:sz w:val="18"/>
                      <w:szCs w:val="18"/>
                      <w:highlight w:val="none"/>
                      <w:lang w:eastAsia="zh-CN"/>
                      <w14:textFill>
                        <w14:solidFill>
                          <w14:schemeClr w14:val="tx1"/>
                        </w14:solidFill>
                      </w14:textFill>
                    </w:rPr>
                    <w:t>颗粒物</w:t>
                  </w:r>
                </w:p>
              </w:tc>
              <w:tc>
                <w:tcPr>
                  <w:tcW w:w="1473" w:type="pct"/>
                  <w:gridSpan w:val="2"/>
                  <w:tcBorders>
                    <w:top w:val="single" w:color="auto" w:sz="6" w:space="0"/>
                    <w:left w:val="single" w:color="auto" w:sz="6" w:space="0"/>
                    <w:bottom w:val="single" w:color="auto" w:sz="6" w:space="0"/>
                    <w:right w:val="nil"/>
                  </w:tcBorders>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0.1011</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713" w:type="pct"/>
                  <w:gridSpan w:val="3"/>
                  <w:vMerge w:val="continue"/>
                  <w:tcBorders>
                    <w:left w:val="nil"/>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Cs/>
                      <w:color w:val="000000" w:themeColor="text1"/>
                      <w:sz w:val="18"/>
                      <w:szCs w:val="18"/>
                      <w:highlight w:val="none"/>
                      <w:lang w:eastAsia="zh-CN"/>
                      <w14:textFill>
                        <w14:solidFill>
                          <w14:schemeClr w14:val="tx1"/>
                        </w14:solidFill>
                      </w14:textFill>
                    </w:rPr>
                  </w:pPr>
                </w:p>
              </w:tc>
              <w:tc>
                <w:tcPr>
                  <w:tcW w:w="1813" w:type="pct"/>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氢氟酸雾</w:t>
                  </w:r>
                </w:p>
              </w:tc>
              <w:tc>
                <w:tcPr>
                  <w:tcW w:w="2383" w:type="dxa"/>
                  <w:gridSpan w:val="2"/>
                  <w:tcBorders>
                    <w:top w:val="single" w:color="auto" w:sz="6" w:space="0"/>
                    <w:left w:val="single" w:color="auto" w:sz="6" w:space="0"/>
                    <w:bottom w:val="single" w:color="auto" w:sz="6" w:space="0"/>
                    <w:right w:val="nil"/>
                  </w:tcBorders>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0.0005</w:t>
                  </w:r>
                </w:p>
              </w:tc>
            </w:tr>
            <w:tr>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713" w:type="pct"/>
                  <w:gridSpan w:val="3"/>
                  <w:vMerge w:val="continue"/>
                  <w:tcBorders>
                    <w:left w:val="nil"/>
                    <w:bottom w:val="single" w:color="auto" w:sz="6" w:space="0"/>
                    <w:right w:val="single" w:color="auto" w:sz="6"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left="0" w:leftChars="0" w:right="0" w:rightChars="0" w:firstLine="0" w:firstLineChars="0"/>
                    <w:jc w:val="center"/>
                    <w:textAlignment w:val="auto"/>
                    <w:rPr>
                      <w:rFonts w:hint="default" w:ascii="Times New Roman" w:hAnsi="Times New Roman" w:cs="Times New Roman"/>
                      <w:bCs/>
                      <w:color w:val="000000" w:themeColor="text1"/>
                      <w:sz w:val="18"/>
                      <w:szCs w:val="18"/>
                      <w:highlight w:val="none"/>
                      <w:lang w:eastAsia="zh-CN"/>
                      <w14:textFill>
                        <w14:solidFill>
                          <w14:schemeClr w14:val="tx1"/>
                        </w14:solidFill>
                      </w14:textFill>
                    </w:rPr>
                  </w:pPr>
                </w:p>
              </w:tc>
              <w:tc>
                <w:tcPr>
                  <w:tcW w:w="1813" w:type="pct"/>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硝酸雾（NOx计）</w:t>
                  </w:r>
                </w:p>
              </w:tc>
              <w:tc>
                <w:tcPr>
                  <w:tcW w:w="2383" w:type="dxa"/>
                  <w:gridSpan w:val="2"/>
                  <w:tcBorders>
                    <w:top w:val="single" w:color="auto" w:sz="6" w:space="0"/>
                    <w:left w:val="single" w:color="auto" w:sz="6" w:space="0"/>
                    <w:bottom w:val="single" w:color="auto" w:sz="6" w:space="0"/>
                    <w:right w:val="nil"/>
                  </w:tcBorders>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b w:val="0"/>
                      <w:bCs w:val="0"/>
                      <w:color w:val="000000" w:themeColor="text1"/>
                      <w:kern w:val="0"/>
                      <w:sz w:val="18"/>
                      <w:szCs w:val="18"/>
                      <w:highlight w:val="none"/>
                      <w:u w:val="none"/>
                      <w:lang w:val="en-US" w:eastAsia="zh-CN" w:bidi="ar-SA"/>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0.0038</w:t>
                  </w:r>
                </w:p>
              </w:tc>
            </w:tr>
          </w:tbl>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大气污染物年排放量核算表</w:t>
            </w:r>
          </w:p>
          <w:tbl>
            <w:tblPr>
              <w:tblStyle w:val="21"/>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95"/>
              <w:gridCol w:w="3258"/>
              <w:gridCol w:w="412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序号</w:t>
                  </w:r>
                </w:p>
              </w:tc>
              <w:tc>
                <w:tcPr>
                  <w:tcW w:w="201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废气污染物</w:t>
                  </w:r>
                </w:p>
              </w:tc>
              <w:tc>
                <w:tcPr>
                  <w:tcW w:w="2553" w:type="pct"/>
                  <w:tcBorders>
                    <w:top w:val="single" w:color="auto" w:sz="4" w:space="0"/>
                    <w:left w:val="single" w:color="auto" w:sz="4" w:space="0"/>
                    <w:bottom w:val="single" w:color="auto" w:sz="4" w:space="0"/>
                    <w:right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年排放量（t/a）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sz w:val="18"/>
                      <w:szCs w:val="18"/>
                      <w:highlight w:val="none"/>
                      <w14:textFill>
                        <w14:solidFill>
                          <w14:schemeClr w14:val="tx1"/>
                        </w14:solidFill>
                      </w14:textFill>
                    </w:rPr>
                  </w:pPr>
                  <w:r>
                    <w:rPr>
                      <w:rFonts w:hint="default" w:ascii="Times New Roman" w:hAnsi="Times New Roman" w:cs="Times New Roman"/>
                      <w:bCs/>
                      <w:color w:val="000000" w:themeColor="text1"/>
                      <w:sz w:val="18"/>
                      <w:szCs w:val="18"/>
                      <w:highlight w:val="none"/>
                      <w14:textFill>
                        <w14:solidFill>
                          <w14:schemeClr w14:val="tx1"/>
                        </w14:solidFill>
                      </w14:textFill>
                    </w:rPr>
                    <w:t>1</w:t>
                  </w:r>
                </w:p>
              </w:tc>
              <w:tc>
                <w:tcPr>
                  <w:tcW w:w="201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eastAsia="宋体" w:cs="Times New Roman"/>
                      <w:bCs/>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18"/>
                      <w:szCs w:val="18"/>
                      <w:highlight w:val="none"/>
                      <w:lang w:val="fr-FR" w:eastAsia="zh-CN"/>
                      <w14:textFill>
                        <w14:solidFill>
                          <w14:schemeClr w14:val="tx1"/>
                        </w14:solidFill>
                      </w14:textFill>
                    </w:rPr>
                    <w:t>颗粒物</w:t>
                  </w:r>
                </w:p>
              </w:tc>
              <w:tc>
                <w:tcPr>
                  <w:tcW w:w="4129" w:type="dxa"/>
                  <w:tcBorders>
                    <w:top w:val="single" w:color="auto" w:sz="4" w:space="0"/>
                    <w:left w:val="single" w:color="auto" w:sz="4" w:space="0"/>
                    <w:bottom w:val="single" w:color="auto" w:sz="4" w:space="0"/>
                    <w:right w:val="nil"/>
                  </w:tcBorders>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0.2735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bCs/>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t>2</w:t>
                  </w:r>
                </w:p>
              </w:tc>
              <w:tc>
                <w:tcPr>
                  <w:tcW w:w="201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eastAsia="宋体" w:cs="Times New Roman"/>
                      <w:bCs/>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t>SO</w:t>
                  </w:r>
                  <w:r>
                    <w:rPr>
                      <w:rFonts w:hint="default" w:ascii="Times New Roman" w:hAnsi="Times New Roman" w:cs="Times New Roman"/>
                      <w:bCs/>
                      <w:color w:val="000000" w:themeColor="text1"/>
                      <w:sz w:val="18"/>
                      <w:szCs w:val="18"/>
                      <w:highlight w:val="none"/>
                      <w:vertAlign w:val="subscript"/>
                      <w:lang w:val="en-US" w:eastAsia="zh-CN"/>
                      <w14:textFill>
                        <w14:solidFill>
                          <w14:schemeClr w14:val="tx1"/>
                        </w14:solidFill>
                      </w14:textFill>
                    </w:rPr>
                    <w:t>2</w:t>
                  </w:r>
                </w:p>
              </w:tc>
              <w:tc>
                <w:tcPr>
                  <w:tcW w:w="4117" w:type="dxa"/>
                  <w:tcBorders>
                    <w:top w:val="single" w:color="auto" w:sz="4" w:space="0"/>
                    <w:left w:val="single" w:color="auto" w:sz="4" w:space="0"/>
                    <w:bottom w:val="single" w:color="auto" w:sz="4" w:space="0"/>
                    <w:right w:val="nil"/>
                  </w:tcBorders>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0.1322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bCs/>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t>3</w:t>
                  </w:r>
                </w:p>
              </w:tc>
              <w:tc>
                <w:tcPr>
                  <w:tcW w:w="201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eastAsia="宋体" w:cs="Times New Roman"/>
                      <w:bCs/>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t>NO</w:t>
                  </w:r>
                  <w:r>
                    <w:rPr>
                      <w:rFonts w:hint="default" w:ascii="Times New Roman" w:hAnsi="Times New Roman" w:cs="Times New Roman"/>
                      <w:bCs/>
                      <w:color w:val="000000" w:themeColor="text1"/>
                      <w:sz w:val="18"/>
                      <w:szCs w:val="18"/>
                      <w:highlight w:val="none"/>
                      <w:vertAlign w:val="subscript"/>
                      <w:lang w:val="en-US" w:eastAsia="zh-CN"/>
                      <w14:textFill>
                        <w14:solidFill>
                          <w14:schemeClr w14:val="tx1"/>
                        </w14:solidFill>
                      </w14:textFill>
                    </w:rPr>
                    <w:t>x</w:t>
                  </w:r>
                </w:p>
              </w:tc>
              <w:tc>
                <w:tcPr>
                  <w:tcW w:w="4117" w:type="dxa"/>
                  <w:tcBorders>
                    <w:top w:val="single" w:color="auto" w:sz="4" w:space="0"/>
                    <w:left w:val="single" w:color="auto" w:sz="4" w:space="0"/>
                    <w:bottom w:val="single" w:color="auto" w:sz="4" w:space="0"/>
                    <w:right w:val="nil"/>
                  </w:tcBorders>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0.6989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t>4</w:t>
                  </w:r>
                </w:p>
              </w:tc>
              <w:tc>
                <w:tcPr>
                  <w:tcW w:w="201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t>氨</w:t>
                  </w:r>
                </w:p>
              </w:tc>
              <w:tc>
                <w:tcPr>
                  <w:tcW w:w="4117" w:type="dxa"/>
                  <w:tcBorders>
                    <w:top w:val="single" w:color="auto" w:sz="4" w:space="0"/>
                    <w:left w:val="single" w:color="auto" w:sz="4" w:space="0"/>
                    <w:bottom w:val="single" w:color="auto" w:sz="4" w:space="0"/>
                    <w:right w:val="nil"/>
                  </w:tcBorders>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0.116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t>5</w:t>
                  </w:r>
                </w:p>
              </w:tc>
              <w:tc>
                <w:tcPr>
                  <w:tcW w:w="201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氢氟酸雾</w:t>
                  </w:r>
                </w:p>
              </w:tc>
              <w:tc>
                <w:tcPr>
                  <w:tcW w:w="4117" w:type="dxa"/>
                  <w:tcBorders>
                    <w:top w:val="single" w:color="auto" w:sz="4" w:space="0"/>
                    <w:left w:val="single" w:color="auto" w:sz="4" w:space="0"/>
                    <w:bottom w:val="single" w:color="auto" w:sz="4" w:space="0"/>
                    <w:right w:val="nil"/>
                  </w:tcBorders>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0.0046</w:t>
                  </w:r>
                </w:p>
              </w:tc>
            </w:tr>
          </w:tbl>
          <w:p>
            <w:pPr>
              <w:autoSpaceDE w:val="0"/>
              <w:autoSpaceDN w:val="0"/>
              <w:adjustRightInd w:val="0"/>
              <w:snapToGrid w:val="0"/>
              <w:spacing w:line="360" w:lineRule="auto"/>
              <w:ind w:firstLine="422" w:firstLineChars="200"/>
              <w:rPr>
                <w:rFonts w:hint="default" w:ascii="Times New Roman" w:hAnsi="Times New Roman" w:cs="Times New Roman"/>
                <w:b/>
                <w:bCs/>
                <w:color w:val="000000" w:themeColor="text1"/>
                <w:kern w:val="0"/>
                <w:szCs w:val="21"/>
                <w:highlight w:val="none"/>
                <w14:textFill>
                  <w14:solidFill>
                    <w14:schemeClr w14:val="tx1"/>
                  </w14:solidFill>
                </w14:textFill>
              </w:rPr>
            </w:pPr>
            <w:r>
              <w:rPr>
                <w:rFonts w:hint="default" w:ascii="Times New Roman" w:hAnsi="Times New Roman" w:cs="Times New Roman"/>
                <w:b/>
                <w:bCs/>
                <w:color w:val="000000" w:themeColor="text1"/>
                <w:kern w:val="0"/>
                <w:szCs w:val="21"/>
                <w:highlight w:val="none"/>
                <w14:textFill>
                  <w14:solidFill>
                    <w14:schemeClr w14:val="tx1"/>
                  </w14:solidFill>
                </w14:textFill>
              </w:rPr>
              <w:t>（</w:t>
            </w:r>
            <w:r>
              <w:rPr>
                <w:rFonts w:hint="default" w:ascii="Times New Roman" w:hAnsi="Times New Roman" w:cs="Times New Roman"/>
                <w:b/>
                <w:bCs/>
                <w:color w:val="000000" w:themeColor="text1"/>
                <w:kern w:val="0"/>
                <w:szCs w:val="21"/>
                <w:highlight w:val="none"/>
                <w:lang w:val="en-US" w:eastAsia="zh-CN"/>
                <w14:textFill>
                  <w14:solidFill>
                    <w14:schemeClr w14:val="tx1"/>
                  </w14:solidFill>
                </w14:textFill>
              </w:rPr>
              <w:t>5</w:t>
            </w:r>
            <w:r>
              <w:rPr>
                <w:rFonts w:hint="default" w:ascii="Times New Roman" w:hAnsi="Times New Roman" w:cs="Times New Roman"/>
                <w:b/>
                <w:bCs/>
                <w:color w:val="000000" w:themeColor="text1"/>
                <w:kern w:val="0"/>
                <w:szCs w:val="21"/>
                <w:highlight w:val="none"/>
                <w14:textFill>
                  <w14:solidFill>
                    <w14:schemeClr w14:val="tx1"/>
                  </w14:solidFill>
                </w14:textFill>
              </w:rPr>
              <w:t>）非正常工况下污染物排放量</w:t>
            </w:r>
          </w:p>
          <w:p>
            <w:pPr>
              <w:autoSpaceDE w:val="0"/>
              <w:autoSpaceDN w:val="0"/>
              <w:adjustRightInd w:val="0"/>
              <w:snapToGrid w:val="0"/>
              <w:spacing w:line="360" w:lineRule="auto"/>
              <w:ind w:firstLine="420" w:firstLineChars="200"/>
              <w:rPr>
                <w:rFonts w:hint="default" w:ascii="Times New Roman" w:hAnsi="Times New Roman" w:cs="Times New Roman"/>
                <w:bCs/>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kern w:val="0"/>
                <w:szCs w:val="21"/>
                <w:highlight w:val="none"/>
                <w14:textFill>
                  <w14:solidFill>
                    <w14:schemeClr w14:val="tx1"/>
                  </w14:solidFill>
                </w14:textFill>
              </w:rPr>
              <w:t>非正常排放是指非正常工况下的污染物排放，一般包括开停车、设备故障和检修、环保设施故障等情况的排污，不包括恶性事故排放。项目各项设备运行稳定并定期检修，仅考虑环保设施故障情景。项目大气非正常工况考虑以下情况：</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配套脉冲袋式除尘器废气布袋破损等设施故障</w:t>
            </w:r>
            <w:r>
              <w:rPr>
                <w:rFonts w:hint="default" w:ascii="Times New Roman" w:hAnsi="Times New Roman" w:cs="Times New Roman"/>
                <w:bCs/>
                <w:color w:val="000000" w:themeColor="text1"/>
                <w:kern w:val="0"/>
                <w:szCs w:val="21"/>
                <w:highlight w:val="none"/>
                <w14:textFill>
                  <w14:solidFill>
                    <w14:schemeClr w14:val="tx1"/>
                  </w14:solidFill>
                </w14:textFill>
              </w:rPr>
              <w:t>导致</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颗粒物去除</w:t>
            </w:r>
            <w:r>
              <w:rPr>
                <w:rFonts w:hint="default" w:ascii="Times New Roman" w:hAnsi="Times New Roman" w:cs="Times New Roman"/>
                <w:bCs/>
                <w:color w:val="000000" w:themeColor="text1"/>
                <w:kern w:val="0"/>
                <w:szCs w:val="21"/>
                <w:highlight w:val="none"/>
                <w14:textFill>
                  <w14:solidFill>
                    <w14:schemeClr w14:val="tx1"/>
                  </w14:solidFill>
                </w14:textFill>
              </w:rPr>
              <w:t>效率为零</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，选择性催化还原</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SCR脱硝装置故障</w:t>
            </w:r>
            <w:r>
              <w:rPr>
                <w:rFonts w:hint="default" w:ascii="Times New Roman" w:hAnsi="Times New Roman" w:cs="Times New Roman"/>
                <w:bCs/>
                <w:color w:val="000000" w:themeColor="text1"/>
                <w:kern w:val="0"/>
                <w:szCs w:val="21"/>
                <w:highlight w:val="none"/>
                <w14:textFill>
                  <w14:solidFill>
                    <w14:schemeClr w14:val="tx1"/>
                  </w14:solidFill>
                </w14:textFill>
              </w:rPr>
              <w:t>导致</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NOx脱硝去除</w:t>
            </w:r>
            <w:r>
              <w:rPr>
                <w:rFonts w:hint="default" w:ascii="Times New Roman" w:hAnsi="Times New Roman" w:cs="Times New Roman"/>
                <w:bCs/>
                <w:color w:val="000000" w:themeColor="text1"/>
                <w:kern w:val="0"/>
                <w:szCs w:val="21"/>
                <w:highlight w:val="none"/>
                <w14:textFill>
                  <w14:solidFill>
                    <w14:schemeClr w14:val="tx1"/>
                  </w14:solidFill>
                </w14:textFill>
              </w:rPr>
              <w:t>效率为零。</w:t>
            </w:r>
          </w:p>
          <w:p>
            <w:pPr>
              <w:autoSpaceDE w:val="0"/>
              <w:autoSpaceDN w:val="0"/>
              <w:adjustRightInd w:val="0"/>
              <w:snapToGrid w:val="0"/>
              <w:spacing w:line="360" w:lineRule="auto"/>
              <w:ind w:firstLine="420" w:firstLineChars="200"/>
              <w:rPr>
                <w:rFonts w:hint="default" w:ascii="Times New Roman" w:hAnsi="Times New Roman" w:cs="Times New Roman"/>
                <w:bCs/>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kern w:val="0"/>
                <w:szCs w:val="21"/>
                <w:highlight w:val="none"/>
                <w14:textFill>
                  <w14:solidFill>
                    <w14:schemeClr w14:val="tx1"/>
                  </w14:solidFill>
                </w14:textFill>
              </w:rPr>
              <w:t>项目非正常工况大气污染物排放情况见下表。</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非正常工况下大气污染物排放情况汇总</w:t>
            </w:r>
          </w:p>
          <w:tbl>
            <w:tblPr>
              <w:tblStyle w:val="21"/>
              <w:tblW w:w="5000" w:type="pct"/>
              <w:tblInd w:w="0"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738"/>
              <w:gridCol w:w="1469"/>
              <w:gridCol w:w="1039"/>
              <w:gridCol w:w="959"/>
              <w:gridCol w:w="888"/>
              <w:gridCol w:w="1953"/>
              <w:gridCol w:w="1039"/>
            </w:tblGrid>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56" w:type="pc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非正常</w:t>
                  </w:r>
                </w:p>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工况</w:t>
                  </w:r>
                </w:p>
              </w:tc>
              <w:tc>
                <w:tcPr>
                  <w:tcW w:w="908" w:type="pc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名称</w:t>
                  </w:r>
                </w:p>
              </w:tc>
              <w:tc>
                <w:tcPr>
                  <w:tcW w:w="642" w:type="pc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类型</w:t>
                  </w:r>
                </w:p>
              </w:tc>
              <w:tc>
                <w:tcPr>
                  <w:tcW w:w="593" w:type="pc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污染物</w:t>
                  </w:r>
                </w:p>
              </w:tc>
              <w:tc>
                <w:tcPr>
                  <w:tcW w:w="549" w:type="pc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废气量</w:t>
                  </w:r>
                </w:p>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（Nm</w:t>
                  </w:r>
                  <w:r>
                    <w:rPr>
                      <w:rFonts w:hint="default" w:ascii="Times New Roman" w:hAnsi="Times New Roman" w:cs="Times New Roman"/>
                      <w:color w:val="000000" w:themeColor="text1"/>
                      <w:sz w:val="18"/>
                      <w:szCs w:val="18"/>
                      <w:highlight w:val="none"/>
                      <w:vertAlign w:val="superscript"/>
                      <w14:textFill>
                        <w14:solidFill>
                          <w14:schemeClr w14:val="tx1"/>
                        </w14:solidFill>
                      </w14:textFill>
                    </w:rPr>
                    <w:t>3</w:t>
                  </w:r>
                  <w:r>
                    <w:rPr>
                      <w:rFonts w:hint="default" w:ascii="Times New Roman" w:hAnsi="Times New Roman" w:cs="Times New Roman"/>
                      <w:color w:val="000000" w:themeColor="text1"/>
                      <w:sz w:val="18"/>
                      <w:szCs w:val="18"/>
                      <w:highlight w:val="none"/>
                      <w14:textFill>
                        <w14:solidFill>
                          <w14:schemeClr w14:val="tx1"/>
                        </w14:solidFill>
                      </w14:textFill>
                    </w:rPr>
                    <w:t>/h）</w:t>
                  </w:r>
                </w:p>
              </w:tc>
              <w:tc>
                <w:tcPr>
                  <w:tcW w:w="1207" w:type="pc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排放情况</w:t>
                  </w:r>
                </w:p>
              </w:tc>
              <w:tc>
                <w:tcPr>
                  <w:tcW w:w="642" w:type="pc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排气筒参数</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56"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工况</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w:t>
                  </w:r>
                </w:p>
              </w:tc>
              <w:tc>
                <w:tcPr>
                  <w:tcW w:w="908" w:type="pct"/>
                  <w:vMerge w:val="restar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选择性催化还原（SCR）脱硝装置（TA001）</w:t>
                  </w:r>
                </w:p>
              </w:tc>
              <w:tc>
                <w:tcPr>
                  <w:tcW w:w="642" w:type="pct"/>
                  <w:tcBorders>
                    <w:bottom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c>
                <w:tcPr>
                  <w:tcW w:w="593" w:type="pct"/>
                  <w:tcBorders>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颗粒物</w:t>
                  </w:r>
                </w:p>
              </w:tc>
              <w:tc>
                <w:tcPr>
                  <w:tcW w:w="549"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6120</w:t>
                  </w:r>
                </w:p>
              </w:tc>
              <w:tc>
                <w:tcPr>
                  <w:tcW w:w="1207" w:type="pct"/>
                  <w:tcBorders>
                    <w:bottom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排放浓度：5</w:t>
                  </w:r>
                  <w:r>
                    <w:rPr>
                      <w:rFonts w:hint="default" w:ascii="Times New Roman" w:hAnsi="Times New Roman" w:cs="Times New Roman"/>
                      <w:color w:val="000000" w:themeColor="text1"/>
                      <w:sz w:val="18"/>
                      <w:szCs w:val="18"/>
                      <w:highlight w:val="none"/>
                      <w14:textFill>
                        <w14:solidFill>
                          <w14:schemeClr w14:val="tx1"/>
                        </w14:solidFill>
                      </w14:textFill>
                    </w:rPr>
                    <w:t>mg/m</w:t>
                  </w:r>
                  <w:r>
                    <w:rPr>
                      <w:rFonts w:hint="default" w:ascii="Times New Roman" w:hAnsi="Times New Roman" w:cs="Times New Roman"/>
                      <w:color w:val="000000" w:themeColor="text1"/>
                      <w:sz w:val="18"/>
                      <w:szCs w:val="18"/>
                      <w:highlight w:val="none"/>
                      <w:vertAlign w:val="superscript"/>
                      <w14:textFill>
                        <w14:solidFill>
                          <w14:schemeClr w14:val="tx1"/>
                        </w14:solidFill>
                      </w14:textFill>
                    </w:rPr>
                    <w:t>3</w:t>
                  </w:r>
                </w:p>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排放速率：0.031kg/h</w:t>
                  </w:r>
                </w:p>
              </w:tc>
              <w:tc>
                <w:tcPr>
                  <w:tcW w:w="642"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高：15m</w:t>
                  </w:r>
                </w:p>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内径：</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w:t>
                  </w:r>
                  <w:r>
                    <w:rPr>
                      <w:rFonts w:hint="eastAsia" w:cs="Times New Roman"/>
                      <w:color w:val="000000" w:themeColor="text1"/>
                      <w:sz w:val="18"/>
                      <w:szCs w:val="18"/>
                      <w:highlight w:val="none"/>
                      <w:lang w:val="en-US" w:eastAsia="zh-CN"/>
                      <w14:textFill>
                        <w14:solidFill>
                          <w14:schemeClr w14:val="tx1"/>
                        </w14:solidFill>
                      </w14:textFill>
                    </w:rPr>
                    <w:t>8</w:t>
                  </w:r>
                  <w:r>
                    <w:rPr>
                      <w:rFonts w:hint="default" w:ascii="Times New Roman" w:hAnsi="Times New Roman" w:cs="Times New Roman"/>
                      <w:color w:val="000000" w:themeColor="text1"/>
                      <w:sz w:val="18"/>
                      <w:szCs w:val="18"/>
                      <w:highlight w:val="none"/>
                      <w14:textFill>
                        <w14:solidFill>
                          <w14:schemeClr w14:val="tx1"/>
                        </w14:solidFill>
                      </w14:textFill>
                    </w:rPr>
                    <w:t>m</w:t>
                  </w:r>
                </w:p>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温度：</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100</w:t>
                  </w:r>
                  <w:r>
                    <w:rPr>
                      <w:rFonts w:hint="default" w:ascii="Times New Roman" w:hAnsi="Times New Roman" w:cs="Times New Roman"/>
                      <w:color w:val="000000" w:themeColor="text1"/>
                      <w:sz w:val="18"/>
                      <w:szCs w:val="18"/>
                      <w:highlight w:val="none"/>
                      <w14:textFill>
                        <w14:solidFill>
                          <w14:schemeClr w14:val="tx1"/>
                        </w14:solidFill>
                      </w14:textFill>
                    </w:rPr>
                    <w:t>℃</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56"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908"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p>
              </w:tc>
              <w:tc>
                <w:tcPr>
                  <w:tcW w:w="642" w:type="pct"/>
                  <w:tcBorders>
                    <w:top w:val="single" w:color="auto" w:sz="4" w:space="0"/>
                    <w:bottom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c>
                <w:tcPr>
                  <w:tcW w:w="593" w:type="pct"/>
                  <w:tcBorders>
                    <w:top w:val="single" w:color="auto" w:sz="4" w:space="0"/>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SO</w:t>
                  </w:r>
                  <w:r>
                    <w:rPr>
                      <w:rFonts w:hint="default" w:ascii="Times New Roman" w:hAnsi="Times New Roman" w:cs="Times New Roman"/>
                      <w:color w:val="000000" w:themeColor="text1"/>
                      <w:sz w:val="18"/>
                      <w:szCs w:val="18"/>
                      <w:highlight w:val="none"/>
                      <w:vertAlign w:val="subscript"/>
                      <w:lang w:val="en-US" w:eastAsia="zh-CN"/>
                      <w14:textFill>
                        <w14:solidFill>
                          <w14:schemeClr w14:val="tx1"/>
                        </w14:solidFill>
                      </w14:textFill>
                    </w:rPr>
                    <w:t>2</w:t>
                  </w:r>
                </w:p>
              </w:tc>
              <w:tc>
                <w:tcPr>
                  <w:tcW w:w="549"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lang w:val="en-US" w:eastAsia="zh-CN"/>
                      <w14:textFill>
                        <w14:solidFill>
                          <w14:schemeClr w14:val="tx1"/>
                        </w14:solidFill>
                      </w14:textFill>
                    </w:rPr>
                  </w:pPr>
                </w:p>
              </w:tc>
              <w:tc>
                <w:tcPr>
                  <w:tcW w:w="1207" w:type="pct"/>
                  <w:tcBorders>
                    <w:top w:val="single" w:color="auto" w:sz="4" w:space="0"/>
                    <w:bottom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排放浓度：9</w:t>
                  </w:r>
                  <w:r>
                    <w:rPr>
                      <w:rFonts w:hint="default" w:ascii="Times New Roman" w:hAnsi="Times New Roman" w:cs="Times New Roman"/>
                      <w:color w:val="000000" w:themeColor="text1"/>
                      <w:sz w:val="18"/>
                      <w:szCs w:val="18"/>
                      <w:highlight w:val="none"/>
                      <w14:textFill>
                        <w14:solidFill>
                          <w14:schemeClr w14:val="tx1"/>
                        </w14:solidFill>
                      </w14:textFill>
                    </w:rPr>
                    <w:t>mg/m</w:t>
                  </w:r>
                  <w:r>
                    <w:rPr>
                      <w:rFonts w:hint="default" w:ascii="Times New Roman" w:hAnsi="Times New Roman" w:cs="Times New Roman"/>
                      <w:color w:val="000000" w:themeColor="text1"/>
                      <w:sz w:val="18"/>
                      <w:szCs w:val="18"/>
                      <w:highlight w:val="none"/>
                      <w:vertAlign w:val="superscript"/>
                      <w14:textFill>
                        <w14:solidFill>
                          <w14:schemeClr w14:val="tx1"/>
                        </w14:solidFill>
                      </w14:textFill>
                    </w:rPr>
                    <w:t>3</w:t>
                  </w:r>
                </w:p>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排放速率：0.055kg/h</w:t>
                  </w:r>
                </w:p>
              </w:tc>
              <w:tc>
                <w:tcPr>
                  <w:tcW w:w="64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56"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908"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p>
              </w:tc>
              <w:tc>
                <w:tcPr>
                  <w:tcW w:w="642" w:type="pct"/>
                  <w:tcBorders>
                    <w:top w:val="single" w:color="auto" w:sz="4" w:space="0"/>
                    <w:bottom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脱单效率为零</w:t>
                  </w:r>
                </w:p>
              </w:tc>
              <w:tc>
                <w:tcPr>
                  <w:tcW w:w="593" w:type="pct"/>
                  <w:tcBorders>
                    <w:top w:val="single" w:color="auto" w:sz="4" w:space="0"/>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NO</w:t>
                  </w:r>
                  <w:r>
                    <w:rPr>
                      <w:rFonts w:hint="default" w:ascii="Times New Roman" w:hAnsi="Times New Roman" w:cs="Times New Roman"/>
                      <w:color w:val="000000" w:themeColor="text1"/>
                      <w:sz w:val="18"/>
                      <w:szCs w:val="18"/>
                      <w:highlight w:val="none"/>
                      <w:vertAlign w:val="subscript"/>
                      <w:lang w:val="en-US" w:eastAsia="zh-CN"/>
                      <w14:textFill>
                        <w14:solidFill>
                          <w14:schemeClr w14:val="tx1"/>
                        </w14:solidFill>
                      </w14:textFill>
                    </w:rPr>
                    <w:t>x</w:t>
                  </w:r>
                </w:p>
              </w:tc>
              <w:tc>
                <w:tcPr>
                  <w:tcW w:w="549"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lang w:val="en-US" w:eastAsia="zh-CN"/>
                      <w14:textFill>
                        <w14:solidFill>
                          <w14:schemeClr w14:val="tx1"/>
                        </w14:solidFill>
                      </w14:textFill>
                    </w:rPr>
                  </w:pPr>
                </w:p>
              </w:tc>
              <w:tc>
                <w:tcPr>
                  <w:tcW w:w="1207" w:type="pct"/>
                  <w:tcBorders>
                    <w:top w:val="single" w:color="auto" w:sz="4" w:space="0"/>
                    <w:bottom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排放浓度：300</w:t>
                  </w:r>
                  <w:r>
                    <w:rPr>
                      <w:rFonts w:hint="default" w:ascii="Times New Roman" w:hAnsi="Times New Roman" w:cs="Times New Roman"/>
                      <w:color w:val="000000" w:themeColor="text1"/>
                      <w:sz w:val="18"/>
                      <w:szCs w:val="18"/>
                      <w:highlight w:val="none"/>
                      <w14:textFill>
                        <w14:solidFill>
                          <w14:schemeClr w14:val="tx1"/>
                        </w14:solidFill>
                      </w14:textFill>
                    </w:rPr>
                    <w:t>mg/m</w:t>
                  </w:r>
                  <w:r>
                    <w:rPr>
                      <w:rFonts w:hint="default" w:ascii="Times New Roman" w:hAnsi="Times New Roman" w:cs="Times New Roman"/>
                      <w:color w:val="000000" w:themeColor="text1"/>
                      <w:sz w:val="18"/>
                      <w:szCs w:val="18"/>
                      <w:highlight w:val="none"/>
                      <w:vertAlign w:val="superscript"/>
                      <w14:textFill>
                        <w14:solidFill>
                          <w14:schemeClr w14:val="tx1"/>
                        </w14:solidFill>
                      </w14:textFill>
                    </w:rPr>
                    <w:t>3</w:t>
                  </w:r>
                </w:p>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排放速率：1.836kg/h</w:t>
                  </w:r>
                </w:p>
              </w:tc>
              <w:tc>
                <w:tcPr>
                  <w:tcW w:w="64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56" w:type="pc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工况</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w:t>
                  </w:r>
                </w:p>
              </w:tc>
              <w:tc>
                <w:tcPr>
                  <w:tcW w:w="908"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脉冲袋式除尘器（</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TA002</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p>
              </w:tc>
              <w:tc>
                <w:tcPr>
                  <w:tcW w:w="642" w:type="pct"/>
                  <w:tcBorders>
                    <w:top w:val="single" w:color="auto" w:sz="4" w:space="0"/>
                    <w:bottom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处理效率降为零</w:t>
                  </w:r>
                </w:p>
              </w:tc>
              <w:tc>
                <w:tcPr>
                  <w:tcW w:w="593" w:type="pct"/>
                  <w:tcBorders>
                    <w:top w:val="single" w:color="auto" w:sz="4" w:space="0"/>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颗粒物</w:t>
                  </w:r>
                </w:p>
              </w:tc>
              <w:tc>
                <w:tcPr>
                  <w:tcW w:w="549"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10000</w:t>
                  </w:r>
                </w:p>
              </w:tc>
              <w:tc>
                <w:tcPr>
                  <w:tcW w:w="1207" w:type="pct"/>
                  <w:tcBorders>
                    <w:top w:val="single" w:color="auto" w:sz="4" w:space="0"/>
                    <w:bottom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排放浓度：</w:t>
                  </w:r>
                  <w:r>
                    <w:rPr>
                      <w:rFonts w:hint="eastAsia" w:cs="Times New Roman"/>
                      <w:color w:val="000000" w:themeColor="text1"/>
                      <w:sz w:val="18"/>
                      <w:szCs w:val="18"/>
                      <w:highlight w:val="none"/>
                      <w:lang w:val="en-US" w:eastAsia="zh-CN"/>
                      <w14:textFill>
                        <w14:solidFill>
                          <w14:schemeClr w14:val="tx1"/>
                        </w14:solidFill>
                      </w14:textFill>
                    </w:rPr>
                    <w:t>3567.2</w:t>
                  </w:r>
                  <w:r>
                    <w:rPr>
                      <w:rFonts w:hint="default" w:ascii="Times New Roman" w:hAnsi="Times New Roman" w:cs="Times New Roman"/>
                      <w:color w:val="000000" w:themeColor="text1"/>
                      <w:sz w:val="18"/>
                      <w:szCs w:val="18"/>
                      <w:highlight w:val="none"/>
                      <w14:textFill>
                        <w14:solidFill>
                          <w14:schemeClr w14:val="tx1"/>
                        </w14:solidFill>
                      </w14:textFill>
                    </w:rPr>
                    <w:t>mg/m</w:t>
                  </w:r>
                  <w:r>
                    <w:rPr>
                      <w:rFonts w:hint="default" w:ascii="Times New Roman" w:hAnsi="Times New Roman" w:cs="Times New Roman"/>
                      <w:color w:val="000000" w:themeColor="text1"/>
                      <w:sz w:val="18"/>
                      <w:szCs w:val="18"/>
                      <w:highlight w:val="none"/>
                      <w:vertAlign w:val="superscript"/>
                      <w14:textFill>
                        <w14:solidFill>
                          <w14:schemeClr w14:val="tx1"/>
                        </w14:solidFill>
                      </w14:textFill>
                    </w:rPr>
                    <w:t>3</w:t>
                  </w:r>
                </w:p>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排放速率：</w:t>
                  </w:r>
                  <w:r>
                    <w:rPr>
                      <w:rFonts w:hint="eastAsia" w:cs="Times New Roman"/>
                      <w:color w:val="000000" w:themeColor="text1"/>
                      <w:sz w:val="18"/>
                      <w:szCs w:val="18"/>
                      <w:highlight w:val="none"/>
                      <w:lang w:val="en-US" w:eastAsia="zh-CN"/>
                      <w14:textFill>
                        <w14:solidFill>
                          <w14:schemeClr w14:val="tx1"/>
                        </w14:solidFill>
                      </w14:textFill>
                    </w:rPr>
                    <w:t>35.672</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kg/h</w:t>
                  </w:r>
                </w:p>
              </w:tc>
              <w:tc>
                <w:tcPr>
                  <w:tcW w:w="642" w:type="pc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高：15m</w:t>
                  </w:r>
                </w:p>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内径：</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w:t>
                  </w:r>
                  <w:r>
                    <w:rPr>
                      <w:rFonts w:hint="eastAsia" w:cs="Times New Roman"/>
                      <w:color w:val="000000" w:themeColor="text1"/>
                      <w:sz w:val="18"/>
                      <w:szCs w:val="18"/>
                      <w:highlight w:val="none"/>
                      <w:lang w:val="en-US" w:eastAsia="zh-CN"/>
                      <w14:textFill>
                        <w14:solidFill>
                          <w14:schemeClr w14:val="tx1"/>
                        </w14:solidFill>
                      </w14:textFill>
                    </w:rPr>
                    <w:t>5</w:t>
                  </w:r>
                  <w:r>
                    <w:rPr>
                      <w:rFonts w:hint="default" w:ascii="Times New Roman" w:hAnsi="Times New Roman" w:cs="Times New Roman"/>
                      <w:color w:val="000000" w:themeColor="text1"/>
                      <w:sz w:val="18"/>
                      <w:szCs w:val="18"/>
                      <w:highlight w:val="none"/>
                      <w14:textFill>
                        <w14:solidFill>
                          <w14:schemeClr w14:val="tx1"/>
                        </w14:solidFill>
                      </w14:textFill>
                    </w:rPr>
                    <w:t>m</w:t>
                  </w:r>
                </w:p>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温度：</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25</w:t>
                  </w:r>
                  <w:r>
                    <w:rPr>
                      <w:rFonts w:hint="default" w:ascii="Times New Roman" w:hAnsi="Times New Roman" w:cs="Times New Roman"/>
                      <w:color w:val="000000" w:themeColor="text1"/>
                      <w:sz w:val="18"/>
                      <w:szCs w:val="18"/>
                      <w:highlight w:val="none"/>
                      <w14:textFill>
                        <w14:solidFill>
                          <w14:schemeClr w14:val="tx1"/>
                        </w14:solidFill>
                      </w14:textFill>
                    </w:rPr>
                    <w:t>℃</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56" w:type="pc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工况</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3</w:t>
                  </w:r>
                </w:p>
              </w:tc>
              <w:tc>
                <w:tcPr>
                  <w:tcW w:w="908"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脉冲袋式除尘器（</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TA003</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p>
              </w:tc>
              <w:tc>
                <w:tcPr>
                  <w:tcW w:w="642" w:type="pct"/>
                  <w:tcBorders>
                    <w:top w:val="single" w:color="auto" w:sz="4" w:space="0"/>
                    <w:bottom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处理效率降为零</w:t>
                  </w:r>
                </w:p>
              </w:tc>
              <w:tc>
                <w:tcPr>
                  <w:tcW w:w="593" w:type="pct"/>
                  <w:tcBorders>
                    <w:top w:val="single" w:color="auto" w:sz="4" w:space="0"/>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颗粒物</w:t>
                  </w:r>
                </w:p>
              </w:tc>
              <w:tc>
                <w:tcPr>
                  <w:tcW w:w="549"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10000</w:t>
                  </w:r>
                </w:p>
              </w:tc>
              <w:tc>
                <w:tcPr>
                  <w:tcW w:w="1207" w:type="pct"/>
                  <w:tcBorders>
                    <w:top w:val="single" w:color="auto" w:sz="4" w:space="0"/>
                    <w:bottom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排放浓度：</w:t>
                  </w:r>
                  <w:r>
                    <w:rPr>
                      <w:rFonts w:hint="eastAsia" w:cs="Times New Roman"/>
                      <w:color w:val="000000" w:themeColor="text1"/>
                      <w:sz w:val="18"/>
                      <w:szCs w:val="18"/>
                      <w:highlight w:val="none"/>
                      <w:lang w:val="en-US" w:eastAsia="zh-CN"/>
                      <w14:textFill>
                        <w14:solidFill>
                          <w14:schemeClr w14:val="tx1"/>
                        </w14:solidFill>
                      </w14:textFill>
                    </w:rPr>
                    <w:t>4683.58</w:t>
                  </w:r>
                  <w:r>
                    <w:rPr>
                      <w:rFonts w:hint="default" w:ascii="Times New Roman" w:hAnsi="Times New Roman" w:cs="Times New Roman"/>
                      <w:color w:val="000000" w:themeColor="text1"/>
                      <w:sz w:val="18"/>
                      <w:szCs w:val="18"/>
                      <w:highlight w:val="none"/>
                      <w14:textFill>
                        <w14:solidFill>
                          <w14:schemeClr w14:val="tx1"/>
                        </w14:solidFill>
                      </w14:textFill>
                    </w:rPr>
                    <w:t>mg/m</w:t>
                  </w:r>
                  <w:r>
                    <w:rPr>
                      <w:rFonts w:hint="default" w:ascii="Times New Roman" w:hAnsi="Times New Roman" w:cs="Times New Roman"/>
                      <w:color w:val="000000" w:themeColor="text1"/>
                      <w:sz w:val="18"/>
                      <w:szCs w:val="18"/>
                      <w:highlight w:val="none"/>
                      <w:vertAlign w:val="superscript"/>
                      <w14:textFill>
                        <w14:solidFill>
                          <w14:schemeClr w14:val="tx1"/>
                        </w14:solidFill>
                      </w14:textFill>
                    </w:rPr>
                    <w:t>3</w:t>
                  </w:r>
                </w:p>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排放速率：</w:t>
                  </w:r>
                  <w:r>
                    <w:rPr>
                      <w:rFonts w:hint="eastAsia" w:cs="Times New Roman"/>
                      <w:color w:val="000000" w:themeColor="text1"/>
                      <w:sz w:val="18"/>
                      <w:szCs w:val="18"/>
                      <w:highlight w:val="none"/>
                      <w:lang w:val="en-US" w:eastAsia="zh-CN"/>
                      <w14:textFill>
                        <w14:solidFill>
                          <w14:schemeClr w14:val="tx1"/>
                        </w14:solidFill>
                      </w14:textFill>
                    </w:rPr>
                    <w:t>46.836</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kg/h</w:t>
                  </w:r>
                </w:p>
              </w:tc>
              <w:tc>
                <w:tcPr>
                  <w:tcW w:w="642" w:type="pc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高：15m</w:t>
                  </w:r>
                </w:p>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内径：</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w:t>
                  </w:r>
                  <w:r>
                    <w:rPr>
                      <w:rFonts w:hint="eastAsia" w:cs="Times New Roman"/>
                      <w:color w:val="000000" w:themeColor="text1"/>
                      <w:sz w:val="18"/>
                      <w:szCs w:val="18"/>
                      <w:highlight w:val="none"/>
                      <w:lang w:val="en-US" w:eastAsia="zh-CN"/>
                      <w14:textFill>
                        <w14:solidFill>
                          <w14:schemeClr w14:val="tx1"/>
                        </w14:solidFill>
                      </w14:textFill>
                    </w:rPr>
                    <w:t>5</w:t>
                  </w:r>
                  <w:r>
                    <w:rPr>
                      <w:rFonts w:hint="default" w:ascii="Times New Roman" w:hAnsi="Times New Roman" w:cs="Times New Roman"/>
                      <w:color w:val="000000" w:themeColor="text1"/>
                      <w:sz w:val="18"/>
                      <w:szCs w:val="18"/>
                      <w:highlight w:val="none"/>
                      <w14:textFill>
                        <w14:solidFill>
                          <w14:schemeClr w14:val="tx1"/>
                        </w14:solidFill>
                      </w14:textFill>
                    </w:rPr>
                    <w:t>m</w:t>
                  </w:r>
                </w:p>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温度：</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25</w:t>
                  </w:r>
                  <w:r>
                    <w:rPr>
                      <w:rFonts w:hint="default" w:ascii="Times New Roman" w:hAnsi="Times New Roman" w:cs="Times New Roman"/>
                      <w:color w:val="000000" w:themeColor="text1"/>
                      <w:sz w:val="18"/>
                      <w:szCs w:val="18"/>
                      <w:highlight w:val="none"/>
                      <w14:textFill>
                        <w14:solidFill>
                          <w14:schemeClr w14:val="tx1"/>
                        </w14:solidFill>
                      </w14:textFill>
                    </w:rPr>
                    <w:t>℃</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56"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工况4</w:t>
                  </w:r>
                </w:p>
              </w:tc>
              <w:tc>
                <w:tcPr>
                  <w:tcW w:w="908" w:type="pct"/>
                  <w:vMerge w:val="restar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两级酸雾喷淋塔（TA004）</w:t>
                  </w:r>
                </w:p>
              </w:tc>
              <w:tc>
                <w:tcPr>
                  <w:tcW w:w="642" w:type="pct"/>
                  <w:vMerge w:val="restart"/>
                  <w:tcBorders>
                    <w:top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处理效率降为零</w:t>
                  </w:r>
                </w:p>
              </w:tc>
              <w:tc>
                <w:tcPr>
                  <w:tcW w:w="593" w:type="pct"/>
                  <w:tcBorders>
                    <w:top w:val="single" w:color="auto" w:sz="4" w:space="0"/>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b w:val="0"/>
                      <w:bCs w:val="0"/>
                      <w:color w:val="000000" w:themeColor="text1"/>
                      <w:kern w:val="0"/>
                      <w:sz w:val="18"/>
                      <w:szCs w:val="18"/>
                      <w:highlight w:val="none"/>
                      <w:u w:val="none"/>
                      <w:lang w:val="en-US" w:eastAsia="zh-CN"/>
                      <w14:textFill>
                        <w14:solidFill>
                          <w14:schemeClr w14:val="tx1"/>
                        </w14:solidFill>
                      </w14:textFill>
                    </w:rPr>
                    <w:t>氢氟酸雾</w:t>
                  </w:r>
                </w:p>
              </w:tc>
              <w:tc>
                <w:tcPr>
                  <w:tcW w:w="549" w:type="pct"/>
                  <w:vMerge w:val="restar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2000</w:t>
                  </w:r>
                </w:p>
              </w:tc>
              <w:tc>
                <w:tcPr>
                  <w:tcW w:w="1207" w:type="pct"/>
                  <w:tcBorders>
                    <w:top w:val="single" w:color="auto" w:sz="4" w:space="0"/>
                    <w:bottom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排放浓度：</w:t>
                  </w:r>
                  <w:r>
                    <w:rPr>
                      <w:rFonts w:hint="eastAsia" w:cs="Times New Roman"/>
                      <w:color w:val="000000" w:themeColor="text1"/>
                      <w:sz w:val="18"/>
                      <w:szCs w:val="18"/>
                      <w:highlight w:val="none"/>
                      <w:lang w:val="en-US" w:eastAsia="zh-CN"/>
                      <w14:textFill>
                        <w14:solidFill>
                          <w14:schemeClr w14:val="tx1"/>
                        </w14:solidFill>
                      </w14:textFill>
                    </w:rPr>
                    <w:t>8.48</w:t>
                  </w:r>
                  <w:r>
                    <w:rPr>
                      <w:rFonts w:hint="default" w:ascii="Times New Roman" w:hAnsi="Times New Roman" w:cs="Times New Roman"/>
                      <w:color w:val="000000" w:themeColor="text1"/>
                      <w:sz w:val="18"/>
                      <w:szCs w:val="18"/>
                      <w:highlight w:val="none"/>
                      <w14:textFill>
                        <w14:solidFill>
                          <w14:schemeClr w14:val="tx1"/>
                        </w14:solidFill>
                      </w14:textFill>
                    </w:rPr>
                    <w:t>mg/m</w:t>
                  </w:r>
                  <w:r>
                    <w:rPr>
                      <w:rFonts w:hint="default" w:ascii="Times New Roman" w:hAnsi="Times New Roman" w:cs="Times New Roman"/>
                      <w:color w:val="000000" w:themeColor="text1"/>
                      <w:sz w:val="18"/>
                      <w:szCs w:val="18"/>
                      <w:highlight w:val="none"/>
                      <w:vertAlign w:val="superscript"/>
                      <w14:textFill>
                        <w14:solidFill>
                          <w14:schemeClr w14:val="tx1"/>
                        </w14:solidFill>
                      </w14:textFill>
                    </w:rPr>
                    <w:t>3</w:t>
                  </w:r>
                </w:p>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排放速率：</w:t>
                  </w:r>
                  <w:r>
                    <w:rPr>
                      <w:rFonts w:hint="eastAsia" w:cs="Times New Roman"/>
                      <w:color w:val="000000" w:themeColor="text1"/>
                      <w:sz w:val="18"/>
                      <w:szCs w:val="18"/>
                      <w:highlight w:val="none"/>
                      <w:lang w:val="en-US" w:eastAsia="zh-CN"/>
                      <w14:textFill>
                        <w14:solidFill>
                          <w14:schemeClr w14:val="tx1"/>
                        </w14:solidFill>
                      </w14:textFill>
                    </w:rPr>
                    <w:t>0.017</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kg/h</w:t>
                  </w:r>
                </w:p>
              </w:tc>
              <w:tc>
                <w:tcPr>
                  <w:tcW w:w="642"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高：15m</w:t>
                  </w:r>
                </w:p>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内径：</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w:t>
                  </w:r>
                  <w:r>
                    <w:rPr>
                      <w:rFonts w:hint="eastAsia" w:cs="Times New Roman"/>
                      <w:color w:val="000000" w:themeColor="text1"/>
                      <w:sz w:val="18"/>
                      <w:szCs w:val="18"/>
                      <w:highlight w:val="none"/>
                      <w:lang w:val="en-US" w:eastAsia="zh-CN"/>
                      <w14:textFill>
                        <w14:solidFill>
                          <w14:schemeClr w14:val="tx1"/>
                        </w14:solidFill>
                      </w14:textFill>
                    </w:rPr>
                    <w:t>2</w:t>
                  </w:r>
                  <w:r>
                    <w:rPr>
                      <w:rFonts w:hint="default" w:ascii="Times New Roman" w:hAnsi="Times New Roman" w:cs="Times New Roman"/>
                      <w:color w:val="000000" w:themeColor="text1"/>
                      <w:sz w:val="18"/>
                      <w:szCs w:val="18"/>
                      <w:highlight w:val="none"/>
                      <w14:textFill>
                        <w14:solidFill>
                          <w14:schemeClr w14:val="tx1"/>
                        </w14:solidFill>
                      </w14:textFill>
                    </w:rPr>
                    <w:t>m</w:t>
                  </w:r>
                </w:p>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温度：</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25</w:t>
                  </w:r>
                  <w:r>
                    <w:rPr>
                      <w:rFonts w:hint="default" w:ascii="Times New Roman" w:hAnsi="Times New Roman" w:cs="Times New Roman"/>
                      <w:color w:val="000000" w:themeColor="text1"/>
                      <w:sz w:val="18"/>
                      <w:szCs w:val="18"/>
                      <w:highlight w:val="none"/>
                      <w14:textFill>
                        <w14:solidFill>
                          <w14:schemeClr w14:val="tx1"/>
                        </w14:solidFill>
                      </w14:textFill>
                    </w:rPr>
                    <w:t>℃</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56"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p>
              </w:tc>
              <w:tc>
                <w:tcPr>
                  <w:tcW w:w="908"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p>
              </w:tc>
              <w:tc>
                <w:tcPr>
                  <w:tcW w:w="642" w:type="pct"/>
                  <w:vMerge w:val="continue"/>
                  <w:tcBorders>
                    <w:bottom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593" w:type="pct"/>
                  <w:tcBorders>
                    <w:top w:val="single" w:color="auto" w:sz="4" w:space="0"/>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b w:val="0"/>
                      <w:bCs w:val="0"/>
                      <w:color w:val="000000" w:themeColor="text1"/>
                      <w:kern w:val="0"/>
                      <w:sz w:val="18"/>
                      <w:szCs w:val="18"/>
                      <w:highlight w:val="none"/>
                      <w:u w:val="none"/>
                      <w:lang w:val="en-US" w:eastAsia="zh-CN"/>
                      <w14:textFill>
                        <w14:solidFill>
                          <w14:schemeClr w14:val="tx1"/>
                        </w14:solidFill>
                      </w14:textFill>
                    </w:rPr>
                    <w:t>硝酸雾（NOx计）</w:t>
                  </w:r>
                </w:p>
              </w:tc>
              <w:tc>
                <w:tcPr>
                  <w:tcW w:w="549"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p>
              </w:tc>
              <w:tc>
                <w:tcPr>
                  <w:tcW w:w="1207" w:type="pct"/>
                  <w:tcBorders>
                    <w:top w:val="single" w:color="auto" w:sz="4" w:space="0"/>
                    <w:bottom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排放浓度：</w:t>
                  </w:r>
                  <w:r>
                    <w:rPr>
                      <w:rFonts w:hint="eastAsia" w:cs="Times New Roman"/>
                      <w:color w:val="000000" w:themeColor="text1"/>
                      <w:sz w:val="18"/>
                      <w:szCs w:val="18"/>
                      <w:highlight w:val="none"/>
                      <w:lang w:val="en-US" w:eastAsia="zh-CN"/>
                      <w14:textFill>
                        <w14:solidFill>
                          <w14:schemeClr w14:val="tx1"/>
                        </w14:solidFill>
                      </w14:textFill>
                    </w:rPr>
                    <w:t>70.94</w:t>
                  </w:r>
                  <w:r>
                    <w:rPr>
                      <w:rFonts w:hint="default" w:ascii="Times New Roman" w:hAnsi="Times New Roman" w:cs="Times New Roman"/>
                      <w:color w:val="000000" w:themeColor="text1"/>
                      <w:sz w:val="18"/>
                      <w:szCs w:val="18"/>
                      <w:highlight w:val="none"/>
                      <w14:textFill>
                        <w14:solidFill>
                          <w14:schemeClr w14:val="tx1"/>
                        </w14:solidFill>
                      </w14:textFill>
                    </w:rPr>
                    <w:t>mg/m</w:t>
                  </w:r>
                  <w:r>
                    <w:rPr>
                      <w:rFonts w:hint="default" w:ascii="Times New Roman" w:hAnsi="Times New Roman" w:cs="Times New Roman"/>
                      <w:color w:val="000000" w:themeColor="text1"/>
                      <w:sz w:val="18"/>
                      <w:szCs w:val="18"/>
                      <w:highlight w:val="none"/>
                      <w:vertAlign w:val="superscript"/>
                      <w14:textFill>
                        <w14:solidFill>
                          <w14:schemeClr w14:val="tx1"/>
                        </w14:solidFill>
                      </w14:textFill>
                    </w:rPr>
                    <w:t>3</w:t>
                  </w:r>
                </w:p>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排放速率：</w:t>
                  </w:r>
                  <w:r>
                    <w:rPr>
                      <w:rFonts w:hint="eastAsia" w:cs="Times New Roman"/>
                      <w:color w:val="000000" w:themeColor="text1"/>
                      <w:sz w:val="18"/>
                      <w:szCs w:val="18"/>
                      <w:highlight w:val="none"/>
                      <w:lang w:val="en-US" w:eastAsia="zh-CN"/>
                      <w14:textFill>
                        <w14:solidFill>
                          <w14:schemeClr w14:val="tx1"/>
                        </w14:solidFill>
                      </w14:textFill>
                    </w:rPr>
                    <w:t>0.142</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kg/h</w:t>
                  </w:r>
                </w:p>
              </w:tc>
              <w:tc>
                <w:tcPr>
                  <w:tcW w:w="64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r>
          </w:tbl>
          <w:p>
            <w:pPr>
              <w:autoSpaceDE w:val="0"/>
              <w:autoSpaceDN w:val="0"/>
              <w:adjustRightInd w:val="0"/>
              <w:snapToGrid w:val="0"/>
              <w:spacing w:line="360" w:lineRule="auto"/>
              <w:ind w:firstLine="420" w:firstLineChars="200"/>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Cs w:val="21"/>
                <w:highlight w:val="none"/>
                <w14:textFill>
                  <w14:solidFill>
                    <w14:schemeClr w14:val="tx1"/>
                  </w14:solidFill>
                </w14:textFill>
              </w:rPr>
              <w:t>为减少非正常工况下污染物排放对环境的影响，应立即启动大气环境应急预案，停产检修。企业应采取定期维护环保措施等措施，减少非正常工况的产生。</w:t>
            </w:r>
          </w:p>
          <w:p>
            <w:pPr>
              <w:autoSpaceDE w:val="0"/>
              <w:autoSpaceDN w:val="0"/>
              <w:adjustRightInd w:val="0"/>
              <w:snapToGrid w:val="0"/>
              <w:spacing w:line="360" w:lineRule="auto"/>
              <w:ind w:firstLine="422" w:firstLineChars="200"/>
              <w:rPr>
                <w:rFonts w:hint="default" w:ascii="Times New Roman" w:hAnsi="Times New Roman" w:cs="Times New Roman"/>
                <w:b/>
                <w:bCs/>
                <w:color w:val="000000" w:themeColor="text1"/>
                <w:kern w:val="0"/>
                <w:szCs w:val="21"/>
                <w14:textFill>
                  <w14:solidFill>
                    <w14:schemeClr w14:val="tx1"/>
                  </w14:solidFill>
                </w14:textFill>
              </w:rPr>
            </w:pPr>
            <w:r>
              <w:rPr>
                <w:rFonts w:hint="default" w:ascii="Times New Roman" w:hAnsi="Times New Roman" w:cs="Times New Roman"/>
                <w:b/>
                <w:bCs/>
                <w:color w:val="000000" w:themeColor="text1"/>
                <w:kern w:val="0"/>
                <w:szCs w:val="21"/>
                <w14:textFill>
                  <w14:solidFill>
                    <w14:schemeClr w14:val="tx1"/>
                  </w14:solidFill>
                </w14:textFill>
              </w:rPr>
              <w:t>（</w:t>
            </w:r>
            <w:r>
              <w:rPr>
                <w:rFonts w:hint="default" w:ascii="Times New Roman" w:hAnsi="Times New Roman" w:cs="Times New Roman"/>
                <w:b/>
                <w:bCs/>
                <w:color w:val="000000" w:themeColor="text1"/>
                <w:kern w:val="0"/>
                <w:szCs w:val="21"/>
                <w:lang w:val="en-US" w:eastAsia="zh-CN"/>
                <w14:textFill>
                  <w14:solidFill>
                    <w14:schemeClr w14:val="tx1"/>
                  </w14:solidFill>
                </w14:textFill>
              </w:rPr>
              <w:t>6</w:t>
            </w:r>
            <w:r>
              <w:rPr>
                <w:rFonts w:hint="default" w:ascii="Times New Roman" w:hAnsi="Times New Roman" w:cs="Times New Roman"/>
                <w:b/>
                <w:bCs/>
                <w:color w:val="000000" w:themeColor="text1"/>
                <w:kern w:val="0"/>
                <w:szCs w:val="21"/>
                <w14:textFill>
                  <w14:solidFill>
                    <w14:schemeClr w14:val="tx1"/>
                  </w14:solidFill>
                </w14:textFill>
              </w:rPr>
              <w:t>）废气排放基本情况</w:t>
            </w:r>
          </w:p>
          <w:p>
            <w:pPr>
              <w:autoSpaceDE w:val="0"/>
              <w:autoSpaceDN w:val="0"/>
              <w:adjustRightInd w:val="0"/>
              <w:snapToGrid w:val="0"/>
              <w:spacing w:line="360" w:lineRule="auto"/>
              <w:ind w:firstLine="422" w:firstLineChars="200"/>
              <w:rPr>
                <w:rFonts w:hint="default" w:ascii="Times New Roman" w:hAnsi="Times New Roman" w:cs="Times New Roman"/>
                <w:b/>
                <w:bCs w:val="0"/>
                <w:color w:val="000000" w:themeColor="text1"/>
                <w:kern w:val="0"/>
                <w:szCs w:val="21"/>
                <w14:textFill>
                  <w14:solidFill>
                    <w14:schemeClr w14:val="tx1"/>
                  </w14:solidFill>
                </w14:textFill>
              </w:rPr>
            </w:pPr>
            <w:r>
              <w:rPr>
                <w:rFonts w:hint="default" w:ascii="Times New Roman" w:hAnsi="Times New Roman" w:cs="Times New Roman"/>
                <w:b/>
                <w:bCs w:val="0"/>
                <w:color w:val="000000" w:themeColor="text1"/>
                <w:kern w:val="0"/>
                <w:szCs w:val="21"/>
                <w14:textFill>
                  <w14:solidFill>
                    <w14:schemeClr w14:val="tx1"/>
                  </w14:solidFill>
                </w14:textFill>
              </w:rPr>
              <w:t>①有组织废气</w:t>
            </w:r>
          </w:p>
          <w:p>
            <w:pPr>
              <w:autoSpaceDE w:val="0"/>
              <w:autoSpaceDN w:val="0"/>
              <w:adjustRightInd w:val="0"/>
              <w:snapToGrid w:val="0"/>
              <w:spacing w:line="360" w:lineRule="auto"/>
              <w:ind w:firstLine="42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本项目有组织废气排放情况见</w:t>
            </w:r>
            <w:r>
              <w:rPr>
                <w:rFonts w:hint="default" w:ascii="Times New Roman" w:hAnsi="Times New Roman" w:cs="Times New Roman"/>
                <w:bCs/>
                <w:color w:val="000000" w:themeColor="text1"/>
                <w:kern w:val="0"/>
                <w:szCs w:val="21"/>
                <w:lang w:eastAsia="zh-CN"/>
                <w14:textFill>
                  <w14:solidFill>
                    <w14:schemeClr w14:val="tx1"/>
                  </w14:solidFill>
                </w14:textFill>
              </w:rPr>
              <w:t>下表</w:t>
            </w:r>
            <w:r>
              <w:rPr>
                <w:rFonts w:hint="default" w:ascii="Times New Roman" w:hAnsi="Times New Roman" w:cs="Times New Roman"/>
                <w:bCs/>
                <w:color w:val="000000" w:themeColor="text1"/>
                <w:kern w:val="0"/>
                <w:szCs w:val="21"/>
                <w14:textFill>
                  <w14:solidFill>
                    <w14:schemeClr w14:val="tx1"/>
                  </w14:solidFill>
                </w14:textFill>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本项目有组织废气排放情况一览表</w:t>
            </w:r>
          </w:p>
          <w:tbl>
            <w:tblPr>
              <w:tblStyle w:val="22"/>
              <w:tblW w:w="498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22"/>
              <w:gridCol w:w="1319"/>
              <w:gridCol w:w="883"/>
              <w:gridCol w:w="1463"/>
              <w:gridCol w:w="1272"/>
              <w:gridCol w:w="778"/>
              <w:gridCol w:w="817"/>
              <w:gridCol w:w="71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9" w:type="pct"/>
                  <w:vMerge w:val="restar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排放口编号</w:t>
                  </w:r>
                </w:p>
              </w:tc>
              <w:tc>
                <w:tcPr>
                  <w:tcW w:w="817" w:type="pct"/>
                  <w:vMerge w:val="restar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排放口名称</w:t>
                  </w:r>
                </w:p>
              </w:tc>
              <w:tc>
                <w:tcPr>
                  <w:tcW w:w="547" w:type="pct"/>
                  <w:vMerge w:val="restar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污染物种类</w:t>
                  </w:r>
                </w:p>
              </w:tc>
              <w:tc>
                <w:tcPr>
                  <w:tcW w:w="1694" w:type="pct"/>
                  <w:gridSpan w:val="2"/>
                  <w:tcBorders>
                    <w:bottom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排放口地理坐标</w:t>
                  </w:r>
                </w:p>
              </w:tc>
              <w:tc>
                <w:tcPr>
                  <w:tcW w:w="482" w:type="pct"/>
                  <w:vMerge w:val="restar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排气筒高度（m）</w:t>
                  </w:r>
                </w:p>
              </w:tc>
              <w:tc>
                <w:tcPr>
                  <w:tcW w:w="506" w:type="pct"/>
                  <w:vMerge w:val="restar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排气筒出口内径（m）</w:t>
                  </w:r>
                </w:p>
              </w:tc>
              <w:tc>
                <w:tcPr>
                  <w:tcW w:w="441" w:type="pct"/>
                  <w:vMerge w:val="restar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排气温度</w:t>
                  </w: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9" w:type="pct"/>
                  <w:vMerge w:val="continue"/>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cyan"/>
                      <w:vertAlign w:val="baseline"/>
                      <w:lang w:val="en-US" w:eastAsia="zh-CN"/>
                      <w14:textFill>
                        <w14:solidFill>
                          <w14:schemeClr w14:val="tx1"/>
                        </w14:solidFill>
                      </w14:textFill>
                    </w:rPr>
                  </w:pPr>
                </w:p>
              </w:tc>
              <w:tc>
                <w:tcPr>
                  <w:tcW w:w="817" w:type="pct"/>
                  <w:vMerge w:val="continue"/>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cyan"/>
                      <w:vertAlign w:val="baseline"/>
                      <w:lang w:val="en-US" w:eastAsia="zh-CN"/>
                      <w14:textFill>
                        <w14:solidFill>
                          <w14:schemeClr w14:val="tx1"/>
                        </w14:solidFill>
                      </w14:textFill>
                    </w:rPr>
                  </w:pPr>
                </w:p>
              </w:tc>
              <w:tc>
                <w:tcPr>
                  <w:tcW w:w="547" w:type="pct"/>
                  <w:vMerge w:val="continue"/>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cyan"/>
                      <w:vertAlign w:val="baseline"/>
                      <w:lang w:val="en-US" w:eastAsia="zh-CN"/>
                      <w14:textFill>
                        <w14:solidFill>
                          <w14:schemeClr w14:val="tx1"/>
                        </w14:solidFill>
                      </w14:textFill>
                    </w:rPr>
                  </w:pPr>
                </w:p>
              </w:tc>
              <w:tc>
                <w:tcPr>
                  <w:tcW w:w="906" w:type="pct"/>
                  <w:tcBorders>
                    <w:top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经度</w:t>
                  </w:r>
                </w:p>
              </w:tc>
              <w:tc>
                <w:tcPr>
                  <w:tcW w:w="788" w:type="pct"/>
                  <w:tcBorders>
                    <w:top w:val="single" w:color="000000" w:sz="4" w:space="0"/>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纬</w:t>
                  </w: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度</w:t>
                  </w:r>
                </w:p>
              </w:tc>
              <w:tc>
                <w:tcPr>
                  <w:tcW w:w="482" w:type="pct"/>
                  <w:vMerge w:val="continue"/>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cyan"/>
                      <w:vertAlign w:val="baseline"/>
                      <w:lang w:val="en-US" w:eastAsia="zh-CN"/>
                      <w14:textFill>
                        <w14:solidFill>
                          <w14:schemeClr w14:val="tx1"/>
                        </w14:solidFill>
                      </w14:textFill>
                    </w:rPr>
                  </w:pPr>
                </w:p>
              </w:tc>
              <w:tc>
                <w:tcPr>
                  <w:tcW w:w="506" w:type="pct"/>
                  <w:vMerge w:val="continue"/>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p>
              </w:tc>
              <w:tc>
                <w:tcPr>
                  <w:tcW w:w="441" w:type="pct"/>
                  <w:vMerge w:val="continue"/>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9" w:type="pct"/>
                  <w:tcBorders>
                    <w:tl2br w:val="nil"/>
                    <w:tr2bl w:val="nil"/>
                  </w:tcBorders>
                  <w:vAlign w:val="center"/>
                </w:tcPr>
                <w:p>
                  <w:pPr>
                    <w:keepNext w:val="0"/>
                    <w:keepLines w:val="0"/>
                    <w:pageBreakBefore w:val="0"/>
                    <w:widowControl/>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DA001</w:t>
                  </w:r>
                </w:p>
              </w:tc>
              <w:tc>
                <w:tcPr>
                  <w:tcW w:w="817" w:type="pct"/>
                  <w:tcBorders>
                    <w:tl2br w:val="nil"/>
                    <w:tr2bl w:val="nil"/>
                  </w:tcBorders>
                  <w:vAlign w:val="center"/>
                </w:tcPr>
                <w:p>
                  <w:pPr>
                    <w:keepNext w:val="0"/>
                    <w:keepLines w:val="0"/>
                    <w:pageBreakBefore w:val="0"/>
                    <w:widowControl/>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TA001选择性催化还原（SCR）”配套排气筒</w:t>
                  </w:r>
                </w:p>
              </w:tc>
              <w:tc>
                <w:tcPr>
                  <w:tcW w:w="547"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黑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t>颗粒物、SO</w:t>
                  </w:r>
                  <w:r>
                    <w:rPr>
                      <w:rFonts w:hint="default" w:ascii="Times New Roman" w:hAnsi="Times New Roman" w:eastAsia="宋体" w:cs="Times New Roman"/>
                      <w:color w:val="000000" w:themeColor="text1"/>
                      <w:sz w:val="18"/>
                      <w:szCs w:val="18"/>
                      <w:highlight w:val="none"/>
                      <w:vertAlign w:val="subscript"/>
                      <w:lang w:val="en-US" w:eastAsia="zh-CN" w:bidi="ar-SA"/>
                      <w14:textFill>
                        <w14:solidFill>
                          <w14:schemeClr w14:val="tx1"/>
                        </w14:solidFill>
                      </w14:textFill>
                    </w:rPr>
                    <w:t>2</w:t>
                  </w:r>
                  <w:r>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t>、NO</w:t>
                  </w:r>
                  <w:r>
                    <w:rPr>
                      <w:rFonts w:hint="default" w:ascii="Times New Roman" w:hAnsi="Times New Roman" w:eastAsia="宋体" w:cs="Times New Roman"/>
                      <w:color w:val="000000" w:themeColor="text1"/>
                      <w:sz w:val="18"/>
                      <w:szCs w:val="18"/>
                      <w:highlight w:val="none"/>
                      <w:vertAlign w:val="subscript"/>
                      <w:lang w:val="en-US" w:eastAsia="zh-CN" w:bidi="ar-SA"/>
                      <w14:textFill>
                        <w14:solidFill>
                          <w14:schemeClr w14:val="tx1"/>
                        </w14:solidFill>
                      </w14:textFill>
                    </w:rPr>
                    <w:t>x</w:t>
                  </w:r>
                </w:p>
              </w:tc>
              <w:tc>
                <w:tcPr>
                  <w:tcW w:w="906" w:type="pct"/>
                  <w:tcBorders>
                    <w:tl2br w:val="nil"/>
                    <w:tr2bl w:val="nil"/>
                  </w:tcBorders>
                  <w:vAlign w:val="center"/>
                </w:tcPr>
                <w:p>
                  <w:pPr>
                    <w:pStyle w:val="16"/>
                    <w:keepNext w:val="0"/>
                    <w:keepLines w:val="0"/>
                    <w:pageBreakBefore w:val="0"/>
                    <w:widowControl/>
                    <w:suppressLineNumbers w:val="0"/>
                    <w:kinsoku/>
                    <w:wordWrap/>
                    <w:overflowPunct/>
                    <w:topLinePunct w:val="0"/>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113°45′34.068″</w:t>
                  </w:r>
                </w:p>
              </w:tc>
              <w:tc>
                <w:tcPr>
                  <w:tcW w:w="788" w:type="pct"/>
                  <w:tcBorders>
                    <w:tl2br w:val="nil"/>
                    <w:tr2bl w:val="nil"/>
                  </w:tcBorders>
                  <w:vAlign w:val="center"/>
                </w:tcPr>
                <w:p>
                  <w:pPr>
                    <w:pStyle w:val="16"/>
                    <w:keepNext w:val="0"/>
                    <w:keepLines w:val="0"/>
                    <w:pageBreakBefore w:val="0"/>
                    <w:widowControl/>
                    <w:suppressLineNumbers w:val="0"/>
                    <w:kinsoku/>
                    <w:wordWrap/>
                    <w:overflowPunct/>
                    <w:topLinePunct w:val="0"/>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35°11′38.147″</w:t>
                  </w:r>
                </w:p>
              </w:tc>
              <w:tc>
                <w:tcPr>
                  <w:tcW w:w="482"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15</w:t>
                  </w:r>
                </w:p>
              </w:tc>
              <w:tc>
                <w:tcPr>
                  <w:tcW w:w="506"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0.8</w:t>
                  </w:r>
                </w:p>
              </w:tc>
              <w:tc>
                <w:tcPr>
                  <w:tcW w:w="44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25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9" w:type="pct"/>
                  <w:tcBorders>
                    <w:tl2br w:val="nil"/>
                    <w:tr2bl w:val="nil"/>
                  </w:tcBorders>
                  <w:vAlign w:val="center"/>
                </w:tcPr>
                <w:p>
                  <w:pPr>
                    <w:keepNext w:val="0"/>
                    <w:keepLines w:val="0"/>
                    <w:pageBreakBefore w:val="0"/>
                    <w:widowControl/>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DA002</w:t>
                  </w:r>
                </w:p>
              </w:tc>
              <w:tc>
                <w:tcPr>
                  <w:tcW w:w="817" w:type="pct"/>
                  <w:tcBorders>
                    <w:tl2br w:val="nil"/>
                    <w:tr2bl w:val="nil"/>
                  </w:tcBorders>
                  <w:vAlign w:val="center"/>
                </w:tcPr>
                <w:p>
                  <w:pPr>
                    <w:keepNext w:val="0"/>
                    <w:keepLines w:val="0"/>
                    <w:pageBreakBefore w:val="0"/>
                    <w:widowControl/>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TA002</w:t>
                  </w:r>
                  <w:r>
                    <w:rPr>
                      <w:rFonts w:hint="default" w:ascii="Times New Roman" w:hAnsi="Times New Roman" w:eastAsia="宋体" w:cs="Times New Roman"/>
                      <w:color w:val="000000" w:themeColor="text1"/>
                      <w:kern w:val="0"/>
                      <w:sz w:val="18"/>
                      <w:szCs w:val="18"/>
                      <w:highlight w:val="none"/>
                      <w:lang w:eastAsia="zh-CN"/>
                      <w14:textFill>
                        <w14:solidFill>
                          <w14:schemeClr w14:val="tx1"/>
                        </w14:solidFill>
                      </w14:textFill>
                    </w:rPr>
                    <w:t>脉冲袋式除尘器</w:t>
                  </w: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配套</w:t>
                  </w:r>
                  <w:r>
                    <w:rPr>
                      <w:rFonts w:hint="default" w:ascii="Times New Roman" w:hAnsi="Times New Roman" w:eastAsia="宋体" w:cs="Times New Roman"/>
                      <w:color w:val="000000" w:themeColor="text1"/>
                      <w:kern w:val="0"/>
                      <w:sz w:val="18"/>
                      <w:szCs w:val="18"/>
                      <w:highlight w:val="none"/>
                      <w:lang w:eastAsia="zh-CN"/>
                      <w14:textFill>
                        <w14:solidFill>
                          <w14:schemeClr w14:val="tx1"/>
                        </w14:solidFill>
                      </w14:textFill>
                    </w:rPr>
                    <w:t>排气筒</w:t>
                  </w:r>
                </w:p>
              </w:tc>
              <w:tc>
                <w:tcPr>
                  <w:tcW w:w="547"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颗粒物</w:t>
                  </w:r>
                </w:p>
              </w:tc>
              <w:tc>
                <w:tcPr>
                  <w:tcW w:w="906" w:type="pct"/>
                  <w:tcBorders>
                    <w:tl2br w:val="nil"/>
                    <w:tr2bl w:val="nil"/>
                  </w:tcBorders>
                  <w:vAlign w:val="center"/>
                </w:tcPr>
                <w:p>
                  <w:pPr>
                    <w:pStyle w:val="16"/>
                    <w:keepNext w:val="0"/>
                    <w:keepLines w:val="0"/>
                    <w:pageBreakBefore w:val="0"/>
                    <w:widowControl/>
                    <w:suppressLineNumbers w:val="0"/>
                    <w:kinsoku/>
                    <w:wordWrap/>
                    <w:overflowPunct/>
                    <w:topLinePunct w:val="0"/>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113°45′38.993″</w:t>
                  </w:r>
                </w:p>
              </w:tc>
              <w:tc>
                <w:tcPr>
                  <w:tcW w:w="788" w:type="pct"/>
                  <w:tcBorders>
                    <w:tl2br w:val="nil"/>
                    <w:tr2bl w:val="nil"/>
                  </w:tcBorders>
                  <w:vAlign w:val="center"/>
                </w:tcPr>
                <w:p>
                  <w:pPr>
                    <w:pStyle w:val="16"/>
                    <w:keepNext w:val="0"/>
                    <w:keepLines w:val="0"/>
                    <w:pageBreakBefore w:val="0"/>
                    <w:widowControl/>
                    <w:suppressLineNumbers w:val="0"/>
                    <w:kinsoku/>
                    <w:wordWrap/>
                    <w:overflowPunct/>
                    <w:topLinePunct w:val="0"/>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35°11′38.475″</w:t>
                  </w:r>
                </w:p>
              </w:tc>
              <w:tc>
                <w:tcPr>
                  <w:tcW w:w="482"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15</w:t>
                  </w:r>
                </w:p>
              </w:tc>
              <w:tc>
                <w:tcPr>
                  <w:tcW w:w="506"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0.5</w:t>
                  </w:r>
                </w:p>
              </w:tc>
              <w:tc>
                <w:tcPr>
                  <w:tcW w:w="44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25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9" w:type="pct"/>
                  <w:tcBorders>
                    <w:tl2br w:val="nil"/>
                    <w:tr2bl w:val="nil"/>
                  </w:tcBorders>
                  <w:vAlign w:val="center"/>
                </w:tcPr>
                <w:p>
                  <w:pPr>
                    <w:keepNext w:val="0"/>
                    <w:keepLines w:val="0"/>
                    <w:pageBreakBefore w:val="0"/>
                    <w:widowControl/>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DA003</w:t>
                  </w:r>
                </w:p>
              </w:tc>
              <w:tc>
                <w:tcPr>
                  <w:tcW w:w="817" w:type="pct"/>
                  <w:tcBorders>
                    <w:tl2br w:val="nil"/>
                    <w:tr2bl w:val="nil"/>
                  </w:tcBorders>
                  <w:vAlign w:val="center"/>
                </w:tcPr>
                <w:p>
                  <w:pPr>
                    <w:keepNext w:val="0"/>
                    <w:keepLines w:val="0"/>
                    <w:pageBreakBefore w:val="0"/>
                    <w:widowControl/>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TA003</w:t>
                  </w:r>
                  <w:r>
                    <w:rPr>
                      <w:rFonts w:hint="default" w:ascii="Times New Roman" w:hAnsi="Times New Roman" w:eastAsia="宋体" w:cs="Times New Roman"/>
                      <w:color w:val="000000" w:themeColor="text1"/>
                      <w:kern w:val="0"/>
                      <w:sz w:val="18"/>
                      <w:szCs w:val="18"/>
                      <w:highlight w:val="none"/>
                      <w:lang w:eastAsia="zh-CN"/>
                      <w14:textFill>
                        <w14:solidFill>
                          <w14:schemeClr w14:val="tx1"/>
                        </w14:solidFill>
                      </w14:textFill>
                    </w:rPr>
                    <w:t>脉冲袋式除尘器</w:t>
                  </w: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配套</w:t>
                  </w:r>
                  <w:r>
                    <w:rPr>
                      <w:rFonts w:hint="default" w:ascii="Times New Roman" w:hAnsi="Times New Roman" w:eastAsia="宋体" w:cs="Times New Roman"/>
                      <w:color w:val="000000" w:themeColor="text1"/>
                      <w:kern w:val="0"/>
                      <w:sz w:val="18"/>
                      <w:szCs w:val="18"/>
                      <w:highlight w:val="none"/>
                      <w:lang w:eastAsia="zh-CN"/>
                      <w14:textFill>
                        <w14:solidFill>
                          <w14:schemeClr w14:val="tx1"/>
                        </w14:solidFill>
                      </w14:textFill>
                    </w:rPr>
                    <w:t>排气筒</w:t>
                  </w:r>
                </w:p>
              </w:tc>
              <w:tc>
                <w:tcPr>
                  <w:tcW w:w="547"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颗粒物</w:t>
                  </w:r>
                </w:p>
              </w:tc>
              <w:tc>
                <w:tcPr>
                  <w:tcW w:w="906" w:type="pct"/>
                  <w:tcBorders>
                    <w:tl2br w:val="nil"/>
                    <w:tr2bl w:val="nil"/>
                  </w:tcBorders>
                  <w:vAlign w:val="center"/>
                </w:tcPr>
                <w:p>
                  <w:pPr>
                    <w:pStyle w:val="16"/>
                    <w:keepNext w:val="0"/>
                    <w:keepLines w:val="0"/>
                    <w:pageBreakBefore w:val="0"/>
                    <w:widowControl/>
                    <w:suppressLineNumbers w:val="0"/>
                    <w:kinsoku/>
                    <w:wordWrap/>
                    <w:overflowPunct/>
                    <w:topLinePunct w:val="0"/>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113°45′41.890″</w:t>
                  </w:r>
                </w:p>
              </w:tc>
              <w:tc>
                <w:tcPr>
                  <w:tcW w:w="788" w:type="pct"/>
                  <w:tcBorders>
                    <w:tl2br w:val="nil"/>
                    <w:tr2bl w:val="nil"/>
                  </w:tcBorders>
                  <w:vAlign w:val="center"/>
                </w:tcPr>
                <w:p>
                  <w:pPr>
                    <w:pStyle w:val="16"/>
                    <w:keepNext w:val="0"/>
                    <w:keepLines w:val="0"/>
                    <w:pageBreakBefore w:val="0"/>
                    <w:widowControl/>
                    <w:suppressLineNumbers w:val="0"/>
                    <w:kinsoku/>
                    <w:wordWrap/>
                    <w:overflowPunct/>
                    <w:topLinePunct w:val="0"/>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35°11′44.558″</w:t>
                  </w:r>
                </w:p>
              </w:tc>
              <w:tc>
                <w:tcPr>
                  <w:tcW w:w="482"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15</w:t>
                  </w:r>
                </w:p>
              </w:tc>
              <w:tc>
                <w:tcPr>
                  <w:tcW w:w="506"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0.5</w:t>
                  </w:r>
                </w:p>
              </w:tc>
              <w:tc>
                <w:tcPr>
                  <w:tcW w:w="441"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25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9" w:type="pct"/>
                  <w:tcBorders>
                    <w:tl2br w:val="nil"/>
                    <w:tr2bl w:val="nil"/>
                  </w:tcBorders>
                  <w:vAlign w:val="center"/>
                </w:tcPr>
                <w:p>
                  <w:pPr>
                    <w:keepNext w:val="0"/>
                    <w:keepLines w:val="0"/>
                    <w:pageBreakBefore w:val="0"/>
                    <w:widowControl/>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DA004</w:t>
                  </w:r>
                </w:p>
              </w:tc>
              <w:tc>
                <w:tcPr>
                  <w:tcW w:w="817" w:type="pct"/>
                  <w:tcBorders>
                    <w:tl2br w:val="nil"/>
                    <w:tr2bl w:val="nil"/>
                  </w:tcBorders>
                  <w:vAlign w:val="center"/>
                </w:tcPr>
                <w:p>
                  <w:pPr>
                    <w:keepNext w:val="0"/>
                    <w:keepLines w:val="0"/>
                    <w:pageBreakBefore w:val="0"/>
                    <w:widowControl/>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TA004</w:t>
                  </w:r>
                  <w:r>
                    <w:rPr>
                      <w:rFonts w:hint="eastAsia" w:cs="Times New Roman"/>
                      <w:color w:val="000000" w:themeColor="text1"/>
                      <w:kern w:val="0"/>
                      <w:sz w:val="18"/>
                      <w:szCs w:val="18"/>
                      <w:highlight w:val="none"/>
                      <w:lang w:val="en-US" w:eastAsia="zh-CN"/>
                      <w14:textFill>
                        <w14:solidFill>
                          <w14:schemeClr w14:val="tx1"/>
                        </w14:solidFill>
                      </w14:textFill>
                    </w:rPr>
                    <w:t>两级酸雾喷淋塔</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配套排气筒</w:t>
                  </w:r>
                </w:p>
              </w:tc>
              <w:tc>
                <w:tcPr>
                  <w:tcW w:w="547" w:type="pct"/>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氢氟酸雾、硝酸雾（NOx计）</w:t>
                  </w:r>
                </w:p>
              </w:tc>
              <w:tc>
                <w:tcPr>
                  <w:tcW w:w="906" w:type="pct"/>
                  <w:tcBorders>
                    <w:tl2br w:val="nil"/>
                    <w:tr2bl w:val="nil"/>
                  </w:tcBorders>
                  <w:vAlign w:val="center"/>
                </w:tcPr>
                <w:p>
                  <w:pPr>
                    <w:pStyle w:val="16"/>
                    <w:keepNext w:val="0"/>
                    <w:keepLines w:val="0"/>
                    <w:pageBreakBefore w:val="0"/>
                    <w:widowControl/>
                    <w:suppressLineNumbers w:val="0"/>
                    <w:kinsoku/>
                    <w:wordWrap/>
                    <w:overflowPunct/>
                    <w:topLinePunct w:val="0"/>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113°45′44.429″</w:t>
                  </w:r>
                </w:p>
              </w:tc>
              <w:tc>
                <w:tcPr>
                  <w:tcW w:w="788" w:type="pct"/>
                  <w:tcBorders>
                    <w:tl2br w:val="nil"/>
                    <w:tr2bl w:val="nil"/>
                  </w:tcBorders>
                  <w:vAlign w:val="center"/>
                </w:tcPr>
                <w:p>
                  <w:pPr>
                    <w:pStyle w:val="16"/>
                    <w:keepNext w:val="0"/>
                    <w:keepLines w:val="0"/>
                    <w:pageBreakBefore w:val="0"/>
                    <w:widowControl/>
                    <w:suppressLineNumbers w:val="0"/>
                    <w:kinsoku/>
                    <w:wordWrap/>
                    <w:overflowPunct/>
                    <w:topLinePunct w:val="0"/>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35°11′47.803″</w:t>
                  </w:r>
                </w:p>
              </w:tc>
              <w:tc>
                <w:tcPr>
                  <w:tcW w:w="776" w:type="dxa"/>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15</w:t>
                  </w:r>
                </w:p>
              </w:tc>
              <w:tc>
                <w:tcPr>
                  <w:tcW w:w="816" w:type="dxa"/>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0.</w:t>
                  </w:r>
                  <w:r>
                    <w:rPr>
                      <w:rFonts w:hint="eastAsia" w:ascii="Times New Roman" w:eastAsia="宋体" w:cs="Times New Roman"/>
                      <w:color w:val="000000" w:themeColor="text1"/>
                      <w:sz w:val="18"/>
                      <w:szCs w:val="18"/>
                      <w:highlight w:val="none"/>
                      <w:vertAlign w:val="baseline"/>
                      <w:lang w:val="en-US" w:eastAsia="zh-CN"/>
                      <w14:textFill>
                        <w14:solidFill>
                          <w14:schemeClr w14:val="tx1"/>
                        </w14:solidFill>
                      </w14:textFill>
                    </w:rPr>
                    <w:t>2</w:t>
                  </w:r>
                </w:p>
              </w:tc>
              <w:tc>
                <w:tcPr>
                  <w:tcW w:w="710" w:type="dxa"/>
                  <w:tcBorders>
                    <w:tl2br w:val="nil"/>
                    <w:tr2bl w:val="nil"/>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25</w:t>
                  </w:r>
                </w:p>
              </w:tc>
            </w:tr>
          </w:tbl>
          <w:p>
            <w:pPr>
              <w:autoSpaceDE w:val="0"/>
              <w:autoSpaceDN w:val="0"/>
              <w:adjustRightInd w:val="0"/>
              <w:snapToGrid w:val="0"/>
              <w:spacing w:line="360" w:lineRule="auto"/>
              <w:ind w:firstLine="422" w:firstLineChars="200"/>
              <w:rPr>
                <w:rFonts w:hint="default" w:ascii="Times New Roman" w:hAnsi="Times New Roman" w:cs="Times New Roman"/>
                <w:b/>
                <w:bCs w:val="0"/>
                <w:color w:val="000000" w:themeColor="text1"/>
                <w:kern w:val="0"/>
                <w:szCs w:val="21"/>
                <w14:textFill>
                  <w14:solidFill>
                    <w14:schemeClr w14:val="tx1"/>
                  </w14:solidFill>
                </w14:textFill>
              </w:rPr>
            </w:pPr>
            <w:r>
              <w:rPr>
                <w:rFonts w:hint="default" w:ascii="Times New Roman" w:hAnsi="Times New Roman" w:cs="Times New Roman"/>
                <w:b/>
                <w:bCs w:val="0"/>
                <w:color w:val="000000" w:themeColor="text1"/>
                <w:kern w:val="0"/>
                <w:szCs w:val="21"/>
                <w14:textFill>
                  <w14:solidFill>
                    <w14:schemeClr w14:val="tx1"/>
                  </w14:solidFill>
                </w14:textFill>
              </w:rPr>
              <w:t>②无组织废气</w:t>
            </w:r>
          </w:p>
          <w:p>
            <w:pPr>
              <w:autoSpaceDE w:val="0"/>
              <w:autoSpaceDN w:val="0"/>
              <w:adjustRightInd w:val="0"/>
              <w:snapToGrid w:val="0"/>
              <w:spacing w:line="360" w:lineRule="auto"/>
              <w:ind w:firstLine="420" w:firstLineChars="200"/>
              <w:rPr>
                <w:rFonts w:hint="default"/>
                <w:color w:val="000000" w:themeColor="text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本项目无组织废气排放情况见</w:t>
            </w:r>
            <w:r>
              <w:rPr>
                <w:rFonts w:hint="default" w:ascii="Times New Roman" w:hAnsi="Times New Roman" w:cs="Times New Roman"/>
                <w:bCs/>
                <w:color w:val="000000" w:themeColor="text1"/>
                <w:kern w:val="0"/>
                <w:szCs w:val="21"/>
                <w:lang w:eastAsia="zh-CN"/>
                <w14:textFill>
                  <w14:solidFill>
                    <w14:schemeClr w14:val="tx1"/>
                  </w14:solidFill>
                </w14:textFill>
              </w:rPr>
              <w:t>下</w:t>
            </w:r>
            <w:r>
              <w:rPr>
                <w:rFonts w:hint="default" w:ascii="Times New Roman" w:hAnsi="Times New Roman" w:cs="Times New Roman"/>
                <w:bCs/>
                <w:color w:val="000000" w:themeColor="text1"/>
                <w:kern w:val="0"/>
                <w:szCs w:val="21"/>
                <w14:textFill>
                  <w14:solidFill>
                    <w14:schemeClr w14:val="tx1"/>
                  </w14:solidFill>
                </w14:textFill>
              </w:rPr>
              <w:t>表。</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本项目无组织废气排放本情况一览表</w:t>
            </w:r>
          </w:p>
          <w:tbl>
            <w:tblPr>
              <w:tblStyle w:val="21"/>
              <w:tblW w:w="4995" w:type="pct"/>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813"/>
              <w:gridCol w:w="1338"/>
              <w:gridCol w:w="1803"/>
              <w:gridCol w:w="1803"/>
              <w:gridCol w:w="1231"/>
              <w:gridCol w:w="1089"/>
            </w:tblGrid>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PrEx>
              <w:trPr>
                <w:trHeight w:val="454" w:hRule="atLeast"/>
                <w:jc w:val="center"/>
              </w:trPr>
              <w:tc>
                <w:tcPr>
                  <w:tcW w:w="503" w:type="pct"/>
                  <w:vMerge w:val="restart"/>
                  <w:tcBorders>
                    <w:top w:val="single" w:color="000000" w:sz="4" w:space="0"/>
                    <w:left w:val="nil"/>
                    <w:right w:val="single" w:color="000000"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编号</w:t>
                  </w:r>
                </w:p>
              </w:tc>
              <w:tc>
                <w:tcPr>
                  <w:tcW w:w="828" w:type="pct"/>
                  <w:vMerge w:val="restart"/>
                  <w:tcBorders>
                    <w:top w:val="single" w:color="000000" w:sz="4" w:space="0"/>
                    <w:left w:val="nil"/>
                    <w:bottom w:val="single" w:color="000000" w:sz="4" w:space="0"/>
                    <w:right w:val="single" w:color="000000"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zh-CN"/>
                      <w14:textFill>
                        <w14:solidFill>
                          <w14:schemeClr w14:val="tx1"/>
                        </w14:solidFill>
                      </w14:textFill>
                    </w:rPr>
                    <w:t>名称</w:t>
                  </w:r>
                </w:p>
              </w:tc>
              <w:tc>
                <w:tcPr>
                  <w:tcW w:w="223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zh-CN"/>
                      <w14:textFill>
                        <w14:solidFill>
                          <w14:schemeClr w14:val="tx1"/>
                        </w14:solidFill>
                      </w14:textFill>
                    </w:rPr>
                    <w:t>面源起始坐标</w:t>
                  </w:r>
                </w:p>
              </w:tc>
              <w:tc>
                <w:tcPr>
                  <w:tcW w:w="762"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zh-CN"/>
                      <w14:textFill>
                        <w14:solidFill>
                          <w14:schemeClr w14:val="tx1"/>
                        </w14:solidFill>
                      </w14:textFill>
                    </w:rPr>
                    <w:t>年排放小时数</w:t>
                  </w:r>
                  <w:r>
                    <w:rPr>
                      <w:rFonts w:hint="default" w:ascii="Times New Roman" w:hAnsi="Times New Roman" w:cs="Times New Roman"/>
                      <w:color w:val="000000" w:themeColor="text1"/>
                      <w:sz w:val="18"/>
                      <w:szCs w:val="18"/>
                      <w14:textFill>
                        <w14:solidFill>
                          <w14:schemeClr w14:val="tx1"/>
                        </w14:solidFill>
                      </w14:textFill>
                    </w:rPr>
                    <w:t>/h</w:t>
                  </w:r>
                </w:p>
              </w:tc>
              <w:tc>
                <w:tcPr>
                  <w:tcW w:w="673" w:type="pct"/>
                  <w:vMerge w:val="restart"/>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zh-CN"/>
                      <w14:textFill>
                        <w14:solidFill>
                          <w14:schemeClr w14:val="tx1"/>
                        </w14:solidFill>
                      </w14:textFill>
                    </w:rPr>
                    <w:t>排放工况</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03" w:type="pct"/>
                  <w:vMerge w:val="continue"/>
                  <w:tcBorders>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828" w:type="pct"/>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11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zh-CN"/>
                      <w14:textFill>
                        <w14:solidFill>
                          <w14:schemeClr w14:val="tx1"/>
                        </w14:solidFill>
                      </w14:textFill>
                    </w:rPr>
                  </w:pPr>
                  <w:r>
                    <w:rPr>
                      <w:rFonts w:hint="default" w:ascii="Times New Roman" w:hAnsi="Times New Roman" w:cs="Times New Roman"/>
                      <w:color w:val="000000" w:themeColor="text1"/>
                      <w:sz w:val="18"/>
                      <w:szCs w:val="18"/>
                      <w:highlight w:val="none"/>
                      <w:lang w:val="zh-CN"/>
                      <w14:textFill>
                        <w14:solidFill>
                          <w14:schemeClr w14:val="tx1"/>
                        </w14:solidFill>
                      </w14:textFill>
                    </w:rPr>
                    <w:t>X</w:t>
                  </w:r>
                </w:p>
              </w:tc>
              <w:tc>
                <w:tcPr>
                  <w:tcW w:w="11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zh-CN"/>
                      <w14:textFill>
                        <w14:solidFill>
                          <w14:schemeClr w14:val="tx1"/>
                        </w14:solidFill>
                      </w14:textFill>
                    </w:rPr>
                  </w:pPr>
                  <w:r>
                    <w:rPr>
                      <w:rFonts w:hint="default" w:ascii="Times New Roman" w:hAnsi="Times New Roman" w:cs="Times New Roman"/>
                      <w:color w:val="000000" w:themeColor="text1"/>
                      <w:sz w:val="18"/>
                      <w:szCs w:val="18"/>
                      <w:highlight w:val="none"/>
                      <w:lang w:val="zh-CN"/>
                      <w14:textFill>
                        <w14:solidFill>
                          <w14:schemeClr w14:val="tx1"/>
                        </w14:solidFill>
                      </w14:textFill>
                    </w:rPr>
                    <w:t>Y</w:t>
                  </w:r>
                </w:p>
              </w:tc>
              <w:tc>
                <w:tcPr>
                  <w:tcW w:w="762"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lang w:val="zh-CN"/>
                      <w14:textFill>
                        <w14:solidFill>
                          <w14:schemeClr w14:val="tx1"/>
                        </w14:solidFill>
                      </w14:textFill>
                    </w:rPr>
                  </w:pPr>
                </w:p>
              </w:tc>
              <w:tc>
                <w:tcPr>
                  <w:tcW w:w="673" w:type="pct"/>
                  <w:vMerge w:val="continue"/>
                  <w:tcBorders>
                    <w:top w:val="single" w:color="000000" w:sz="4" w:space="0"/>
                    <w:left w:val="single" w:color="000000" w:sz="4" w:space="0"/>
                    <w:bottom w:val="single" w:color="000000" w:sz="4" w:space="0"/>
                  </w:tcBorders>
                  <w:noWrap w:val="0"/>
                  <w:vAlign w:val="center"/>
                </w:tcPr>
                <w:p>
                  <w:pPr>
                    <w:keepNext w:val="0"/>
                    <w:keepLines w:val="0"/>
                    <w:pageBreakBefore w:val="0"/>
                    <w:widowControl/>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lang w:val="zh-CN"/>
                      <w14:textFill>
                        <w14:solidFill>
                          <w14:schemeClr w14:val="tx1"/>
                        </w14:solidFill>
                      </w14:textFill>
                    </w:rPr>
                  </w:pP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03"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w:t>
                  </w:r>
                </w:p>
              </w:tc>
              <w:tc>
                <w:tcPr>
                  <w:tcW w:w="828"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1#生产</w:t>
                  </w:r>
                  <w:r>
                    <w:rPr>
                      <w:rFonts w:hint="default" w:ascii="Times New Roman" w:hAnsi="Times New Roman" w:cs="Times New Roman"/>
                      <w:color w:val="000000" w:themeColor="text1"/>
                      <w:sz w:val="18"/>
                      <w:szCs w:val="18"/>
                      <w14:textFill>
                        <w14:solidFill>
                          <w14:schemeClr w14:val="tx1"/>
                        </w14:solidFill>
                      </w14:textFill>
                    </w:rPr>
                    <w:t>车间</w:t>
                  </w:r>
                </w:p>
              </w:tc>
              <w:tc>
                <w:tcPr>
                  <w:tcW w:w="11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zh-CN"/>
                      <w14:textFill>
                        <w14:solidFill>
                          <w14:schemeClr w14:val="tx1"/>
                        </w14:solidFill>
                      </w14:textFill>
                    </w:rPr>
                  </w:pPr>
                  <w:r>
                    <w:rPr>
                      <w:rFonts w:hint="default" w:ascii="Times New Roman" w:hAnsi="Times New Roman" w:cs="Times New Roman"/>
                      <w:color w:val="000000" w:themeColor="text1"/>
                      <w:sz w:val="18"/>
                      <w:szCs w:val="18"/>
                      <w:highlight w:val="none"/>
                      <w:lang w:val="zh-CN"/>
                      <w14:textFill>
                        <w14:solidFill>
                          <w14:schemeClr w14:val="tx1"/>
                        </w14:solidFill>
                      </w14:textFill>
                    </w:rPr>
                    <w:t>113°45′33.528″E</w:t>
                  </w:r>
                </w:p>
              </w:tc>
              <w:tc>
                <w:tcPr>
                  <w:tcW w:w="11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zh-CN"/>
                      <w14:textFill>
                        <w14:solidFill>
                          <w14:schemeClr w14:val="tx1"/>
                        </w14:solidFill>
                      </w14:textFill>
                    </w:rPr>
                    <w:t>35°11′38.185″N</w:t>
                  </w:r>
                </w:p>
              </w:tc>
              <w:tc>
                <w:tcPr>
                  <w:tcW w:w="76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2400</w:t>
                  </w:r>
                </w:p>
              </w:tc>
              <w:tc>
                <w:tcPr>
                  <w:tcW w:w="673" w:type="pct"/>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lang w:val="zh-CN"/>
                      <w14:textFill>
                        <w14:solidFill>
                          <w14:schemeClr w14:val="tx1"/>
                        </w14:solidFill>
                      </w14:textFill>
                    </w:rPr>
                  </w:pPr>
                  <w:r>
                    <w:rPr>
                      <w:rFonts w:hint="default" w:ascii="Times New Roman" w:hAnsi="Times New Roman" w:cs="Times New Roman"/>
                      <w:color w:val="000000" w:themeColor="text1"/>
                      <w:sz w:val="18"/>
                      <w:szCs w:val="18"/>
                      <w:lang w:val="zh-CN"/>
                      <w14:textFill>
                        <w14:solidFill>
                          <w14:schemeClr w14:val="tx1"/>
                        </w14:solidFill>
                      </w14:textFill>
                    </w:rPr>
                    <w:t>正常</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03"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w:t>
                  </w:r>
                </w:p>
              </w:tc>
              <w:tc>
                <w:tcPr>
                  <w:tcW w:w="828"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2#和3#生产车间</w:t>
                  </w:r>
                </w:p>
              </w:tc>
              <w:tc>
                <w:tcPr>
                  <w:tcW w:w="11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zh-CN"/>
                      <w14:textFill>
                        <w14:solidFill>
                          <w14:schemeClr w14:val="tx1"/>
                        </w14:solidFill>
                      </w14:textFill>
                    </w:rPr>
                  </w:pPr>
                  <w:r>
                    <w:rPr>
                      <w:rFonts w:hint="default" w:ascii="Times New Roman" w:hAnsi="Times New Roman" w:cs="Times New Roman"/>
                      <w:color w:val="000000" w:themeColor="text1"/>
                      <w:sz w:val="18"/>
                      <w:szCs w:val="18"/>
                      <w:highlight w:val="none"/>
                      <w:lang w:val="zh-CN"/>
                      <w14:textFill>
                        <w14:solidFill>
                          <w14:schemeClr w14:val="tx1"/>
                        </w14:solidFill>
                      </w14:textFill>
                    </w:rPr>
                    <w:t>113°45′41.388″E</w:t>
                  </w:r>
                </w:p>
              </w:tc>
              <w:tc>
                <w:tcPr>
                  <w:tcW w:w="11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zh-CN"/>
                      <w14:textFill>
                        <w14:solidFill>
                          <w14:schemeClr w14:val="tx1"/>
                        </w14:solidFill>
                      </w14:textFill>
                    </w:rPr>
                  </w:pPr>
                  <w:r>
                    <w:rPr>
                      <w:rFonts w:hint="default" w:ascii="Times New Roman" w:hAnsi="Times New Roman" w:cs="Times New Roman"/>
                      <w:color w:val="000000" w:themeColor="text1"/>
                      <w:sz w:val="18"/>
                      <w:szCs w:val="18"/>
                      <w:highlight w:val="none"/>
                      <w:lang w:val="zh-CN"/>
                      <w14:textFill>
                        <w14:solidFill>
                          <w14:schemeClr w14:val="tx1"/>
                        </w14:solidFill>
                      </w14:textFill>
                    </w:rPr>
                    <w:t>35°11′41.835″N</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2400</w:t>
                  </w:r>
                </w:p>
              </w:tc>
              <w:tc>
                <w:tcPr>
                  <w:tcW w:w="1086"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lang w:val="zh-CN"/>
                      <w14:textFill>
                        <w14:solidFill>
                          <w14:schemeClr w14:val="tx1"/>
                        </w14:solidFill>
                      </w14:textFill>
                    </w:rPr>
                  </w:pPr>
                  <w:r>
                    <w:rPr>
                      <w:rFonts w:hint="default" w:ascii="Times New Roman" w:hAnsi="Times New Roman" w:cs="Times New Roman"/>
                      <w:color w:val="000000" w:themeColor="text1"/>
                      <w:sz w:val="18"/>
                      <w:szCs w:val="18"/>
                      <w:lang w:val="zh-CN"/>
                      <w14:textFill>
                        <w14:solidFill>
                          <w14:schemeClr w14:val="tx1"/>
                        </w14:solidFill>
                      </w14:textFill>
                    </w:rPr>
                    <w:t>正常</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PrEx>
              <w:trPr>
                <w:trHeight w:val="454" w:hRule="atLeast"/>
                <w:jc w:val="center"/>
              </w:trPr>
              <w:tc>
                <w:tcPr>
                  <w:tcW w:w="503"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3</w:t>
                  </w:r>
                </w:p>
              </w:tc>
              <w:tc>
                <w:tcPr>
                  <w:tcW w:w="828"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4#酸洗车间</w:t>
                  </w:r>
                </w:p>
              </w:tc>
              <w:tc>
                <w:tcPr>
                  <w:tcW w:w="1799"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suppressLineNumbers w:val="0"/>
                    <w:kinsoku/>
                    <w:wordWrap/>
                    <w:overflowPunct/>
                    <w:topLinePunct w:val="0"/>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zh-CN"/>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113°45′44.4</w:t>
                  </w:r>
                  <w:r>
                    <w:rPr>
                      <w:rFonts w:hint="default" w:ascii="Times New Roman" w:hAnsi="Times New Roman" w:cs="Times New Roman"/>
                      <w:bCs/>
                      <w:color w:val="000000" w:themeColor="text1"/>
                      <w:kern w:val="0"/>
                      <w:sz w:val="18"/>
                      <w:szCs w:val="18"/>
                      <w:lang w:val="en-US" w:eastAsia="zh-CN"/>
                      <w14:textFill>
                        <w14:solidFill>
                          <w14:schemeClr w14:val="tx1"/>
                        </w14:solidFill>
                      </w14:textFill>
                    </w:rPr>
                    <w:t>46</w:t>
                  </w:r>
                  <w:r>
                    <w:rPr>
                      <w:rFonts w:hint="default" w:ascii="Times New Roman" w:hAnsi="Times New Roman" w:cs="Times New Roman"/>
                      <w:bCs/>
                      <w:color w:val="000000" w:themeColor="text1"/>
                      <w:kern w:val="0"/>
                      <w:sz w:val="18"/>
                      <w:szCs w:val="18"/>
                      <w14:textFill>
                        <w14:solidFill>
                          <w14:schemeClr w14:val="tx1"/>
                        </w14:solidFill>
                      </w14:textFill>
                    </w:rPr>
                    <w:t>″</w:t>
                  </w:r>
                </w:p>
              </w:tc>
              <w:tc>
                <w:tcPr>
                  <w:tcW w:w="1799" w:type="dxa"/>
                  <w:tcBorders>
                    <w:top w:val="single" w:color="000000" w:sz="4" w:space="0"/>
                    <w:left w:val="single" w:color="000000" w:sz="4" w:space="0"/>
                    <w:bottom w:val="single" w:color="000000" w:sz="4" w:space="0"/>
                    <w:right w:val="single" w:color="000000" w:sz="4" w:space="0"/>
                  </w:tcBorders>
                  <w:noWrap w:val="0"/>
                  <w:vAlign w:val="center"/>
                </w:tcPr>
                <w:p>
                  <w:pPr>
                    <w:pStyle w:val="16"/>
                    <w:keepNext w:val="0"/>
                    <w:keepLines w:val="0"/>
                    <w:pageBreakBefore w:val="0"/>
                    <w:widowControl/>
                    <w:suppressLineNumbers w:val="0"/>
                    <w:kinsoku/>
                    <w:wordWrap/>
                    <w:overflowPunct/>
                    <w:topLinePunct w:val="0"/>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zh-CN"/>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35°11′47.8</w:t>
                  </w:r>
                  <w:r>
                    <w:rPr>
                      <w:rFonts w:hint="default" w:ascii="Times New Roman" w:hAnsi="Times New Roman" w:cs="Times New Roman"/>
                      <w:bCs/>
                      <w:color w:val="000000" w:themeColor="text1"/>
                      <w:kern w:val="0"/>
                      <w:sz w:val="18"/>
                      <w:szCs w:val="18"/>
                      <w:lang w:val="en-US" w:eastAsia="zh-CN"/>
                      <w14:textFill>
                        <w14:solidFill>
                          <w14:schemeClr w14:val="tx1"/>
                        </w14:solidFill>
                      </w14:textFill>
                    </w:rPr>
                    <w:t>2</w:t>
                  </w:r>
                  <w:r>
                    <w:rPr>
                      <w:rFonts w:hint="default" w:ascii="Times New Roman" w:hAnsi="Times New Roman" w:cs="Times New Roman"/>
                      <w:bCs/>
                      <w:color w:val="000000" w:themeColor="text1"/>
                      <w:kern w:val="0"/>
                      <w:sz w:val="18"/>
                      <w:szCs w:val="18"/>
                      <w14:textFill>
                        <w14:solidFill>
                          <w14:schemeClr w14:val="tx1"/>
                        </w14:solidFill>
                      </w14:textFill>
                    </w:rPr>
                    <w:t>3″</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lang w:val="en-US" w:eastAsia="zh-CN"/>
                      <w14:textFill>
                        <w14:solidFill>
                          <w14:schemeClr w14:val="tx1"/>
                        </w14:solidFill>
                      </w14:textFill>
                    </w:rPr>
                  </w:pPr>
                  <w:r>
                    <w:rPr>
                      <w:rFonts w:hint="default" w:ascii="Times New Roman" w:hAnsi="Times New Roman" w:cs="Times New Roman"/>
                      <w:color w:val="000000" w:themeColor="text1"/>
                      <w:sz w:val="18"/>
                      <w:szCs w:val="18"/>
                      <w:lang w:val="en-US" w:eastAsia="zh-CN"/>
                      <w14:textFill>
                        <w14:solidFill>
                          <w14:schemeClr w14:val="tx1"/>
                        </w14:solidFill>
                      </w14:textFill>
                    </w:rPr>
                    <w:t>2400</w:t>
                  </w:r>
                </w:p>
              </w:tc>
              <w:tc>
                <w:tcPr>
                  <w:tcW w:w="1086"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lang w:val="zh-CN"/>
                      <w14:textFill>
                        <w14:solidFill>
                          <w14:schemeClr w14:val="tx1"/>
                        </w14:solidFill>
                      </w14:textFill>
                    </w:rPr>
                  </w:pPr>
                  <w:r>
                    <w:rPr>
                      <w:rFonts w:hint="default" w:ascii="Times New Roman" w:hAnsi="Times New Roman" w:cs="Times New Roman"/>
                      <w:color w:val="000000" w:themeColor="text1"/>
                      <w:sz w:val="18"/>
                      <w:szCs w:val="18"/>
                      <w:lang w:val="zh-CN"/>
                      <w14:textFill>
                        <w14:solidFill>
                          <w14:schemeClr w14:val="tx1"/>
                        </w14:solidFill>
                      </w14:textFill>
                    </w:rPr>
                    <w:t>正常</w:t>
                  </w:r>
                </w:p>
              </w:tc>
            </w:tr>
          </w:tbl>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422" w:leftChars="0"/>
              <w:textAlignment w:val="auto"/>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lang w:eastAsia="zh-CN"/>
                <w14:textFill>
                  <w14:solidFill>
                    <w14:schemeClr w14:val="tx1"/>
                  </w14:solidFill>
                </w14:textFill>
              </w:rPr>
              <w:t>（</w:t>
            </w: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7</w:t>
            </w:r>
            <w:r>
              <w:rPr>
                <w:rFonts w:hint="default" w:ascii="Times New Roman" w:hAnsi="Times New Roman" w:cs="Times New Roman"/>
                <w:b/>
                <w:bCs/>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kern w:val="0"/>
                <w:sz w:val="21"/>
                <w:szCs w:val="21"/>
                <w:highlight w:val="none"/>
                <w:lang w:eastAsia="zh-CN"/>
                <w14:textFill>
                  <w14:solidFill>
                    <w14:schemeClr w14:val="tx1"/>
                  </w14:solidFill>
                </w14:textFill>
              </w:rPr>
              <w:t>监测计划</w:t>
            </w:r>
          </w:p>
          <w:p>
            <w:pPr>
              <w:pStyle w:val="26"/>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right="0" w:rightChars="0" w:firstLine="420" w:firstLineChars="200"/>
              <w:jc w:val="left"/>
              <w:textAlignment w:val="auto"/>
              <w:rPr>
                <w:rFonts w:hint="default" w:ascii="Times New Roman" w:hAnsi="Times New Roman" w:eastAsia="宋体" w:cs="Times New Roman"/>
                <w:b w:val="0"/>
                <w:bCs w:val="0"/>
                <w:color w:val="000000" w:themeColor="text1"/>
                <w:sz w:val="21"/>
                <w:szCs w:val="21"/>
                <w:highlight w:val="none"/>
                <w:vertAlign w:val="baseline"/>
                <w:lang w:eastAsia="zh-CN"/>
                <w14:textFill>
                  <w14:solidFill>
                    <w14:schemeClr w14:val="tx1"/>
                  </w14:solidFill>
                </w14:textFill>
              </w:rPr>
            </w:pPr>
            <w:r>
              <w:rPr>
                <w:rFonts w:hint="eastAsia" w:ascii="Times New Roman" w:eastAsia="宋体" w:cs="Times New Roman"/>
                <w:b w:val="0"/>
                <w:bCs w:val="0"/>
                <w:color w:val="000000" w:themeColor="text1"/>
                <w:sz w:val="21"/>
                <w:szCs w:val="21"/>
                <w:highlight w:val="none"/>
                <w:vertAlign w:val="baseline"/>
                <w:lang w:eastAsia="zh-CN"/>
                <w14:textFill>
                  <w14:solidFill>
                    <w14:schemeClr w14:val="tx1"/>
                  </w14:solidFill>
                </w14:textFill>
              </w:rPr>
              <w:t>根据调查，目前现有工程燃气炉配套脱销装置已安装在线监控措施，现有焊接、切割工序配套除尘设施正在整改中，尚未建设完成，目前现有工程暂未制定相关监测计划，因此，本次评价</w:t>
            </w:r>
            <w:r>
              <w:rPr>
                <w:rFonts w:hint="default" w:ascii="Times New Roman" w:hAnsi="Times New Roman" w:eastAsia="宋体" w:cs="Times New Roman"/>
                <w:b w:val="0"/>
                <w:bCs w:val="0"/>
                <w:color w:val="000000" w:themeColor="text1"/>
                <w:sz w:val="21"/>
                <w:szCs w:val="21"/>
                <w:highlight w:val="none"/>
                <w:vertAlign w:val="baseline"/>
                <w:lang w:eastAsia="zh-CN"/>
                <w14:textFill>
                  <w14:solidFill>
                    <w14:schemeClr w14:val="tx1"/>
                  </w14:solidFill>
                </w14:textFill>
              </w:rPr>
              <w:t>参考</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kern w:val="0"/>
                <w:sz w:val="21"/>
                <w:szCs w:val="21"/>
                <w:highlight w:val="none"/>
                <w:lang w:eastAsia="zh-CN"/>
                <w14:textFill>
                  <w14:solidFill>
                    <w14:schemeClr w14:val="tx1"/>
                  </w14:solidFill>
                </w14:textFill>
              </w:rPr>
              <w:t>排污单位自行监测技术指南</w:t>
            </w: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-总则</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》（HJ819-2017）、《排污许可证申请与核发技术规范 工业炉窑》（HJ1121-2020）</w:t>
            </w:r>
            <w:r>
              <w:rPr>
                <w:rFonts w:hint="default" w:ascii="Times New Roman" w:hAnsi="Times New Roman" w:eastAsia="宋体" w:cs="Times New Roman"/>
                <w:b w:val="0"/>
                <w:bCs w:val="0"/>
                <w:color w:val="000000" w:themeColor="text1"/>
                <w:sz w:val="21"/>
                <w:szCs w:val="21"/>
                <w:highlight w:val="none"/>
                <w:vertAlign w:val="baseline"/>
                <w:lang w:eastAsia="zh-CN"/>
                <w14:textFill>
                  <w14:solidFill>
                    <w14:schemeClr w14:val="tx1"/>
                  </w14:solidFill>
                </w14:textFill>
              </w:rPr>
              <w:t>相关要求，</w:t>
            </w:r>
            <w:r>
              <w:rPr>
                <w:rFonts w:hint="eastAsia" w:ascii="Times New Roman" w:eastAsia="宋体" w:cs="Times New Roman"/>
                <w:b w:val="0"/>
                <w:bCs w:val="0"/>
                <w:color w:val="000000" w:themeColor="text1"/>
                <w:sz w:val="21"/>
                <w:szCs w:val="21"/>
                <w:highlight w:val="none"/>
                <w:vertAlign w:val="baseline"/>
                <w:lang w:eastAsia="zh-CN"/>
                <w14:textFill>
                  <w14:solidFill>
                    <w14:schemeClr w14:val="tx1"/>
                  </w14:solidFill>
                </w14:textFill>
              </w:rPr>
              <w:t>对扩建后全厂有组织和无组织废气自行监测计划进行要求，具体</w:t>
            </w:r>
            <w:r>
              <w:rPr>
                <w:rFonts w:hint="default" w:ascii="Times New Roman" w:hAnsi="Times New Roman" w:eastAsia="宋体" w:cs="Times New Roman"/>
                <w:b w:val="0"/>
                <w:bCs w:val="0"/>
                <w:color w:val="000000" w:themeColor="text1"/>
                <w:sz w:val="21"/>
                <w:szCs w:val="21"/>
                <w:highlight w:val="none"/>
                <w:vertAlign w:val="baseline"/>
                <w:lang w:eastAsia="zh-CN"/>
                <w14:textFill>
                  <w14:solidFill>
                    <w14:schemeClr w14:val="tx1"/>
                  </w14:solidFill>
                </w14:textFill>
              </w:rPr>
              <w:t>自行监测计划如下：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有组织废气监测方案</w:t>
            </w:r>
          </w:p>
          <w:tbl>
            <w:tblPr>
              <w:tblStyle w:val="21"/>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84"/>
              <w:gridCol w:w="1533"/>
              <w:gridCol w:w="946"/>
              <w:gridCol w:w="412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监测点位</w:t>
                  </w:r>
                </w:p>
              </w:tc>
              <w:tc>
                <w:tcPr>
                  <w:tcW w:w="948"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监测指标</w:t>
                  </w:r>
                </w:p>
              </w:tc>
              <w:tc>
                <w:tcPr>
                  <w:tcW w:w="585"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监测频次</w:t>
                  </w:r>
                </w:p>
              </w:tc>
              <w:tc>
                <w:tcPr>
                  <w:tcW w:w="2548"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执行排放标准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pct"/>
                  <w:vMerge w:val="restart"/>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DA001出口</w:t>
                  </w:r>
                </w:p>
              </w:tc>
              <w:tc>
                <w:tcPr>
                  <w:tcW w:w="948"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颗粒物</w:t>
                  </w:r>
                </w:p>
              </w:tc>
              <w:tc>
                <w:tcPr>
                  <w:tcW w:w="585" w:type="pct"/>
                  <w:vMerge w:val="restar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eastAsia" w:ascii="Times New Roman" w:cs="Times New Roman" w:eastAsiaTheme="minorEastAsia"/>
                      <w:color w:val="000000" w:themeColor="text1"/>
                      <w:sz w:val="18"/>
                      <w:szCs w:val="18"/>
                      <w:highlight w:val="none"/>
                      <w:lang w:val="en-US" w:eastAsia="zh-CN"/>
                      <w14:textFill>
                        <w14:solidFill>
                          <w14:schemeClr w14:val="tx1"/>
                        </w14:solidFill>
                      </w14:textFill>
                    </w:rPr>
                    <w:t>自动监测</w:t>
                  </w:r>
                </w:p>
              </w:tc>
              <w:tc>
                <w:tcPr>
                  <w:tcW w:w="2548" w:type="pct"/>
                  <w:vMerge w:val="restart"/>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《工业炉窑大气污染物排放标准》（DB41/1066-2020）</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表</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（其他炉窑）</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pct"/>
                  <w:vMerge w:val="continue"/>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cyan"/>
                      <w:lang w:val="en-US" w:eastAsia="zh-CN"/>
                      <w14:textFill>
                        <w14:solidFill>
                          <w14:schemeClr w14:val="tx1"/>
                        </w14:solidFill>
                      </w14:textFill>
                    </w:rPr>
                  </w:pPr>
                </w:p>
              </w:tc>
              <w:tc>
                <w:tcPr>
                  <w:tcW w:w="948"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SO</w:t>
                  </w:r>
                  <w:r>
                    <w:rPr>
                      <w:rFonts w:hint="default" w:ascii="Times New Roman" w:hAnsi="Times New Roman" w:cs="Times New Roman" w:eastAsiaTheme="minorEastAsia"/>
                      <w:color w:val="000000" w:themeColor="text1"/>
                      <w:sz w:val="18"/>
                      <w:szCs w:val="18"/>
                      <w:highlight w:val="none"/>
                      <w:vertAlign w:val="subscript"/>
                      <w:lang w:val="en-US" w:eastAsia="zh-CN"/>
                      <w14:textFill>
                        <w14:solidFill>
                          <w14:schemeClr w14:val="tx1"/>
                        </w14:solidFill>
                      </w14:textFill>
                    </w:rPr>
                    <w:t>2</w:t>
                  </w:r>
                </w:p>
              </w:tc>
              <w:tc>
                <w:tcPr>
                  <w:tcW w:w="585" w:type="pct"/>
                  <w:vMerge w:val="continue"/>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cyan"/>
                      <w:lang w:val="en-US" w:eastAsia="zh-CN"/>
                      <w14:textFill>
                        <w14:solidFill>
                          <w14:schemeClr w14:val="tx1"/>
                        </w14:solidFill>
                      </w14:textFill>
                    </w:rPr>
                  </w:pPr>
                </w:p>
              </w:tc>
              <w:tc>
                <w:tcPr>
                  <w:tcW w:w="2548" w:type="pct"/>
                  <w:vMerge w:val="continue"/>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cya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pct"/>
                  <w:vMerge w:val="continue"/>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cyan"/>
                      <w:lang w:val="en-US" w:eastAsia="zh-CN"/>
                      <w14:textFill>
                        <w14:solidFill>
                          <w14:schemeClr w14:val="tx1"/>
                        </w14:solidFill>
                      </w14:textFill>
                    </w:rPr>
                  </w:pPr>
                </w:p>
              </w:tc>
              <w:tc>
                <w:tcPr>
                  <w:tcW w:w="948"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NO</w:t>
                  </w:r>
                  <w:r>
                    <w:rPr>
                      <w:rFonts w:hint="default" w:ascii="Times New Roman" w:hAnsi="Times New Roman" w:cs="Times New Roman" w:eastAsiaTheme="minorEastAsia"/>
                      <w:color w:val="000000" w:themeColor="text1"/>
                      <w:sz w:val="18"/>
                      <w:szCs w:val="18"/>
                      <w:highlight w:val="none"/>
                      <w:vertAlign w:val="subscript"/>
                      <w:lang w:val="en-US" w:eastAsia="zh-CN"/>
                      <w14:textFill>
                        <w14:solidFill>
                          <w14:schemeClr w14:val="tx1"/>
                        </w14:solidFill>
                      </w14:textFill>
                    </w:rPr>
                    <w:t>x</w:t>
                  </w:r>
                </w:p>
              </w:tc>
              <w:tc>
                <w:tcPr>
                  <w:tcW w:w="585" w:type="pct"/>
                  <w:vMerge w:val="continue"/>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cyan"/>
                      <w:lang w:val="en-US" w:eastAsia="zh-CN"/>
                      <w14:textFill>
                        <w14:solidFill>
                          <w14:schemeClr w14:val="tx1"/>
                        </w14:solidFill>
                      </w14:textFill>
                    </w:rPr>
                  </w:pPr>
                </w:p>
              </w:tc>
              <w:tc>
                <w:tcPr>
                  <w:tcW w:w="2548" w:type="pct"/>
                  <w:vMerge w:val="continue"/>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cya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pct"/>
                  <w:vMerge w:val="continue"/>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cyan"/>
                      <w:lang w:val="en-US" w:eastAsia="zh-CN"/>
                      <w14:textFill>
                        <w14:solidFill>
                          <w14:schemeClr w14:val="tx1"/>
                        </w14:solidFill>
                      </w14:textFill>
                    </w:rPr>
                  </w:pPr>
                </w:p>
              </w:tc>
              <w:tc>
                <w:tcPr>
                  <w:tcW w:w="948"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氨</w:t>
                  </w:r>
                </w:p>
              </w:tc>
              <w:tc>
                <w:tcPr>
                  <w:tcW w:w="585"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1</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次</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/年</w:t>
                  </w:r>
                </w:p>
              </w:tc>
              <w:tc>
                <w:tcPr>
                  <w:tcW w:w="2548" w:type="pct"/>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cyan"/>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《工业炉窑大气污染物排放标准》（DB41/1066-2020）</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表</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918" w:type="pct"/>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DA002出口</w:t>
                  </w:r>
                </w:p>
              </w:tc>
              <w:tc>
                <w:tcPr>
                  <w:tcW w:w="948"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颗粒物</w:t>
                  </w:r>
                </w:p>
              </w:tc>
              <w:tc>
                <w:tcPr>
                  <w:tcW w:w="585"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1</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次</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年</w:t>
                  </w:r>
                </w:p>
              </w:tc>
              <w:tc>
                <w:tcPr>
                  <w:tcW w:w="2548" w:type="pct"/>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《大气污染物综合排放标准》</w:t>
                  </w:r>
                </w:p>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（GB16297-1996）标准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918" w:type="pct"/>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DA003出口</w:t>
                  </w:r>
                </w:p>
              </w:tc>
              <w:tc>
                <w:tcPr>
                  <w:tcW w:w="948"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颗粒物</w:t>
                  </w:r>
                </w:p>
              </w:tc>
              <w:tc>
                <w:tcPr>
                  <w:tcW w:w="585"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1</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次</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年</w:t>
                  </w:r>
                </w:p>
              </w:tc>
              <w:tc>
                <w:tcPr>
                  <w:tcW w:w="2548" w:type="pct"/>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《大气污染物综合排放标准》</w:t>
                  </w:r>
                </w:p>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（GB16297-1996）标准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205" w:hRule="atLeast"/>
                <w:jc w:val="center"/>
              </w:trPr>
              <w:tc>
                <w:tcPr>
                  <w:tcW w:w="918" w:type="pct"/>
                  <w:vMerge w:val="restart"/>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DA004出口</w:t>
                  </w:r>
                </w:p>
              </w:tc>
              <w:tc>
                <w:tcPr>
                  <w:tcW w:w="948"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b w:val="0"/>
                      <w:bCs w:val="0"/>
                      <w:color w:val="000000" w:themeColor="text1"/>
                      <w:kern w:val="0"/>
                      <w:sz w:val="18"/>
                      <w:szCs w:val="18"/>
                      <w:highlight w:val="none"/>
                      <w:u w:val="none"/>
                      <w:lang w:val="en-US" w:eastAsia="zh-CN"/>
                      <w14:textFill>
                        <w14:solidFill>
                          <w14:schemeClr w14:val="tx1"/>
                        </w14:solidFill>
                      </w14:textFill>
                    </w:rPr>
                    <w:t>氢氟酸雾</w:t>
                  </w:r>
                </w:p>
              </w:tc>
              <w:tc>
                <w:tcPr>
                  <w:tcW w:w="585" w:type="pct"/>
                  <w:vMerge w:val="restar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1</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次</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年</w:t>
                  </w:r>
                </w:p>
              </w:tc>
              <w:tc>
                <w:tcPr>
                  <w:tcW w:w="2548" w:type="pct"/>
                  <w:vMerge w:val="restart"/>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《大气污染物综合排放标准》</w:t>
                  </w:r>
                </w:p>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（GB16297-1996）标准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269" w:hRule="atLeast"/>
                <w:jc w:val="center"/>
              </w:trPr>
              <w:tc>
                <w:tcPr>
                  <w:tcW w:w="918" w:type="pct"/>
                  <w:vMerge w:val="continue"/>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p>
              </w:tc>
              <w:tc>
                <w:tcPr>
                  <w:tcW w:w="948"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b w:val="0"/>
                      <w:bCs w:val="0"/>
                      <w:color w:val="000000" w:themeColor="text1"/>
                      <w:kern w:val="0"/>
                      <w:sz w:val="18"/>
                      <w:szCs w:val="18"/>
                      <w:highlight w:val="none"/>
                      <w:u w:val="none"/>
                      <w:lang w:val="en-US" w:eastAsia="zh-CN"/>
                      <w14:textFill>
                        <w14:solidFill>
                          <w14:schemeClr w14:val="tx1"/>
                        </w14:solidFill>
                      </w14:textFill>
                    </w:rPr>
                    <w:t>硝酸雾（NOx计）</w:t>
                  </w:r>
                </w:p>
              </w:tc>
              <w:tc>
                <w:tcPr>
                  <w:tcW w:w="585" w:type="pct"/>
                  <w:vMerge w:val="continue"/>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p>
              </w:tc>
              <w:tc>
                <w:tcPr>
                  <w:tcW w:w="2548" w:type="pct"/>
                  <w:vMerge w:val="continue"/>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918" w:type="pct"/>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DA00</w:t>
                  </w:r>
                  <w:r>
                    <w:rPr>
                      <w:rFonts w:hint="eastAsia"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5</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出口</w:t>
                  </w:r>
                </w:p>
              </w:tc>
              <w:tc>
                <w:tcPr>
                  <w:tcW w:w="948"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b w:val="0"/>
                      <w:bCs w:val="0"/>
                      <w:color w:val="000000" w:themeColor="text1"/>
                      <w:kern w:val="0"/>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颗粒物</w:t>
                  </w:r>
                </w:p>
              </w:tc>
              <w:tc>
                <w:tcPr>
                  <w:tcW w:w="585"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1</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次</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年</w:t>
                  </w:r>
                </w:p>
              </w:tc>
              <w:tc>
                <w:tcPr>
                  <w:tcW w:w="2548" w:type="pct"/>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《大气污染物综合排放标准》</w:t>
                  </w:r>
                </w:p>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（GB16297-1996）标准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269" w:hRule="atLeast"/>
                <w:jc w:val="center"/>
              </w:trPr>
              <w:tc>
                <w:tcPr>
                  <w:tcW w:w="918" w:type="pct"/>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DA00</w:t>
                  </w:r>
                  <w:r>
                    <w:rPr>
                      <w:rFonts w:hint="eastAsia"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6</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出口</w:t>
                  </w:r>
                </w:p>
              </w:tc>
              <w:tc>
                <w:tcPr>
                  <w:tcW w:w="948"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b w:val="0"/>
                      <w:bCs w:val="0"/>
                      <w:color w:val="000000" w:themeColor="text1"/>
                      <w:kern w:val="0"/>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颗粒物</w:t>
                  </w:r>
                </w:p>
              </w:tc>
              <w:tc>
                <w:tcPr>
                  <w:tcW w:w="585"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1</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次</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年</w:t>
                  </w:r>
                </w:p>
              </w:tc>
              <w:tc>
                <w:tcPr>
                  <w:tcW w:w="2548" w:type="pct"/>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《大气污染物综合排放标准》</w:t>
                  </w:r>
                </w:p>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（GB16297-1996）标准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5000" w:type="pct"/>
                  <w:gridSpan w:val="4"/>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left"/>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eastAsia" w:ascii="Times New Roman" w:cs="Times New Roman" w:eastAsiaTheme="minorEastAsia"/>
                      <w:color w:val="000000" w:themeColor="text1"/>
                      <w:sz w:val="18"/>
                      <w:szCs w:val="18"/>
                      <w:highlight w:val="none"/>
                      <w:lang w:eastAsia="zh-CN"/>
                      <w14:textFill>
                        <w14:solidFill>
                          <w14:schemeClr w14:val="tx1"/>
                        </w14:solidFill>
                      </w14:textFill>
                    </w:rPr>
                    <w:t>备注：</w:t>
                  </w:r>
                  <w:r>
                    <w:rPr>
                      <w:rFonts w:hint="eastAsia" w:ascii="Times New Roman" w:cs="Times New Roman" w:eastAsiaTheme="minorEastAsia"/>
                      <w:color w:val="000000" w:themeColor="text1"/>
                      <w:sz w:val="18"/>
                      <w:szCs w:val="18"/>
                      <w:highlight w:val="none"/>
                      <w:lang w:val="en-US" w:eastAsia="zh-CN"/>
                      <w14:textFill>
                        <w14:solidFill>
                          <w14:schemeClr w14:val="tx1"/>
                        </w14:solidFill>
                      </w14:textFill>
                    </w:rPr>
                    <w:t>DA005和DA006出口均为现有工程正在整改完成后新增的排气筒</w:t>
                  </w:r>
                </w:p>
              </w:tc>
            </w:tr>
          </w:tbl>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无组织废气监测计划表</w:t>
            </w:r>
          </w:p>
          <w:tbl>
            <w:tblPr>
              <w:tblStyle w:val="21"/>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87"/>
              <w:gridCol w:w="1185"/>
              <w:gridCol w:w="1275"/>
              <w:gridCol w:w="411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监测点位</w:t>
                  </w:r>
                </w:p>
              </w:tc>
              <w:tc>
                <w:tcPr>
                  <w:tcW w:w="1185" w:type="dxa"/>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监测指标</w:t>
                  </w:r>
                </w:p>
              </w:tc>
              <w:tc>
                <w:tcPr>
                  <w:tcW w:w="1275" w:type="dxa"/>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监测频次</w:t>
                  </w:r>
                </w:p>
              </w:tc>
              <w:tc>
                <w:tcPr>
                  <w:tcW w:w="4119" w:type="dxa"/>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执行排放标准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上风向厂界外20米处1个点位</w:t>
                  </w:r>
                </w:p>
              </w:tc>
              <w:tc>
                <w:tcPr>
                  <w:tcW w:w="1185" w:type="dxa"/>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颗粒物</w:t>
                  </w:r>
                  <w:r>
                    <w:rPr>
                      <w:rFonts w:hint="eastAsia" w:ascii="Times New Roman" w:eastAsia="宋体" w:cs="Times New Roman"/>
                      <w:color w:val="000000" w:themeColor="text1"/>
                      <w:sz w:val="18"/>
                      <w:szCs w:val="18"/>
                      <w:highlight w:val="none"/>
                      <w:lang w:eastAsia="zh-CN"/>
                      <w14:textFill>
                        <w14:solidFill>
                          <w14:schemeClr w14:val="tx1"/>
                        </w14:solidFill>
                      </w14:textFill>
                    </w:rPr>
                    <w:t>、氢氟酸、</w:t>
                  </w:r>
                  <w:r>
                    <w:rPr>
                      <w:rFonts w:hint="eastAsia" w:ascii="Times New Roman" w:eastAsia="宋体" w:cs="Times New Roman"/>
                      <w:color w:val="000000" w:themeColor="text1"/>
                      <w:sz w:val="18"/>
                      <w:szCs w:val="18"/>
                      <w:highlight w:val="none"/>
                      <w:lang w:val="en-US" w:eastAsia="zh-CN"/>
                      <w14:textFill>
                        <w14:solidFill>
                          <w14:schemeClr w14:val="tx1"/>
                        </w14:solidFill>
                      </w14:textFill>
                    </w:rPr>
                    <w:t>NOx</w:t>
                  </w:r>
                </w:p>
              </w:tc>
              <w:tc>
                <w:tcPr>
                  <w:tcW w:w="1275" w:type="dxa"/>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1次/</w:t>
                  </w:r>
                  <w:r>
                    <w:rPr>
                      <w:rFonts w:hint="default" w:ascii="Times New Roman" w:hAnsi="Times New Roman" w:cs="Times New Roman"/>
                      <w:color w:val="000000" w:themeColor="text1"/>
                      <w:sz w:val="18"/>
                      <w:szCs w:val="18"/>
                      <w:highlight w:val="none"/>
                      <w:lang w:eastAsia="zh-CN"/>
                      <w14:textFill>
                        <w14:solidFill>
                          <w14:schemeClr w14:val="tx1"/>
                        </w14:solidFill>
                      </w14:textFill>
                    </w:rPr>
                    <w:t>半年</w:t>
                  </w:r>
                </w:p>
              </w:tc>
              <w:tc>
                <w:tcPr>
                  <w:tcW w:w="4119" w:type="dxa"/>
                  <w:vMerge w:val="restar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《大气污染物综合排放标准》</w:t>
                  </w:r>
                </w:p>
                <w:p>
                  <w:pPr>
                    <w:pStyle w:val="26"/>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（GB16297-1996）标准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下风向厂界外10米处3个点位</w:t>
                  </w:r>
                </w:p>
              </w:tc>
              <w:tc>
                <w:tcPr>
                  <w:tcW w:w="1185" w:type="dxa"/>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颗粒物</w:t>
                  </w:r>
                  <w:r>
                    <w:rPr>
                      <w:rFonts w:hint="eastAsia" w:ascii="Times New Roman" w:eastAsia="宋体" w:cs="Times New Roman"/>
                      <w:color w:val="000000" w:themeColor="text1"/>
                      <w:sz w:val="18"/>
                      <w:szCs w:val="18"/>
                      <w:highlight w:val="none"/>
                      <w:lang w:eastAsia="zh-CN"/>
                      <w14:textFill>
                        <w14:solidFill>
                          <w14:schemeClr w14:val="tx1"/>
                        </w14:solidFill>
                      </w14:textFill>
                    </w:rPr>
                    <w:t>、氢氟酸、</w:t>
                  </w:r>
                  <w:r>
                    <w:rPr>
                      <w:rFonts w:hint="eastAsia" w:ascii="Times New Roman" w:eastAsia="宋体" w:cs="Times New Roman"/>
                      <w:color w:val="000000" w:themeColor="text1"/>
                      <w:sz w:val="18"/>
                      <w:szCs w:val="18"/>
                      <w:highlight w:val="none"/>
                      <w:lang w:val="en-US" w:eastAsia="zh-CN"/>
                      <w14:textFill>
                        <w14:solidFill>
                          <w14:schemeClr w14:val="tx1"/>
                        </w14:solidFill>
                      </w14:textFill>
                    </w:rPr>
                    <w:t>NOx</w:t>
                  </w:r>
                </w:p>
              </w:tc>
              <w:tc>
                <w:tcPr>
                  <w:tcW w:w="1275" w:type="dxa"/>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1次/</w:t>
                  </w:r>
                  <w:r>
                    <w:rPr>
                      <w:rFonts w:hint="default" w:ascii="Times New Roman" w:hAnsi="Times New Roman" w:cs="Times New Roman"/>
                      <w:color w:val="000000" w:themeColor="text1"/>
                      <w:sz w:val="18"/>
                      <w:szCs w:val="18"/>
                      <w:highlight w:val="none"/>
                      <w:lang w:eastAsia="zh-CN"/>
                      <w14:textFill>
                        <w14:solidFill>
                          <w14:schemeClr w14:val="tx1"/>
                        </w14:solidFill>
                      </w14:textFill>
                    </w:rPr>
                    <w:t>半</w:t>
                  </w:r>
                  <w:r>
                    <w:rPr>
                      <w:rFonts w:hint="default" w:ascii="Times New Roman" w:hAnsi="Times New Roman" w:eastAsia="宋体" w:cs="Times New Roman"/>
                      <w:color w:val="000000" w:themeColor="text1"/>
                      <w:sz w:val="18"/>
                      <w:szCs w:val="18"/>
                      <w:highlight w:val="none"/>
                      <w14:textFill>
                        <w14:solidFill>
                          <w14:schemeClr w14:val="tx1"/>
                        </w14:solidFill>
                      </w14:textFill>
                    </w:rPr>
                    <w:t>年</w:t>
                  </w:r>
                </w:p>
              </w:tc>
              <w:tc>
                <w:tcPr>
                  <w:tcW w:w="4119" w:type="dxa"/>
                  <w:vMerge w:val="continue"/>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p>
              </w:tc>
            </w:tr>
          </w:tbl>
          <w:p>
            <w:pPr>
              <w:keepLines w:val="0"/>
              <w:pageBreakBefore w:val="0"/>
              <w:widowControl w:val="0"/>
              <w:kinsoku/>
              <w:wordWrap/>
              <w:topLinePunct w:val="0"/>
              <w:autoSpaceDE w:val="0"/>
              <w:autoSpaceDN w:val="0"/>
              <w:bidi w:val="0"/>
              <w:adjustRightInd/>
              <w:snapToGrid/>
              <w:spacing w:line="360" w:lineRule="auto"/>
              <w:ind w:firstLine="422" w:firstLineChars="200"/>
              <w:jc w:val="left"/>
              <w:textAlignment w:val="auto"/>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2、废水</w:t>
            </w:r>
          </w:p>
          <w:p>
            <w:pPr>
              <w:keepLines w:val="0"/>
              <w:pageBreakBefore w:val="0"/>
              <w:widowControl w:val="0"/>
              <w:kinsoku/>
              <w:wordWrap/>
              <w:topLinePunct w:val="0"/>
              <w:autoSpaceDE w:val="0"/>
              <w:autoSpaceDN w:val="0"/>
              <w:bidi w:val="0"/>
              <w:adjustRightInd/>
              <w:snapToGrid/>
              <w:spacing w:line="360" w:lineRule="auto"/>
              <w:ind w:firstLine="422" w:firstLineChars="200"/>
              <w:jc w:val="left"/>
              <w:textAlignment w:val="auto"/>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（1）废水污染源强及治理措施</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fldChar w:fldCharType="begin"/>
            </w: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instrText xml:space="preserve"> = 1 \* GB3 \* MERGEFORMAT </w:instrText>
            </w: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fldChar w:fldCharType="separate"/>
            </w:r>
            <w:r>
              <w:rPr>
                <w:rFonts w:hint="default" w:ascii="Times New Roman" w:hAnsi="Times New Roman" w:cs="Times New Roman"/>
                <w:b/>
                <w:bCs/>
                <w:color w:val="000000" w:themeColor="text1"/>
                <w14:textFill>
                  <w14:solidFill>
                    <w14:schemeClr w14:val="tx1"/>
                  </w14:solidFill>
                </w14:textFill>
              </w:rPr>
              <w:t>①</w:t>
            </w: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fldChar w:fldCharType="end"/>
            </w: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生活污水</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本次扩建工程新增劳动定员20人，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均不在厂区内食宿，年工作时间为300天，</w:t>
            </w:r>
            <w:r>
              <w:rPr>
                <w:rFonts w:hint="default" w:ascii="Times New Roman" w:hAnsi="Times New Roman" w:eastAsia="宋体" w:cs="Times New Roman"/>
                <w:b w:val="0"/>
                <w:bCs w:val="0"/>
                <w:color w:val="000000" w:themeColor="text1"/>
                <w:sz w:val="21"/>
                <w:szCs w:val="21"/>
                <w:highlight w:val="none"/>
                <w:vertAlign w:val="baseline"/>
                <w:lang w:eastAsia="zh-CN"/>
                <w14:textFill>
                  <w14:solidFill>
                    <w14:schemeClr w14:val="tx1"/>
                  </w14:solidFill>
                </w14:textFill>
              </w:rPr>
              <w:t>根据</w:t>
            </w:r>
            <w:r>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t>《</w:t>
            </w:r>
            <w:r>
              <w:rPr>
                <w:rFonts w:hint="default" w:ascii="Times New Roman" w:hAnsi="Times New Roman" w:cs="Times New Roman"/>
                <w:b w:val="0"/>
                <w:bCs w:val="0"/>
                <w:color w:val="000000" w:themeColor="text1"/>
                <w:sz w:val="21"/>
                <w:szCs w:val="21"/>
                <w:highlight w:val="none"/>
                <w:vertAlign w:val="baseline"/>
                <w:lang w:eastAsia="zh-CN"/>
                <w14:textFill>
                  <w14:solidFill>
                    <w14:schemeClr w14:val="tx1"/>
                  </w14:solidFill>
                </w14:textFill>
              </w:rPr>
              <w:t>建筑给水排水标准</w:t>
            </w:r>
            <w:r>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t>》（GB50015-2019）</w:t>
            </w:r>
            <w:r>
              <w:rPr>
                <w:rFonts w:hint="default" w:ascii="Times New Roman" w:hAnsi="Times New Roman" w:cs="Times New Roman"/>
                <w:b w:val="0"/>
                <w:bCs w:val="0"/>
                <w:color w:val="000000" w:themeColor="text1"/>
                <w:sz w:val="21"/>
                <w:szCs w:val="21"/>
                <w:highlight w:val="none"/>
                <w:vertAlign w:val="baseli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t>职工生活用水量按</w:t>
            </w: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40</w:t>
            </w:r>
            <w:r>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t>L/（</w:t>
            </w: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p</w:t>
            </w:r>
            <w:r>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t>·d）计</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，则生活用水量为0.8</w:t>
            </w:r>
            <w:r>
              <w:rPr>
                <w:rFonts w:hint="default" w:ascii="Times New Roman" w:hAnsi="Times New Roman" w:cs="Times New Roman"/>
                <w:bCs/>
                <w:color w:val="000000" w:themeColor="text1"/>
                <w:kern w:val="0"/>
                <w:sz w:val="21"/>
                <w:szCs w:val="21"/>
                <w:highlight w:val="none"/>
                <w14:textFill>
                  <w14:solidFill>
                    <w14:schemeClr w14:val="tx1"/>
                  </w14:solidFill>
                </w14:textFill>
              </w:rPr>
              <w:t>m</w:t>
            </w:r>
            <w:r>
              <w:rPr>
                <w:rFonts w:hint="default" w:ascii="Times New Roman" w:hAnsi="Times New Roman" w:cs="Times New Roman"/>
                <w:bCs/>
                <w:color w:val="000000" w:themeColor="text1"/>
                <w:kern w:val="0"/>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kern w:val="0"/>
                <w:sz w:val="21"/>
                <w:szCs w:val="21"/>
                <w:highlight w:val="none"/>
                <w14:textFill>
                  <w14:solidFill>
                    <w14:schemeClr w14:val="tx1"/>
                  </w14:solidFill>
                </w14:textFill>
              </w:rPr>
              <w:t>/</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d（240</w:t>
            </w:r>
            <w:r>
              <w:rPr>
                <w:rFonts w:hint="default" w:ascii="Times New Roman" w:hAnsi="Times New Roman" w:cs="Times New Roman"/>
                <w:bCs/>
                <w:color w:val="000000" w:themeColor="text1"/>
                <w:kern w:val="0"/>
                <w:sz w:val="21"/>
                <w:szCs w:val="21"/>
                <w:highlight w:val="none"/>
                <w14:textFill>
                  <w14:solidFill>
                    <w14:schemeClr w14:val="tx1"/>
                  </w14:solidFill>
                </w14:textFill>
              </w:rPr>
              <w:t>m</w:t>
            </w:r>
            <w:r>
              <w:rPr>
                <w:rFonts w:hint="default" w:ascii="Times New Roman" w:hAnsi="Times New Roman" w:cs="Times New Roman"/>
                <w:bCs/>
                <w:color w:val="000000" w:themeColor="text1"/>
                <w:kern w:val="0"/>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kern w:val="0"/>
                <w:sz w:val="21"/>
                <w:szCs w:val="21"/>
                <w:highlight w:val="none"/>
                <w14:textFill>
                  <w14:solidFill>
                    <w14:schemeClr w14:val="tx1"/>
                  </w14:solidFill>
                </w14:textFill>
              </w:rPr>
              <w:t>/</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a），排污系数取0.8，则生活污水产生量为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0.64</w:t>
            </w:r>
            <w:r>
              <w:rPr>
                <w:rFonts w:hint="default" w:ascii="Times New Roman" w:hAnsi="Times New Roman" w:cs="Times New Roman"/>
                <w:bCs/>
                <w:color w:val="000000" w:themeColor="text1"/>
                <w:kern w:val="0"/>
                <w:sz w:val="21"/>
                <w:szCs w:val="21"/>
                <w:highlight w:val="none"/>
                <w14:textFill>
                  <w14:solidFill>
                    <w14:schemeClr w14:val="tx1"/>
                  </w14:solidFill>
                </w14:textFill>
              </w:rPr>
              <w:t>m</w:t>
            </w:r>
            <w:r>
              <w:rPr>
                <w:rFonts w:hint="default" w:ascii="Times New Roman" w:hAnsi="Times New Roman" w:cs="Times New Roman"/>
                <w:bCs/>
                <w:color w:val="000000" w:themeColor="text1"/>
                <w:kern w:val="0"/>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kern w:val="0"/>
                <w:sz w:val="21"/>
                <w:szCs w:val="21"/>
                <w:highlight w:val="none"/>
                <w14:textFill>
                  <w14:solidFill>
                    <w14:schemeClr w14:val="tx1"/>
                  </w14:solidFill>
                </w14:textFill>
              </w:rPr>
              <w:t>/</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d（192</w:t>
            </w:r>
            <w:r>
              <w:rPr>
                <w:rFonts w:hint="default" w:ascii="Times New Roman" w:hAnsi="Times New Roman" w:cs="Times New Roman"/>
                <w:bCs/>
                <w:color w:val="000000" w:themeColor="text1"/>
                <w:kern w:val="0"/>
                <w:sz w:val="21"/>
                <w:szCs w:val="21"/>
                <w:highlight w:val="none"/>
                <w14:textFill>
                  <w14:solidFill>
                    <w14:schemeClr w14:val="tx1"/>
                  </w14:solidFill>
                </w14:textFill>
              </w:rPr>
              <w:t>m</w:t>
            </w:r>
            <w:r>
              <w:rPr>
                <w:rFonts w:hint="default" w:ascii="Times New Roman" w:hAnsi="Times New Roman" w:cs="Times New Roman"/>
                <w:bCs/>
                <w:color w:val="000000" w:themeColor="text1"/>
                <w:kern w:val="0"/>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kern w:val="0"/>
                <w:sz w:val="21"/>
                <w:szCs w:val="21"/>
                <w:highlight w:val="none"/>
                <w14:textFill>
                  <w14:solidFill>
                    <w14:schemeClr w14:val="tx1"/>
                  </w14:solidFill>
                </w14:textFill>
              </w:rPr>
              <w:t>/</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a），生活污水依托现有化粪池处理后，通过区域污水管网排入新乡县综合污水处理厂进一步处理后，排入东孟姜女河。由于本次扩建工程生活污水个污染物产排情况同现有工程相同，因此本次评价类比现有工程生活污水产排情况，本次扩建项目废水情况汇总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废水产生及排放情况汇总表</w:t>
            </w:r>
          </w:p>
          <w:tbl>
            <w:tblPr>
              <w:tblStyle w:val="22"/>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4"/>
              <w:gridCol w:w="815"/>
              <w:gridCol w:w="970"/>
              <w:gridCol w:w="1079"/>
              <w:gridCol w:w="881"/>
              <w:gridCol w:w="694"/>
              <w:gridCol w:w="645"/>
              <w:gridCol w:w="1048"/>
              <w:gridCol w:w="852"/>
              <w:gridCol w:w="67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2"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t>污染源</w:t>
                  </w:r>
                </w:p>
              </w:tc>
              <w:tc>
                <w:tcPr>
                  <w:tcW w:w="504"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t>污染物</w:t>
                  </w:r>
                </w:p>
              </w:tc>
              <w:tc>
                <w:tcPr>
                  <w:tcW w:w="600"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t>废水产生量（</w:t>
                  </w: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m</w:t>
                  </w:r>
                  <w:r>
                    <w:rPr>
                      <w:rFonts w:hint="default" w:ascii="Times New Roman" w:hAnsi="Times New Roman" w:cs="Times New Roman"/>
                      <w:color w:val="000000" w:themeColor="text1"/>
                      <w:sz w:val="18"/>
                      <w:szCs w:val="18"/>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/a</w:t>
                  </w:r>
                  <w:r>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t>）</w:t>
                  </w:r>
                </w:p>
              </w:tc>
              <w:tc>
                <w:tcPr>
                  <w:tcW w:w="1212" w:type="pct"/>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t>污染物产生</w:t>
                  </w:r>
                </w:p>
              </w:tc>
              <w:tc>
                <w:tcPr>
                  <w:tcW w:w="828" w:type="pct"/>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t>治理措施</w:t>
                  </w:r>
                </w:p>
              </w:tc>
              <w:tc>
                <w:tcPr>
                  <w:tcW w:w="1592" w:type="pct"/>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t>污染物排放</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pPr>
                </w:p>
              </w:tc>
              <w:tc>
                <w:tcPr>
                  <w:tcW w:w="504"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pPr>
                </w:p>
              </w:tc>
              <w:tc>
                <w:tcPr>
                  <w:tcW w:w="600"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vertAlign w:val="baseline"/>
                      <w:lang w:eastAsia="zh-CN"/>
                      <w14:textFill>
                        <w14:solidFill>
                          <w14:schemeClr w14:val="tx1"/>
                        </w14:solidFill>
                      </w14:textFill>
                    </w:rPr>
                  </w:pPr>
                </w:p>
              </w:tc>
              <w:tc>
                <w:tcPr>
                  <w:tcW w:w="6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t>产生浓度（</w:t>
                  </w: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mg/L</w:t>
                  </w:r>
                  <w:r>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t>）</w:t>
                  </w:r>
                </w:p>
              </w:tc>
              <w:tc>
                <w:tcPr>
                  <w:tcW w:w="54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t>产生量（</w:t>
                  </w: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t/a</w:t>
                  </w:r>
                  <w:r>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t>）</w:t>
                  </w:r>
                </w:p>
              </w:tc>
              <w:tc>
                <w:tcPr>
                  <w:tcW w:w="42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t>处理设施</w:t>
                  </w:r>
                </w:p>
              </w:tc>
              <w:tc>
                <w:tcPr>
                  <w:tcW w:w="3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t>处理效率</w:t>
                  </w: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w:t>
                  </w:r>
                </w:p>
              </w:tc>
              <w:tc>
                <w:tcPr>
                  <w:tcW w:w="64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t>排放浓度（</w:t>
                  </w: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mg/L</w:t>
                  </w:r>
                  <w:r>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t>）</w:t>
                  </w:r>
                </w:p>
              </w:tc>
              <w:tc>
                <w:tcPr>
                  <w:tcW w:w="52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t>排放量（</w:t>
                  </w: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t/a</w:t>
                  </w:r>
                  <w:r>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t>）</w:t>
                  </w:r>
                </w:p>
              </w:tc>
              <w:tc>
                <w:tcPr>
                  <w:tcW w:w="41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vertAlign w:val="baseline"/>
                      <w:lang w:eastAsia="zh-CN"/>
                      <w14:textFill>
                        <w14:solidFill>
                          <w14:schemeClr w14:val="tx1"/>
                        </w14:solidFill>
                      </w14:textFill>
                    </w:rPr>
                    <w:t>排放</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vertAlign w:val="baseline"/>
                      <w:lang w:eastAsia="zh-CN"/>
                      <w14:textFill>
                        <w14:solidFill>
                          <w14:schemeClr w14:val="tx1"/>
                        </w14:solidFill>
                      </w14:textFill>
                    </w:rPr>
                    <w:t>去向</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2"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t>生活污水</w:t>
                  </w:r>
                </w:p>
              </w:tc>
              <w:tc>
                <w:tcPr>
                  <w:tcW w:w="5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COD</w:t>
                  </w:r>
                </w:p>
              </w:tc>
              <w:tc>
                <w:tcPr>
                  <w:tcW w:w="600"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192</w:t>
                  </w:r>
                </w:p>
              </w:tc>
              <w:tc>
                <w:tcPr>
                  <w:tcW w:w="6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vertAlign w:val="baseline"/>
                      <w:lang w:val="en-US" w:eastAsia="zh-CN" w:bidi="ar-SA"/>
                      <w14:textFill>
                        <w14:solidFill>
                          <w14:schemeClr w14:val="tx1"/>
                        </w14:solidFill>
                      </w14:textFill>
                    </w:rPr>
                    <w:t>300</w:t>
                  </w:r>
                </w:p>
              </w:tc>
              <w:tc>
                <w:tcPr>
                  <w:tcW w:w="545"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sz w:val="18"/>
                      <w:szCs w:val="18"/>
                      <w:highlight w:val="none"/>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0.0576</w:t>
                  </w:r>
                </w:p>
              </w:tc>
              <w:tc>
                <w:tcPr>
                  <w:tcW w:w="429"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eastAsia="zh-CN"/>
                      <w14:textFill>
                        <w14:solidFill>
                          <w14:schemeClr w14:val="tx1"/>
                        </w14:solidFill>
                      </w14:textFill>
                    </w:rPr>
                    <w:t>化粪池</w:t>
                  </w:r>
                </w:p>
              </w:tc>
              <w:tc>
                <w:tcPr>
                  <w:tcW w:w="3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87</w:t>
                  </w:r>
                </w:p>
              </w:tc>
              <w:tc>
                <w:tcPr>
                  <w:tcW w:w="64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vertAlign w:val="baseline"/>
                      <w:lang w:val="en-US" w:eastAsia="zh-CN" w:bidi="ar-SA"/>
                      <w14:textFill>
                        <w14:solidFill>
                          <w14:schemeClr w14:val="tx1"/>
                        </w14:solidFill>
                      </w14:textFill>
                    </w:rPr>
                    <w:t>40</w:t>
                  </w:r>
                </w:p>
              </w:tc>
              <w:tc>
                <w:tcPr>
                  <w:tcW w:w="527"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sz w:val="18"/>
                      <w:szCs w:val="18"/>
                      <w:highlight w:val="none"/>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0.0077</w:t>
                  </w:r>
                </w:p>
              </w:tc>
              <w:tc>
                <w:tcPr>
                  <w:tcW w:w="416"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vertAlign w:val="baseli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vertAlign w:val="baseline"/>
                      <w:lang w:eastAsia="zh-CN"/>
                      <w14:textFill>
                        <w14:solidFill>
                          <w14:schemeClr w14:val="tx1"/>
                        </w14:solidFill>
                      </w14:textFill>
                    </w:rPr>
                    <w:t>新乡县综合污水处理厂</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pPr>
                </w:p>
              </w:tc>
              <w:tc>
                <w:tcPr>
                  <w:tcW w:w="5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vertAlign w:val="baseline"/>
                      <w:lang w:val="en-US" w:eastAsia="zh-CN"/>
                      <w14:textFill>
                        <w14:solidFill>
                          <w14:schemeClr w14:val="tx1"/>
                        </w14:solidFill>
                      </w14:textFill>
                    </w:rPr>
                    <w:t>SS</w:t>
                  </w:r>
                </w:p>
              </w:tc>
              <w:tc>
                <w:tcPr>
                  <w:tcW w:w="600"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p>
              </w:tc>
              <w:tc>
                <w:tcPr>
                  <w:tcW w:w="6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vertAlign w:val="baseline"/>
                      <w:lang w:val="en-US" w:eastAsia="zh-CN" w:bidi="ar-SA"/>
                      <w14:textFill>
                        <w14:solidFill>
                          <w14:schemeClr w14:val="tx1"/>
                        </w14:solidFill>
                      </w14:textFill>
                    </w:rPr>
                    <w:t>150</w:t>
                  </w:r>
                </w:p>
              </w:tc>
              <w:tc>
                <w:tcPr>
                  <w:tcW w:w="545"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sz w:val="18"/>
                      <w:szCs w:val="18"/>
                      <w:highlight w:val="none"/>
                      <w:vertAlign w:val="baseli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0.0288</w:t>
                  </w:r>
                </w:p>
              </w:tc>
              <w:tc>
                <w:tcPr>
                  <w:tcW w:w="429"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14:textFill>
                        <w14:solidFill>
                          <w14:schemeClr w14:val="tx1"/>
                        </w14:solidFill>
                      </w14:textFill>
                    </w:rPr>
                  </w:pPr>
                </w:p>
              </w:tc>
              <w:tc>
                <w:tcPr>
                  <w:tcW w:w="3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96</w:t>
                  </w:r>
                </w:p>
              </w:tc>
              <w:tc>
                <w:tcPr>
                  <w:tcW w:w="64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vertAlign w:val="baseline"/>
                      <w:lang w:val="en-US" w:eastAsia="zh-CN" w:bidi="ar-SA"/>
                      <w14:textFill>
                        <w14:solidFill>
                          <w14:schemeClr w14:val="tx1"/>
                        </w14:solidFill>
                      </w14:textFill>
                    </w:rPr>
                    <w:t>6</w:t>
                  </w:r>
                </w:p>
              </w:tc>
              <w:tc>
                <w:tcPr>
                  <w:tcW w:w="527"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sz w:val="18"/>
                      <w:szCs w:val="18"/>
                      <w:highlight w:val="none"/>
                      <w:vertAlign w:val="baseli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0.0012</w:t>
                  </w:r>
                </w:p>
              </w:tc>
              <w:tc>
                <w:tcPr>
                  <w:tcW w:w="416"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pPr>
                </w:p>
              </w:tc>
              <w:tc>
                <w:tcPr>
                  <w:tcW w:w="5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kern w:val="2"/>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NH</w:t>
                  </w:r>
                  <w:r>
                    <w:rPr>
                      <w:rFonts w:hint="default" w:ascii="Times New Roman" w:hAnsi="Times New Roman" w:cs="Times New Roman"/>
                      <w:color w:val="000000" w:themeColor="text1"/>
                      <w:sz w:val="18"/>
                      <w:szCs w:val="18"/>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-N</w:t>
                  </w:r>
                </w:p>
              </w:tc>
              <w:tc>
                <w:tcPr>
                  <w:tcW w:w="600"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p>
              </w:tc>
              <w:tc>
                <w:tcPr>
                  <w:tcW w:w="6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vertAlign w:val="baseline"/>
                      <w:lang w:val="en-US" w:eastAsia="zh-CN" w:bidi="ar-SA"/>
                      <w14:textFill>
                        <w14:solidFill>
                          <w14:schemeClr w14:val="tx1"/>
                        </w14:solidFill>
                      </w14:textFill>
                    </w:rPr>
                    <w:t>27</w:t>
                  </w:r>
                </w:p>
              </w:tc>
              <w:tc>
                <w:tcPr>
                  <w:tcW w:w="545"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sz w:val="18"/>
                      <w:szCs w:val="18"/>
                      <w:highlight w:val="none"/>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0.0052</w:t>
                  </w:r>
                </w:p>
              </w:tc>
              <w:tc>
                <w:tcPr>
                  <w:tcW w:w="429"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14:textFill>
                        <w14:solidFill>
                          <w14:schemeClr w14:val="tx1"/>
                        </w14:solidFill>
                      </w14:textFill>
                    </w:rPr>
                  </w:pPr>
                </w:p>
              </w:tc>
              <w:tc>
                <w:tcPr>
                  <w:tcW w:w="3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94</w:t>
                  </w:r>
                </w:p>
              </w:tc>
              <w:tc>
                <w:tcPr>
                  <w:tcW w:w="64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vertAlign w:val="baseline"/>
                      <w:lang w:val="en-US" w:eastAsia="zh-CN" w:bidi="ar-SA"/>
                      <w14:textFill>
                        <w14:solidFill>
                          <w14:schemeClr w14:val="tx1"/>
                        </w14:solidFill>
                      </w14:textFill>
                    </w:rPr>
                    <w:t>1.69</w:t>
                  </w:r>
                </w:p>
              </w:tc>
              <w:tc>
                <w:tcPr>
                  <w:tcW w:w="527"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sz w:val="18"/>
                      <w:szCs w:val="18"/>
                      <w:highlight w:val="none"/>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0.0003</w:t>
                  </w:r>
                </w:p>
              </w:tc>
              <w:tc>
                <w:tcPr>
                  <w:tcW w:w="416"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2"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eastAsia="zh-CN"/>
                      <w14:textFill>
                        <w14:solidFill>
                          <w14:schemeClr w14:val="tx1"/>
                        </w14:solidFill>
                      </w14:textFill>
                    </w:rPr>
                  </w:pPr>
                </w:p>
              </w:tc>
              <w:tc>
                <w:tcPr>
                  <w:tcW w:w="5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kern w:val="2"/>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TP</w:t>
                  </w:r>
                </w:p>
              </w:tc>
              <w:tc>
                <w:tcPr>
                  <w:tcW w:w="600"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p>
              </w:tc>
              <w:tc>
                <w:tcPr>
                  <w:tcW w:w="6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vertAlign w:val="baseline"/>
                      <w:lang w:val="en-US" w:eastAsia="zh-CN" w:bidi="ar-SA"/>
                      <w14:textFill>
                        <w14:solidFill>
                          <w14:schemeClr w14:val="tx1"/>
                        </w14:solidFill>
                      </w14:textFill>
                    </w:rPr>
                    <w:t>0.26</w:t>
                  </w:r>
                </w:p>
              </w:tc>
              <w:tc>
                <w:tcPr>
                  <w:tcW w:w="545"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sz w:val="18"/>
                      <w:szCs w:val="18"/>
                      <w:highlight w:val="none"/>
                      <w:vertAlign w:val="baseli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0.0001</w:t>
                  </w:r>
                </w:p>
              </w:tc>
              <w:tc>
                <w:tcPr>
                  <w:tcW w:w="429"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14:textFill>
                        <w14:solidFill>
                          <w14:schemeClr w14:val="tx1"/>
                        </w14:solidFill>
                      </w14:textFill>
                    </w:rPr>
                  </w:pPr>
                </w:p>
              </w:tc>
              <w:tc>
                <w:tcPr>
                  <w:tcW w:w="3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vertAlign w:val="baseline"/>
                      <w:lang w:val="en-US" w:eastAsia="zh-CN"/>
                      <w14:textFill>
                        <w14:solidFill>
                          <w14:schemeClr w14:val="tx1"/>
                        </w14:solidFill>
                      </w14:textFill>
                    </w:rPr>
                    <w:t>0</w:t>
                  </w:r>
                </w:p>
              </w:tc>
              <w:tc>
                <w:tcPr>
                  <w:tcW w:w="64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vertAlign w:val="baseline"/>
                      <w:lang w:val="en-US" w:eastAsia="zh-CN" w:bidi="ar-SA"/>
                      <w14:textFill>
                        <w14:solidFill>
                          <w14:schemeClr w14:val="tx1"/>
                        </w14:solidFill>
                      </w14:textFill>
                    </w:rPr>
                    <w:t>0.26</w:t>
                  </w:r>
                </w:p>
              </w:tc>
              <w:tc>
                <w:tcPr>
                  <w:tcW w:w="527"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sz w:val="18"/>
                      <w:szCs w:val="18"/>
                      <w:highlight w:val="none"/>
                      <w:vertAlign w:val="baseline"/>
                      <w14:textFill>
                        <w14:solidFill>
                          <w14:schemeClr w14:val="tx1"/>
                        </w14:solidFill>
                      </w14:textFill>
                    </w:rPr>
                  </w:pPr>
                  <w:r>
                    <w:rPr>
                      <w:rFonts w:hint="default" w:ascii="Times New Roman" w:hAnsi="Times New Roman" w:eastAsia="宋体" w:cs="Times New Roman"/>
                      <w:i w:val="0"/>
                      <w:iCs w:val="0"/>
                      <w:color w:val="000000" w:themeColor="text1"/>
                      <w:kern w:val="0"/>
                      <w:sz w:val="18"/>
                      <w:szCs w:val="18"/>
                      <w:u w:val="none"/>
                      <w:lang w:val="en-US" w:eastAsia="zh-CN" w:bidi="ar"/>
                      <w14:textFill>
                        <w14:solidFill>
                          <w14:schemeClr w14:val="tx1"/>
                        </w14:solidFill>
                      </w14:textFill>
                    </w:rPr>
                    <w:t>0.0001</w:t>
                  </w:r>
                </w:p>
              </w:tc>
              <w:tc>
                <w:tcPr>
                  <w:tcW w:w="416"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14:textFill>
                        <w14:solidFill>
                          <w14:schemeClr w14:val="tx1"/>
                        </w14:solidFill>
                      </w14:textFill>
                    </w:rPr>
                  </w:pPr>
                </w:p>
              </w:tc>
            </w:tr>
          </w:tbl>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jc w:val="both"/>
              <w:textAlignment w:val="auto"/>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由上表可知，项目外排综合废水能够满足新乡县综合污水处理厂收水标准要求，项目废水经新乡县综合污水处理厂处理后排放至东孟姜女河，污水处理厂处理后污水达到《地表水环境质量标准》（GB3838-2002）V类标准，</w:t>
            </w:r>
            <w:r>
              <w:rPr>
                <w:rFonts w:hint="default" w:ascii="Times New Roman" w:hAnsi="Times New Roman" w:cs="Times New Roman"/>
                <w:color w:val="000000" w:themeColor="text1"/>
                <w:szCs w:val="21"/>
                <w14:textFill>
                  <w14:solidFill>
                    <w14:schemeClr w14:val="tx1"/>
                  </w14:solidFill>
                </w14:textFill>
              </w:rPr>
              <w:t>即</w:t>
            </w:r>
            <w:r>
              <w:rPr>
                <w:rFonts w:hint="default" w:ascii="Times New Roman" w:hAnsi="Times New Roman" w:cs="Times New Roman"/>
                <w:color w:val="000000" w:themeColor="text1"/>
                <w14:textFill>
                  <w14:solidFill>
                    <w14:schemeClr w14:val="tx1"/>
                  </w14:solidFill>
                </w14:textFill>
              </w:rPr>
              <w:t>C</w:t>
            </w:r>
            <w:r>
              <w:rPr>
                <w:rFonts w:hint="default" w:ascii="Times New Roman" w:hAnsi="Times New Roman" w:cs="Times New Roman"/>
                <w:color w:val="000000" w:themeColor="text1"/>
                <w:highlight w:val="none"/>
                <w14:textFill>
                  <w14:solidFill>
                    <w14:schemeClr w14:val="tx1"/>
                  </w14:solidFill>
                </w14:textFill>
              </w:rPr>
              <w:t>OD 40mg/L、</w:t>
            </w:r>
            <w:r>
              <w:rPr>
                <w:rFonts w:hint="default" w:ascii="Times New Roman" w:hAnsi="Times New Roman" w:cs="Times New Roman"/>
                <w:color w:val="000000" w:themeColor="text1"/>
                <w:highlight w:val="none"/>
                <w:lang w:val="en-US" w:eastAsia="zh-CN"/>
                <w14:textFill>
                  <w14:solidFill>
                    <w14:schemeClr w14:val="tx1"/>
                  </w14:solidFill>
                </w14:textFill>
              </w:rPr>
              <w:t>BOD10mg/L</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SS 10mg/L、NH</w:t>
            </w:r>
            <w:r>
              <w:rPr>
                <w:rFonts w:hint="default" w:ascii="Times New Roman" w:hAnsi="Times New Roman" w:cs="Times New Roman"/>
                <w:color w:val="000000" w:themeColor="text1"/>
                <w:highlight w:val="none"/>
                <w:vertAlign w:val="sub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-N 2mg/L、TP 0.4mg/L</w:t>
            </w:r>
            <w:r>
              <w:rPr>
                <w:rFonts w:hint="default" w:ascii="Times New Roman" w:hAnsi="Times New Roman" w:cs="Times New Roman"/>
                <w:color w:val="000000" w:themeColor="text1"/>
                <w:highlight w:val="none"/>
                <w:lang w:eastAsia="zh-CN"/>
                <w14:textFill>
                  <w14:solidFill>
                    <w14:schemeClr w14:val="tx1"/>
                  </w14:solidFill>
                </w14:textFill>
              </w:rPr>
              <w:t>，废水最终</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后排入东孟姜女河，而后汇入卫河。经污水污水处理厂处理后外排环境量为：COD0.0077t/a，BOD</w:t>
            </w:r>
            <w:r>
              <w:rPr>
                <w:rFonts w:hint="default" w:ascii="Times New Roman" w:hAnsi="Times New Roman" w:cs="Times New Roman"/>
                <w:bCs/>
                <w:color w:val="000000" w:themeColor="text1"/>
                <w:kern w:val="0"/>
                <w:sz w:val="21"/>
                <w:szCs w:val="21"/>
                <w:highlight w:val="none"/>
                <w:vertAlign w:val="subscript"/>
                <w:lang w:val="en-US" w:eastAsia="zh-CN"/>
                <w14:textFill>
                  <w14:solidFill>
                    <w14:schemeClr w14:val="tx1"/>
                  </w14:solidFill>
                </w14:textFill>
              </w:rPr>
              <w:t>5</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0.0019t/a，SS0.0019t/a，NH</w:t>
            </w:r>
            <w:r>
              <w:rPr>
                <w:rFonts w:hint="default" w:ascii="Times New Roman" w:hAnsi="Times New Roman" w:cs="Times New Roman"/>
                <w:bCs/>
                <w:color w:val="000000" w:themeColor="text1"/>
                <w:kern w:val="0"/>
                <w:sz w:val="21"/>
                <w:szCs w:val="21"/>
                <w:highlight w:val="none"/>
                <w:vertAlign w:val="subscript"/>
                <w:lang w:val="en-US" w:eastAsia="zh-CN"/>
                <w14:textFill>
                  <w14:solidFill>
                    <w14:schemeClr w14:val="tx1"/>
                  </w14:solidFill>
                </w14:textFill>
              </w:rPr>
              <w:t>3</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-N0.0004t/a，TP0.0001t/a。</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leftChars="0" w:right="0" w:rightChars="0" w:firstLine="406" w:firstLineChars="200"/>
              <w:jc w:val="both"/>
              <w:textAlignment w:val="auto"/>
              <w:rPr>
                <w:rFonts w:hint="default" w:ascii="Times New Roman" w:hAnsi="Times New Roman" w:cs="Times New Roman"/>
                <w:b/>
                <w:bCs w:val="0"/>
                <w:color w:val="000000" w:themeColor="text1"/>
                <w:spacing w:val="-4"/>
                <w:sz w:val="21"/>
                <w:szCs w:val="21"/>
                <w:highlight w:val="none"/>
                <w:lang w:eastAsia="zh-CN"/>
                <w14:textFill>
                  <w14:solidFill>
                    <w14:schemeClr w14:val="tx1"/>
                  </w14:solidFill>
                </w14:textFill>
              </w:rPr>
            </w:pPr>
            <w:r>
              <w:rPr>
                <w:rFonts w:hint="default" w:ascii="Times New Roman" w:hAnsi="Times New Roman" w:cs="Times New Roman"/>
                <w:b/>
                <w:bCs w:val="0"/>
                <w:color w:val="000000" w:themeColor="text1"/>
                <w:spacing w:val="-4"/>
                <w:sz w:val="21"/>
                <w:szCs w:val="21"/>
                <w:highlight w:val="none"/>
                <w:lang w:eastAsia="zh-CN"/>
                <w14:textFill>
                  <w14:solidFill>
                    <w14:schemeClr w14:val="tx1"/>
                  </w14:solidFill>
                </w14:textFill>
              </w:rPr>
              <w:fldChar w:fldCharType="begin"/>
            </w:r>
            <w:r>
              <w:rPr>
                <w:rFonts w:hint="default" w:ascii="Times New Roman" w:hAnsi="Times New Roman" w:cs="Times New Roman"/>
                <w:b/>
                <w:bCs w:val="0"/>
                <w:color w:val="000000" w:themeColor="text1"/>
                <w:spacing w:val="-4"/>
                <w:sz w:val="21"/>
                <w:szCs w:val="21"/>
                <w:highlight w:val="none"/>
                <w:lang w:eastAsia="zh-CN"/>
                <w14:textFill>
                  <w14:solidFill>
                    <w14:schemeClr w14:val="tx1"/>
                  </w14:solidFill>
                </w14:textFill>
              </w:rPr>
              <w:instrText xml:space="preserve"> = 2 \* GB3 \* MERGEFORMAT </w:instrText>
            </w:r>
            <w:r>
              <w:rPr>
                <w:rFonts w:hint="default" w:ascii="Times New Roman" w:hAnsi="Times New Roman" w:cs="Times New Roman"/>
                <w:b/>
                <w:bCs w:val="0"/>
                <w:color w:val="000000" w:themeColor="text1"/>
                <w:spacing w:val="-4"/>
                <w:sz w:val="21"/>
                <w:szCs w:val="21"/>
                <w:highlight w:val="none"/>
                <w:lang w:eastAsia="zh-CN"/>
                <w14:textFill>
                  <w14:solidFill>
                    <w14:schemeClr w14:val="tx1"/>
                  </w14:solidFill>
                </w14:textFill>
              </w:rPr>
              <w:fldChar w:fldCharType="separate"/>
            </w:r>
            <w:r>
              <w:rPr>
                <w:rFonts w:hint="default" w:ascii="Times New Roman" w:hAnsi="Times New Roman" w:cs="Times New Roman"/>
                <w:color w:val="000000" w:themeColor="text1"/>
                <w:sz w:val="21"/>
                <w:szCs w:val="21"/>
                <w:highlight w:val="none"/>
                <w14:textFill>
                  <w14:solidFill>
                    <w14:schemeClr w14:val="tx1"/>
                  </w14:solidFill>
                </w14:textFill>
              </w:rPr>
              <w:t>②</w:t>
            </w:r>
            <w:r>
              <w:rPr>
                <w:rFonts w:hint="default" w:ascii="Times New Roman" w:hAnsi="Times New Roman" w:cs="Times New Roman"/>
                <w:b/>
                <w:bCs w:val="0"/>
                <w:color w:val="000000" w:themeColor="text1"/>
                <w:spacing w:val="-4"/>
                <w:sz w:val="21"/>
                <w:szCs w:val="21"/>
                <w:highlight w:val="none"/>
                <w:lang w:eastAsia="zh-CN"/>
                <w14:textFill>
                  <w14:solidFill>
                    <w14:schemeClr w14:val="tx1"/>
                  </w14:solidFill>
                </w14:textFill>
              </w:rPr>
              <w:fldChar w:fldCharType="end"/>
            </w:r>
            <w:r>
              <w:rPr>
                <w:rFonts w:hint="default" w:ascii="Times New Roman" w:hAnsi="Times New Roman" w:cs="Times New Roman"/>
                <w:b/>
                <w:bCs w:val="0"/>
                <w:color w:val="000000" w:themeColor="text1"/>
                <w:spacing w:val="-4"/>
                <w:sz w:val="21"/>
                <w:szCs w:val="21"/>
                <w:highlight w:val="none"/>
                <w:lang w:eastAsia="zh-CN"/>
                <w14:textFill>
                  <w14:solidFill>
                    <w14:schemeClr w14:val="tx1"/>
                  </w14:solidFill>
                </w14:textFill>
              </w:rPr>
              <w:t>生产废水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both"/>
              <w:textAlignment w:val="auto"/>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14:textFill>
                  <w14:solidFill>
                    <w14:schemeClr w14:val="tx1"/>
                  </w14:solidFill>
                </w14:textFill>
              </w:rPr>
              <w:t>本次扩建工程生产废水主要为酸洗过程冲洗废水和</w:t>
            </w:r>
            <w:r>
              <w:rPr>
                <w:rFonts w:hint="eastAsia" w:cs="Times New Roman"/>
                <w:color w:val="000000" w:themeColor="text1"/>
                <w:highlight w:val="none"/>
                <w:lang w:val="en-US" w:eastAsia="zh-CN"/>
                <w14:textFill>
                  <w14:solidFill>
                    <w14:schemeClr w14:val="tx1"/>
                  </w14:solidFill>
                </w14:textFill>
              </w:rPr>
              <w:t>两级酸雾喷淋塔</w:t>
            </w:r>
            <w:r>
              <w:rPr>
                <w:rFonts w:hint="default" w:ascii="Times New Roman" w:hAnsi="Times New Roman" w:eastAsia="宋体" w:cs="Times New Roman"/>
                <w:color w:val="000000" w:themeColor="text1"/>
                <w:highlight w:val="none"/>
                <w:lang w:eastAsia="zh-CN"/>
                <w14:textFill>
                  <w14:solidFill>
                    <w14:schemeClr w14:val="tx1"/>
                  </w14:solidFill>
                </w14:textFill>
              </w:rPr>
              <w:t>定期排放废水，废水产生情况介绍如下：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2" w:firstLineChars="20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eastAsia="zh-CN"/>
                <w14:textFill>
                  <w14:solidFill>
                    <w14:schemeClr w14:val="tx1"/>
                  </w14:solidFill>
                </w14:textFill>
              </w:rPr>
              <w:t>酸洗冲洗废水：</w:t>
            </w:r>
            <w:r>
              <w:rPr>
                <w:rFonts w:hint="default" w:ascii="Times New Roman" w:hAnsi="Times New Roman" w:eastAsia="宋体" w:cs="Times New Roman"/>
                <w:color w:val="000000" w:themeColor="text1"/>
                <w:highlight w:val="none"/>
                <w:lang w:eastAsia="zh-CN"/>
                <w14:textFill>
                  <w14:solidFill>
                    <w14:schemeClr w14:val="tx1"/>
                  </w14:solidFill>
                </w14:textFill>
              </w:rPr>
              <w:t>本项目不锈钢压力容器大部分</w:t>
            </w:r>
            <w:r>
              <w:rPr>
                <w:rFonts w:hint="eastAsia" w:cs="Times New Roman"/>
                <w:color w:val="000000" w:themeColor="text1"/>
                <w:highlight w:val="none"/>
                <w:lang w:eastAsia="zh-CN"/>
                <w14:textFill>
                  <w14:solidFill>
                    <w14:schemeClr w14:val="tx1"/>
                  </w14:solidFill>
                </w14:textFill>
              </w:rPr>
              <w:t>酸洗钝化膏</w:t>
            </w:r>
            <w:r>
              <w:rPr>
                <w:rFonts w:hint="default" w:ascii="Times New Roman" w:hAnsi="Times New Roman" w:eastAsia="宋体" w:cs="Times New Roman"/>
                <w:color w:val="000000" w:themeColor="text1"/>
                <w:highlight w:val="none"/>
                <w:lang w:eastAsia="zh-CN"/>
                <w14:textFill>
                  <w14:solidFill>
                    <w14:schemeClr w14:val="tx1"/>
                  </w14:solidFill>
                </w14:textFill>
              </w:rPr>
              <w:t>擦拭后仍有少量残留，项目采用自来水冲洗，冲洗废水进入污水站处理后回用于冲洗，根据建设单位资料，</w:t>
            </w:r>
            <w:r>
              <w:rPr>
                <w:rFonts w:hint="default" w:ascii="Times New Roman" w:hAnsi="Times New Roman" w:cs="Times New Roman"/>
                <w:color w:val="000000" w:themeColor="text1"/>
                <w:highlight w:val="none"/>
                <w:lang w:eastAsia="zh-CN"/>
                <w14:textFill>
                  <w14:solidFill>
                    <w14:schemeClr w14:val="tx1"/>
                  </w14:solidFill>
                </w14:textFill>
              </w:rPr>
              <w:t>工程</w:t>
            </w:r>
            <w:r>
              <w:rPr>
                <w:rFonts w:hint="default" w:ascii="Times New Roman" w:hAnsi="Times New Roman" w:eastAsia="宋体" w:cs="Times New Roman"/>
                <w:color w:val="000000" w:themeColor="text1"/>
                <w:highlight w:val="none"/>
                <w:lang w:eastAsia="zh-CN"/>
                <w14:textFill>
                  <w14:solidFill>
                    <w14:schemeClr w14:val="tx1"/>
                  </w14:solidFill>
                </w14:textFill>
              </w:rPr>
              <w:t>平均每天冲洗</w:t>
            </w:r>
            <w:r>
              <w:rPr>
                <w:rFonts w:hint="default" w:ascii="Times New Roman" w:hAnsi="Times New Roman" w:cs="Times New Roman"/>
                <w:color w:val="000000" w:themeColor="text1"/>
                <w:highlight w:val="none"/>
                <w:lang w:eastAsia="zh-CN"/>
                <w14:textFill>
                  <w14:solidFill>
                    <w14:schemeClr w14:val="tx1"/>
                  </w14:solidFill>
                </w14:textFill>
              </w:rPr>
              <w:t>不锈钢类</w:t>
            </w:r>
            <w:r>
              <w:rPr>
                <w:rFonts w:hint="default" w:ascii="Times New Roman" w:hAnsi="Times New Roman" w:eastAsia="宋体" w:cs="Times New Roman"/>
                <w:color w:val="000000" w:themeColor="text1"/>
                <w:highlight w:val="none"/>
                <w:lang w:eastAsia="zh-CN"/>
                <w14:textFill>
                  <w14:solidFill>
                    <w14:schemeClr w14:val="tx1"/>
                  </w14:solidFill>
                </w14:textFill>
              </w:rPr>
              <w:t>封头面积为</w:t>
            </w:r>
            <w:r>
              <w:rPr>
                <w:rFonts w:hint="eastAsia" w:cs="Times New Roman"/>
                <w:color w:val="000000" w:themeColor="text1"/>
                <w:highlight w:val="none"/>
                <w:lang w:val="en-US" w:eastAsia="zh-CN"/>
                <w14:textFill>
                  <w14:solidFill>
                    <w14:schemeClr w14:val="tx1"/>
                  </w14:solidFill>
                </w14:textFill>
              </w:rPr>
              <w:t>94.2</w:t>
            </w:r>
            <w:r>
              <w:rPr>
                <w:rFonts w:hint="default" w:ascii="Times New Roman" w:hAnsi="Times New Roman" w:eastAsia="宋体" w:cs="Times New Roman"/>
                <w:color w:val="000000" w:themeColor="text1"/>
                <w:highlight w:val="none"/>
                <w:lang w:eastAsia="zh-CN"/>
                <w14:textFill>
                  <w14:solidFill>
                    <w14:schemeClr w14:val="tx1"/>
                  </w14:solidFill>
                </w14:textFill>
              </w:rPr>
              <w:t>m</w:t>
            </w:r>
            <w:r>
              <w:rPr>
                <w:rFonts w:hint="default" w:ascii="Times New Roman" w:hAnsi="Times New Roman" w:eastAsia="宋体" w:cs="Times New Roman"/>
                <w:color w:val="000000" w:themeColor="text1"/>
                <w:highlight w:val="none"/>
                <w:vertAlign w:val="superscript"/>
                <w:lang w:eastAsia="zh-CN"/>
                <w14:textFill>
                  <w14:solidFill>
                    <w14:schemeClr w14:val="tx1"/>
                  </w14:solidFill>
                </w14:textFill>
              </w:rPr>
              <w:t>2</w:t>
            </w:r>
            <w:r>
              <w:rPr>
                <w:rFonts w:hint="default" w:ascii="Times New Roman" w:hAnsi="Times New Roman" w:cs="Times New Roman"/>
                <w:color w:val="000000" w:themeColor="text1"/>
                <w:highlight w:val="none"/>
                <w:vertAlign w:val="baseline"/>
                <w:lang w:eastAsia="zh-CN"/>
                <w14:textFill>
                  <w14:solidFill>
                    <w14:schemeClr w14:val="tx1"/>
                  </w14:solidFill>
                </w14:textFill>
              </w:rPr>
              <w:t>（按照每天冲洗</w:t>
            </w:r>
            <w:r>
              <w:rPr>
                <w:rFonts w:hint="eastAsia" w:cs="Times New Roman"/>
                <w:color w:val="000000" w:themeColor="text1"/>
                <w:highlight w:val="none"/>
                <w:vertAlign w:val="baseline"/>
                <w:lang w:val="en-US" w:eastAsia="zh-CN"/>
                <w14:textFill>
                  <w14:solidFill>
                    <w14:schemeClr w14:val="tx1"/>
                  </w14:solidFill>
                </w14:textFill>
              </w:rPr>
              <w:t>2~3</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个封头，</w:t>
            </w:r>
            <w:r>
              <w:rPr>
                <w:rFonts w:hint="eastAsia" w:cs="Times New Roman"/>
                <w:color w:val="000000" w:themeColor="text1"/>
                <w:highlight w:val="none"/>
                <w:vertAlign w:val="baseline"/>
                <w:lang w:val="en-US" w:eastAsia="zh-CN"/>
                <w14:textFill>
                  <w14:solidFill>
                    <w14:schemeClr w14:val="tx1"/>
                  </w14:solidFill>
                </w14:textFill>
              </w:rPr>
              <w:t>按照最大3个计算，</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封头均表面积按照球冠表面积近似折算，经计算每个封头表面约31.4m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eastAsia="zh-CN"/>
                <w14:textFill>
                  <w14:solidFill>
                    <w14:schemeClr w14:val="tx1"/>
                  </w14:solidFill>
                </w14:textFill>
              </w:rPr>
              <w:t>，冲洗用水量按照</w:t>
            </w:r>
            <w:r>
              <w:rPr>
                <w:rFonts w:hint="default" w:ascii="Times New Roman" w:hAnsi="Times New Roman" w:eastAsia="宋体" w:cs="Times New Roman"/>
                <w:color w:val="000000" w:themeColor="text1"/>
                <w:highlight w:val="none"/>
                <w:lang w:val="en-US" w:eastAsia="zh-CN"/>
                <w14:textFill>
                  <w14:solidFill>
                    <w14:schemeClr w14:val="tx1"/>
                  </w14:solidFill>
                </w14:textFill>
              </w:rPr>
              <w:t>50L/（m</w:t>
            </w:r>
            <w:r>
              <w:rPr>
                <w:rFonts w:hint="default" w:ascii="Times New Roman" w:hAnsi="Times New Roman" w:eastAsia="宋体"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工件）</w:t>
            </w:r>
            <w:r>
              <w:rPr>
                <w:rFonts w:hint="default" w:ascii="Times New Roman" w:hAnsi="Times New Roman" w:eastAsia="宋体" w:cs="Times New Roman"/>
                <w:color w:val="000000" w:themeColor="text1"/>
                <w:highlight w:val="none"/>
                <w:lang w:eastAsia="zh-CN"/>
                <w14:textFill>
                  <w14:solidFill>
                    <w14:schemeClr w14:val="tx1"/>
                  </w14:solidFill>
                </w14:textFill>
              </w:rPr>
              <w:t>，全年工作按300天，则</w:t>
            </w:r>
            <w:r>
              <w:rPr>
                <w:rFonts w:hint="default" w:ascii="Times New Roman" w:hAnsi="Times New Roman" w:cs="Times New Roman"/>
                <w:color w:val="000000" w:themeColor="text1"/>
                <w:highlight w:val="none"/>
                <w:lang w:eastAsia="zh-CN"/>
                <w14:textFill>
                  <w14:solidFill>
                    <w14:schemeClr w14:val="tx1"/>
                  </w14:solidFill>
                </w14:textFill>
              </w:rPr>
              <w:t>所需</w:t>
            </w:r>
            <w:r>
              <w:rPr>
                <w:rFonts w:hint="default" w:ascii="Times New Roman" w:hAnsi="Times New Roman" w:eastAsia="宋体" w:cs="Times New Roman"/>
                <w:color w:val="000000" w:themeColor="text1"/>
                <w:highlight w:val="none"/>
                <w:lang w:eastAsia="zh-CN"/>
                <w14:textFill>
                  <w14:solidFill>
                    <w14:schemeClr w14:val="tx1"/>
                  </w14:solidFill>
                </w14:textFill>
              </w:rPr>
              <w:t>冲洗用水量为</w:t>
            </w:r>
            <w:r>
              <w:rPr>
                <w:rFonts w:hint="eastAsia" w:cs="Times New Roman"/>
                <w:color w:val="000000" w:themeColor="text1"/>
                <w:highlight w:val="none"/>
                <w:lang w:val="en-US" w:eastAsia="zh-CN"/>
                <w14:textFill>
                  <w14:solidFill>
                    <w14:schemeClr w14:val="tx1"/>
                  </w14:solidFill>
                </w14:textFill>
              </w:rPr>
              <w:t>4.71</w:t>
            </w:r>
            <w:r>
              <w:rPr>
                <w:rFonts w:hint="default" w:ascii="Times New Roman" w:hAnsi="Times New Roman" w:cs="Times New Roman"/>
                <w:color w:val="000000" w:themeColor="text1"/>
                <w:highlight w:val="none"/>
                <w:lang w:val="en-US"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w:t>
            </w:r>
            <w:r>
              <w:rPr>
                <w:rFonts w:hint="eastAsia" w:cs="Times New Roman"/>
                <w:color w:val="000000" w:themeColor="text1"/>
                <w:highlight w:val="none"/>
                <w:lang w:val="en-US" w:eastAsia="zh-CN"/>
                <w14:textFill>
                  <w14:solidFill>
                    <w14:schemeClr w14:val="tx1"/>
                  </w14:solidFill>
                </w14:textFill>
              </w:rPr>
              <w:t>1413</w:t>
            </w:r>
            <w:r>
              <w:rPr>
                <w:rFonts w:hint="default" w:ascii="Times New Roman" w:hAnsi="Times New Roman" w:cs="Times New Roman"/>
                <w:color w:val="000000" w:themeColor="text1"/>
                <w:highlight w:val="none"/>
                <w:lang w:val="en-US"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eastAsia="zh-CN"/>
                <w14:textFill>
                  <w14:solidFill>
                    <w14:schemeClr w14:val="tx1"/>
                  </w14:solidFill>
                </w14:textFill>
              </w:rPr>
              <w:t>废水</w:t>
            </w:r>
            <w:r>
              <w:rPr>
                <w:rFonts w:hint="default" w:ascii="Times New Roman" w:hAnsi="Times New Roman" w:eastAsia="宋体" w:cs="Times New Roman"/>
                <w:color w:val="000000" w:themeColor="text1"/>
                <w:highlight w:val="none"/>
                <w:lang w:eastAsia="zh-CN"/>
                <w14:textFill>
                  <w14:solidFill>
                    <w14:schemeClr w14:val="tx1"/>
                  </w14:solidFill>
                </w14:textFill>
              </w:rPr>
              <w:t>排放系数按</w:t>
            </w:r>
            <w:r>
              <w:rPr>
                <w:rFonts w:hint="eastAsia" w:cs="Times New Roman"/>
                <w:color w:val="000000" w:themeColor="text1"/>
                <w:highlight w:val="none"/>
                <w:lang w:val="en-US" w:eastAsia="zh-CN"/>
                <w14:textFill>
                  <w14:solidFill>
                    <w14:schemeClr w14:val="tx1"/>
                  </w14:solidFill>
                </w14:textFill>
              </w:rPr>
              <w:t>0.95</w:t>
            </w:r>
            <w:r>
              <w:rPr>
                <w:rFonts w:hint="default" w:ascii="Times New Roman" w:hAnsi="Times New Roman" w:eastAsia="宋体" w:cs="Times New Roman"/>
                <w:color w:val="000000" w:themeColor="text1"/>
                <w:highlight w:val="none"/>
                <w:lang w:eastAsia="zh-CN"/>
                <w14:textFill>
                  <w14:solidFill>
                    <w14:schemeClr w14:val="tx1"/>
                  </w14:solidFill>
                </w14:textFill>
              </w:rPr>
              <w:t>，则排放量约</w:t>
            </w:r>
            <w:r>
              <w:rPr>
                <w:rFonts w:hint="eastAsia" w:cs="Times New Roman"/>
                <w:color w:val="000000" w:themeColor="text1"/>
                <w:highlight w:val="none"/>
                <w:lang w:val="en-US" w:eastAsia="zh-CN"/>
                <w14:textFill>
                  <w14:solidFill>
                    <w14:schemeClr w14:val="tx1"/>
                  </w14:solidFill>
                </w14:textFill>
              </w:rPr>
              <w:t>4.4745</w:t>
            </w:r>
            <w:r>
              <w:rPr>
                <w:rFonts w:hint="default" w:ascii="Times New Roman" w:hAnsi="Times New Roman" w:cs="Times New Roman"/>
                <w:color w:val="000000" w:themeColor="text1"/>
                <w:highlight w:val="none"/>
                <w:lang w:val="en-US"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w:t>
            </w:r>
            <w:r>
              <w:rPr>
                <w:rFonts w:hint="eastAsia" w:cs="Times New Roman"/>
                <w:color w:val="000000" w:themeColor="text1"/>
                <w:highlight w:val="none"/>
                <w:lang w:val="en-US" w:eastAsia="zh-CN"/>
                <w14:textFill>
                  <w14:solidFill>
                    <w14:schemeClr w14:val="tx1"/>
                  </w14:solidFill>
                </w14:textFill>
              </w:rPr>
              <w:t>1342.35</w:t>
            </w:r>
            <w:r>
              <w:rPr>
                <w:rFonts w:hint="default" w:ascii="Times New Roman" w:hAnsi="Times New Roman" w:cs="Times New Roman"/>
                <w:color w:val="000000" w:themeColor="text1"/>
                <w:highlight w:val="none"/>
                <w:lang w:val="en-US"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w:t>
            </w:r>
            <w:r>
              <w:rPr>
                <w:rFonts w:hint="default" w:ascii="Times New Roman" w:hAnsi="Times New Roman" w:cs="Times New Roman"/>
                <w:color w:val="000000" w:themeColor="text1"/>
                <w:highlight w:val="none"/>
                <w:lang w:eastAsia="zh-CN"/>
                <w14:textFill>
                  <w14:solidFill>
                    <w14:schemeClr w14:val="tx1"/>
                  </w14:solidFill>
                </w14:textFill>
              </w:rPr>
              <w:t>，废水经收集后，通过自建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污水处理设施处理后，循环使用。</w:t>
            </w:r>
          </w:p>
          <w:p>
            <w:pPr>
              <w:pStyle w:val="8"/>
              <w:keepNext w:val="0"/>
              <w:keepLines w:val="0"/>
              <w:pageBreakBefore w:val="0"/>
              <w:widowControl/>
              <w:kinsoku/>
              <w:wordWrap/>
              <w:overflowPunct/>
              <w:topLinePunct w:val="0"/>
              <w:autoSpaceDE/>
              <w:autoSpaceDN/>
              <w:bidi w:val="0"/>
              <w:adjustRightInd/>
              <w:snapToGrid/>
              <w:spacing w:before="0" w:after="0" w:line="360" w:lineRule="auto"/>
              <w:ind w:right="0"/>
              <w:textAlignment w:val="auto"/>
              <w:rPr>
                <w:rFonts w:hint="default" w:ascii="Times New Roman" w:hAnsi="Times New Roman" w:cs="Times New Roman"/>
                <w:color w:val="000000" w:themeColor="text1"/>
                <w:sz w:val="21"/>
                <w:szCs w:val="21"/>
                <w:highlight w:val="cyan"/>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喷淋定期排放废水：</w:t>
            </w:r>
            <w:r>
              <w:rPr>
                <w:rFonts w:hint="default" w:ascii="Times New Roman" w:hAnsi="Times New Roman" w:cs="Times New Roman"/>
                <w:color w:val="000000" w:themeColor="text1"/>
                <w:sz w:val="21"/>
                <w:szCs w:val="21"/>
                <w:highlight w:val="none"/>
                <w14:textFill>
                  <w14:solidFill>
                    <w14:schemeClr w14:val="tx1"/>
                  </w14:solidFill>
                </w14:textFill>
              </w:rPr>
              <w:t>本项目</w:t>
            </w:r>
            <w:r>
              <w:rPr>
                <w:rFonts w:hint="default" w:ascii="Times New Roman" w:hAnsi="Times New Roman" w:cs="Times New Roman"/>
                <w:color w:val="000000" w:themeColor="text1"/>
                <w:sz w:val="21"/>
                <w:szCs w:val="21"/>
                <w:highlight w:val="none"/>
                <w:lang w:eastAsia="zh-CN"/>
                <w14:textFill>
                  <w14:solidFill>
                    <w14:schemeClr w14:val="tx1"/>
                  </w14:solidFill>
                </w14:textFill>
              </w:rPr>
              <w:t>设置</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1套</w:t>
            </w:r>
            <w:r>
              <w:rPr>
                <w:rFonts w:hint="eastAsia" w:cs="Times New Roman"/>
                <w:color w:val="000000" w:themeColor="text1"/>
                <w:sz w:val="21"/>
                <w:szCs w:val="21"/>
                <w:highlight w:val="none"/>
                <w:lang w:eastAsia="zh-CN"/>
                <w14:textFill>
                  <w14:solidFill>
                    <w14:schemeClr w14:val="tx1"/>
                  </w14:solidFill>
                </w14:textFill>
              </w:rPr>
              <w:t>两级酸雾喷淋塔</w:t>
            </w:r>
            <w:r>
              <w:rPr>
                <w:rFonts w:hint="default" w:ascii="Times New Roman" w:hAnsi="Times New Roman" w:cs="Times New Roman"/>
                <w:color w:val="000000" w:themeColor="text1"/>
                <w:sz w:val="21"/>
                <w:szCs w:val="21"/>
                <w:highlight w:val="none"/>
                <w:lang w:eastAsia="zh-CN"/>
                <w14:textFill>
                  <w14:solidFill>
                    <w14:schemeClr w14:val="tx1"/>
                  </w14:solidFill>
                </w14:textFill>
              </w:rPr>
              <w:t>对生产线收集的酸雾废气</w:t>
            </w:r>
            <w:r>
              <w:rPr>
                <w:rFonts w:hint="default" w:ascii="Times New Roman" w:hAnsi="Times New Roman" w:cs="Times New Roman"/>
                <w:color w:val="000000" w:themeColor="text1"/>
                <w:sz w:val="21"/>
                <w:szCs w:val="21"/>
                <w:lang w:eastAsia="zh-CN"/>
                <w14:textFill>
                  <w14:solidFill>
                    <w14:schemeClr w14:val="tx1"/>
                  </w14:solidFill>
                </w14:textFill>
              </w:rPr>
              <w:t>进行处理</w:t>
            </w:r>
            <w:r>
              <w:rPr>
                <w:rFonts w:hint="default" w:ascii="Times New Roman" w:hAnsi="Times New Roman" w:cs="Times New Roman"/>
                <w:color w:val="000000" w:themeColor="text1"/>
                <w:sz w:val="21"/>
                <w:szCs w:val="21"/>
                <w14:textFill>
                  <w14:solidFill>
                    <w14:schemeClr w14:val="tx1"/>
                  </w14:solidFill>
                </w14:textFill>
              </w:rPr>
              <w:t>，</w:t>
            </w:r>
            <w:r>
              <w:rPr>
                <w:rFonts w:hint="default" w:ascii="Times New Roman" w:hAnsi="Times New Roman" w:cs="Times New Roman"/>
                <w:color w:val="000000" w:themeColor="text1"/>
                <w:sz w:val="21"/>
                <w:szCs w:val="21"/>
                <w:lang w:eastAsia="zh-CN"/>
                <w14:textFill>
                  <w14:solidFill>
                    <w14:schemeClr w14:val="tx1"/>
                  </w14:solidFill>
                </w14:textFill>
              </w:rPr>
              <w:t>根据设备供应商提供资料，两级</w:t>
            </w:r>
            <w:r>
              <w:rPr>
                <w:rFonts w:hint="default" w:ascii="Times New Roman" w:hAnsi="Times New Roman" w:cs="Times New Roman"/>
                <w:color w:val="000000" w:themeColor="text1"/>
                <w:sz w:val="21"/>
                <w:szCs w:val="21"/>
                <w:lang w:val="en-US" w:eastAsia="zh-CN"/>
                <w14:textFill>
                  <w14:solidFill>
                    <w14:schemeClr w14:val="tx1"/>
                  </w14:solidFill>
                </w14:textFill>
              </w:rPr>
              <w:t>酸雾净化塔各设置1个2m</w:t>
            </w:r>
            <w:r>
              <w:rPr>
                <w:rFonts w:hint="default" w:ascii="Times New Roman" w:hAnsi="Times New Roman" w:cs="Times New Roman"/>
                <w:color w:val="000000" w:themeColor="text1"/>
                <w:sz w:val="21"/>
                <w:szCs w:val="21"/>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lang w:val="en-US" w:eastAsia="zh-CN"/>
                <w14:textFill>
                  <w14:solidFill>
                    <w14:schemeClr w14:val="tx1"/>
                  </w14:solidFill>
                </w14:textFill>
              </w:rPr>
              <w:t>的循环水箱，两个酸雾净化塔串联处理废气，定期向循环水箱补充碳酸钠/片碱，每级净化塔的</w:t>
            </w:r>
            <w:r>
              <w:rPr>
                <w:rFonts w:hint="default" w:ascii="Times New Roman" w:hAnsi="Times New Roman" w:cs="Times New Roman"/>
                <w:color w:val="000000" w:themeColor="text1"/>
                <w:sz w:val="21"/>
                <w:szCs w:val="21"/>
                <w14:textFill>
                  <w14:solidFill>
                    <w14:schemeClr w14:val="tx1"/>
                  </w14:solidFill>
                </w14:textFill>
              </w:rPr>
              <w:t>循环水</w:t>
            </w:r>
            <w:r>
              <w:rPr>
                <w:rFonts w:hint="default" w:ascii="Times New Roman" w:hAnsi="Times New Roman" w:cs="Times New Roman"/>
                <w:color w:val="000000" w:themeColor="text1"/>
                <w:sz w:val="21"/>
                <w:szCs w:val="21"/>
                <w:lang w:eastAsia="zh-CN"/>
                <w14:textFill>
                  <w14:solidFill>
                    <w14:schemeClr w14:val="tx1"/>
                  </w14:solidFill>
                </w14:textFill>
              </w:rPr>
              <w:t>流</w:t>
            </w:r>
            <w:r>
              <w:rPr>
                <w:rFonts w:hint="default" w:ascii="Times New Roman" w:hAnsi="Times New Roman" w:cs="Times New Roman"/>
                <w:color w:val="000000" w:themeColor="text1"/>
                <w:sz w:val="21"/>
                <w:szCs w:val="21"/>
                <w:highlight w:val="none"/>
                <w14:textFill>
                  <w14:solidFill>
                    <w14:schemeClr w14:val="tx1"/>
                  </w14:solidFill>
                </w14:textFill>
              </w:rPr>
              <w:t>量</w:t>
            </w:r>
            <w:r>
              <w:rPr>
                <w:rFonts w:hint="default" w:ascii="Times New Roman" w:hAnsi="Times New Roman" w:cs="Times New Roman"/>
                <w:color w:val="000000" w:themeColor="text1"/>
                <w:sz w:val="21"/>
                <w:szCs w:val="21"/>
                <w:highlight w:val="none"/>
                <w:lang w:eastAsia="zh-CN"/>
                <w14:textFill>
                  <w14:solidFill>
                    <w14:schemeClr w14:val="tx1"/>
                  </w14:solidFill>
                </w14:textFill>
              </w:rPr>
              <w:t>均</w:t>
            </w:r>
            <w:r>
              <w:rPr>
                <w:rFonts w:hint="default" w:ascii="Times New Roman" w:hAnsi="Times New Roman" w:cs="Times New Roman"/>
                <w:color w:val="000000" w:themeColor="text1"/>
                <w:sz w:val="21"/>
                <w:szCs w:val="21"/>
                <w:highlight w:val="none"/>
                <w14:textFill>
                  <w14:solidFill>
                    <w14:schemeClr w14:val="tx1"/>
                  </w14:solidFill>
                </w14:textFill>
              </w:rPr>
              <w:t>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10</w:t>
            </w:r>
            <w:r>
              <w:rPr>
                <w:rFonts w:hint="default" w:ascii="Times New Roman" w:hAnsi="Times New Roman" w:cs="Times New Roman"/>
                <w:color w:val="000000" w:themeColor="text1"/>
                <w:sz w:val="21"/>
                <w:szCs w:val="21"/>
                <w:highlight w:val="none"/>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/h</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循环水箱内水每20天更换一次，则新鲜水补充量为4m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/次（折合为0.2m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/d，60m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/a），废水量按照水箱总容量的80%计算，则每次更换废水量为3.2m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/次（折合为0.16m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/d，48m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/a），定期排放废水经自建污水处理设施处理后，回用于清洗环节。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both"/>
              <w:textAlignment w:val="auto"/>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14:textFill>
                  <w14:solidFill>
                    <w14:schemeClr w14:val="tx1"/>
                  </w14:solidFill>
                </w14:textFill>
              </w:rPr>
              <w:t>参考《不锈钢酸洗废水处理工程实例分析》（环境污染与治理，叶细首，文献标志码：A DOI：10.20025/j.cnki.CN10-1679.2022-11-25）、《不锈钢酸洗废水资源化处理技术进展与展望》（工业水处理，第</w:t>
            </w:r>
            <w:r>
              <w:rPr>
                <w:rFonts w:hint="default" w:ascii="Times New Roman" w:hAnsi="Times New Roman" w:eastAsia="宋体" w:cs="Times New Roman"/>
                <w:color w:val="000000" w:themeColor="text1"/>
                <w:highlight w:val="none"/>
                <w:lang w:val="en-US" w:eastAsia="zh-CN"/>
                <w14:textFill>
                  <w14:solidFill>
                    <w14:schemeClr w14:val="tx1"/>
                  </w14:solidFill>
                </w14:textFill>
              </w:rPr>
              <w:t>31卷第11期，[文章编号]1005—829X(2011)11—0001—05</w:t>
            </w:r>
            <w:r>
              <w:rPr>
                <w:rFonts w:hint="default" w:ascii="Times New Roman" w:hAnsi="Times New Roman" w:eastAsia="宋体" w:cs="Times New Roman"/>
                <w:color w:val="000000" w:themeColor="text1"/>
                <w:highlight w:val="none"/>
                <w:lang w:eastAsia="zh-CN"/>
                <w14:textFill>
                  <w14:solidFill>
                    <w14:schemeClr w14:val="tx1"/>
                  </w14:solidFill>
                </w14:textFill>
              </w:rPr>
              <w:t>）相关内容，项目生产废水具有酸性强、总氮高、毒性强（含镍、铬、氟化物等毒害污染物）等特点</w:t>
            </w:r>
            <w: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t>，结合上述文献资料</w:t>
            </w:r>
            <w:r>
              <w:rPr>
                <w:rFonts w:hint="default" w:ascii="Times New Roman" w:hAnsi="Times New Roman" w:eastAsia="宋体" w:cs="Times New Roman"/>
                <w:color w:val="000000" w:themeColor="text1"/>
                <w:highlight w:val="none"/>
                <w:lang w:eastAsia="zh-CN"/>
                <w14:textFill>
                  <w14:solidFill>
                    <w14:schemeClr w14:val="tx1"/>
                  </w14:solidFill>
                </w14:textFill>
              </w:rPr>
              <w:t>同时类比同类企业，项目</w:t>
            </w:r>
            <w: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t>废水中主要污染物及浓度为：</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pH3.6、COD720mg/L、SS600mg/L、NH</w:t>
            </w:r>
            <w:r>
              <w:rPr>
                <w:rFonts w:hint="default" w:ascii="Times New Roman" w:hAnsi="Times New Roman" w:eastAsia="宋体" w:cs="Times New Roman"/>
                <w:b w:val="0"/>
                <w:bCs w:val="0"/>
                <w:color w:val="000000" w:themeColor="text1"/>
                <w:highlight w:val="none"/>
                <w:vertAlign w:val="sub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-N14mg/L、TP1mg/L、TN440mg/L、石油类0.6mg/L、六价铬0.03mg/L、总铬12mg/L、氟化物1500mg/L、总镍21mg/L、</w:t>
            </w:r>
            <w:r>
              <w:rPr>
                <w:rFonts w:hint="eastAsia" w:cs="Times New Roman"/>
                <w:b w:val="0"/>
                <w:bCs w:val="0"/>
                <w:color w:val="000000" w:themeColor="text1"/>
                <w:highlight w:val="none"/>
                <w:lang w:val="en-US" w:eastAsia="zh-CN"/>
                <w14:textFill>
                  <w14:solidFill>
                    <w14:schemeClr w14:val="tx1"/>
                  </w14:solidFill>
                </w14:textFill>
              </w:rPr>
              <w:t>铜1.4</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mg/L</w:t>
            </w:r>
            <w:r>
              <w:rPr>
                <w:rFonts w:hint="eastAsia" w:cs="Times New Roman"/>
                <w:b w:val="0"/>
                <w:bCs w:val="0"/>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铁75mg/L。</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leftChars="0" w:right="0" w:rightChars="0" w:firstLine="406" w:firstLineChars="200"/>
              <w:jc w:val="both"/>
              <w:textAlignment w:val="auto"/>
              <w:rPr>
                <w:rFonts w:hint="default" w:ascii="Times New Roman" w:hAnsi="Times New Roman" w:cs="Times New Roman"/>
                <w:b/>
                <w:bCs w:val="0"/>
                <w:color w:val="000000" w:themeColor="text1"/>
                <w:spacing w:val="-4"/>
                <w:sz w:val="21"/>
                <w:szCs w:val="21"/>
                <w:highlight w:val="none"/>
                <w:lang w:eastAsia="zh-CN"/>
                <w14:textFill>
                  <w14:solidFill>
                    <w14:schemeClr w14:val="tx1"/>
                  </w14:solidFill>
                </w14:textFill>
              </w:rPr>
            </w:pPr>
            <w:r>
              <w:rPr>
                <w:rFonts w:hint="default" w:ascii="Times New Roman" w:hAnsi="Times New Roman" w:cs="Times New Roman"/>
                <w:b/>
                <w:bCs w:val="0"/>
                <w:color w:val="000000" w:themeColor="text1"/>
                <w:spacing w:val="-4"/>
                <w:sz w:val="21"/>
                <w:szCs w:val="21"/>
                <w:highlight w:val="none"/>
                <w:lang w:eastAsia="zh-CN"/>
                <w14:textFill>
                  <w14:solidFill>
                    <w14:schemeClr w14:val="tx1"/>
                  </w14:solidFill>
                </w14:textFill>
              </w:rPr>
              <w:t>（</w:t>
            </w:r>
            <w:r>
              <w:rPr>
                <w:rFonts w:hint="default" w:ascii="Times New Roman" w:hAnsi="Times New Roman" w:cs="Times New Roman"/>
                <w:b/>
                <w:bCs w:val="0"/>
                <w:color w:val="000000" w:themeColor="text1"/>
                <w:spacing w:val="-4"/>
                <w:sz w:val="21"/>
                <w:szCs w:val="21"/>
                <w:highlight w:val="none"/>
                <w:lang w:val="en-US" w:eastAsia="zh-CN"/>
                <w14:textFill>
                  <w14:solidFill>
                    <w14:schemeClr w14:val="tx1"/>
                  </w14:solidFill>
                </w14:textFill>
              </w:rPr>
              <w:t>2</w:t>
            </w:r>
            <w:r>
              <w:rPr>
                <w:rFonts w:hint="default" w:ascii="Times New Roman" w:hAnsi="Times New Roman" w:cs="Times New Roman"/>
                <w:b/>
                <w:bCs w:val="0"/>
                <w:color w:val="000000" w:themeColor="text1"/>
                <w:spacing w:val="-4"/>
                <w:sz w:val="21"/>
                <w:szCs w:val="21"/>
                <w:highlight w:val="none"/>
                <w:lang w:eastAsia="zh-CN"/>
                <w14:textFill>
                  <w14:solidFill>
                    <w14:schemeClr w14:val="tx1"/>
                  </w14:solidFill>
                </w14:textFill>
              </w:rPr>
              <w:t>）废水处理措施可行性分析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2" w:firstLineChars="200"/>
              <w:jc w:val="both"/>
              <w:textAlignment w:val="auto"/>
              <w:rPr>
                <w:rFonts w:hint="default" w:ascii="Times New Roman" w:hAnsi="Times New Roman" w:cs="Times New Roman"/>
                <w:b/>
                <w:bCs/>
                <w:color w:val="000000" w:themeColor="text1"/>
                <w:highlight w:val="none"/>
                <w:lang w:eastAsia="zh-CN"/>
                <w14:textFill>
                  <w14:solidFill>
                    <w14:schemeClr w14:val="tx1"/>
                  </w14:solidFill>
                </w14:textFill>
              </w:rPr>
            </w:pPr>
            <w:r>
              <w:rPr>
                <w:rFonts w:hint="default" w:ascii="Times New Roman" w:hAnsi="Times New Roman" w:cs="Times New Roman"/>
                <w:b/>
                <w:bCs/>
                <w:color w:val="000000" w:themeColor="text1"/>
                <w:highlight w:val="none"/>
                <w:lang w:eastAsia="zh-CN"/>
                <w14:textFill>
                  <w14:solidFill>
                    <w14:schemeClr w14:val="tx1"/>
                  </w14:solidFill>
                </w14:textFill>
              </w:rPr>
              <w:fldChar w:fldCharType="begin"/>
            </w:r>
            <w:r>
              <w:rPr>
                <w:rFonts w:hint="default" w:ascii="Times New Roman" w:hAnsi="Times New Roman" w:cs="Times New Roman"/>
                <w:b/>
                <w:bCs/>
                <w:color w:val="000000" w:themeColor="text1"/>
                <w:highlight w:val="none"/>
                <w:lang w:eastAsia="zh-CN"/>
                <w14:textFill>
                  <w14:solidFill>
                    <w14:schemeClr w14:val="tx1"/>
                  </w14:solidFill>
                </w14:textFill>
              </w:rPr>
              <w:instrText xml:space="preserve"> = 1 \* GB3 \* MERGEFORMAT </w:instrText>
            </w:r>
            <w:r>
              <w:rPr>
                <w:rFonts w:hint="default" w:ascii="Times New Roman" w:hAnsi="Times New Roman" w:cs="Times New Roman"/>
                <w:b/>
                <w:bCs/>
                <w:color w:val="000000" w:themeColor="text1"/>
                <w:highlight w:val="none"/>
                <w:lang w:eastAsia="zh-CN"/>
                <w14:textFill>
                  <w14:solidFill>
                    <w14:schemeClr w14:val="tx1"/>
                  </w14:solidFill>
                </w14:textFill>
              </w:rPr>
              <w:fldChar w:fldCharType="separate"/>
            </w:r>
            <w:r>
              <w:rPr>
                <w:rFonts w:hint="default" w:ascii="Times New Roman" w:hAnsi="Times New Roman" w:cs="Times New Roman"/>
                <w:b/>
                <w:bCs/>
                <w:color w:val="000000" w:themeColor="text1"/>
                <w14:textFill>
                  <w14:solidFill>
                    <w14:schemeClr w14:val="tx1"/>
                  </w14:solidFill>
                </w14:textFill>
              </w:rPr>
              <w:t>①</w:t>
            </w:r>
            <w:r>
              <w:rPr>
                <w:rFonts w:hint="default" w:ascii="Times New Roman" w:hAnsi="Times New Roman" w:cs="Times New Roman"/>
                <w:b/>
                <w:bCs/>
                <w:color w:val="000000" w:themeColor="text1"/>
                <w:highlight w:val="none"/>
                <w:lang w:eastAsia="zh-CN"/>
                <w14:textFill>
                  <w14:solidFill>
                    <w14:schemeClr w14:val="tx1"/>
                  </w14:solidFill>
                </w14:textFill>
              </w:rPr>
              <w:fldChar w:fldCharType="end"/>
            </w:r>
            <w:r>
              <w:rPr>
                <w:rFonts w:hint="default" w:ascii="Times New Roman" w:hAnsi="Times New Roman" w:cs="Times New Roman"/>
                <w:b/>
                <w:bCs/>
                <w:color w:val="000000" w:themeColor="text1"/>
                <w:highlight w:val="none"/>
                <w:lang w:eastAsia="zh-CN"/>
                <w14:textFill>
                  <w14:solidFill>
                    <w14:schemeClr w14:val="tx1"/>
                  </w14:solidFill>
                </w14:textFill>
              </w:rPr>
              <w:t>生活污水处理措施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both"/>
              <w:textAlignment w:val="auto"/>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项目生活污水均通过化粪池进行处理，化粪池是一种利用沉淀和厌氧微生物发酵的原理，以去除粪便污水或其他生活污水中悬浮物、有机物和病原微生物为主要目的的小型污水初级处理构筑物，本项目生活污水依托现有</w:t>
            </w:r>
            <w:r>
              <w:rPr>
                <w:rFonts w:hint="default" w:ascii="Times New Roman" w:hAnsi="Times New Roman" w:cs="Times New Roman"/>
                <w:color w:val="000000" w:themeColor="text1"/>
                <w:highlight w:val="none"/>
                <w:lang w:val="en-US" w:eastAsia="zh-CN"/>
                <w14:textFill>
                  <w14:solidFill>
                    <w14:schemeClr w14:val="tx1"/>
                  </w14:solidFill>
                </w14:textFill>
              </w:rPr>
              <w:t>10m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化粪池进行处理，现有工程生活污水量1.28m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/d</w:t>
            </w:r>
            <w:r>
              <w:rPr>
                <w:rFonts w:hint="default" w:ascii="Times New Roman" w:hAnsi="Times New Roman" w:cs="Times New Roman"/>
                <w:color w:val="000000" w:themeColor="text1"/>
                <w:highlight w:val="none"/>
                <w:lang w:val="en-US" w:eastAsia="zh-CN"/>
                <w14:textFill>
                  <w14:solidFill>
                    <w14:schemeClr w14:val="tx1"/>
                  </w14:solidFill>
                </w14:textFill>
              </w:rPr>
              <w:t>，本项目生活污水量为0.64m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/d</w:t>
            </w:r>
            <w:r>
              <w:rPr>
                <w:rFonts w:hint="default" w:ascii="Times New Roman" w:hAnsi="Times New Roman" w:cs="Times New Roman"/>
                <w:color w:val="000000" w:themeColor="text1"/>
                <w:highlight w:val="none"/>
                <w:lang w:val="en-US" w:eastAsia="zh-CN"/>
                <w14:textFill>
                  <w14:solidFill>
                    <w14:schemeClr w14:val="tx1"/>
                  </w14:solidFill>
                </w14:textFill>
              </w:rPr>
              <w:t>，不会超过化粪池处理余量</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2" w:firstLineChars="200"/>
              <w:jc w:val="both"/>
              <w:textAlignment w:val="auto"/>
              <w:rPr>
                <w:rFonts w:hint="default" w:ascii="Times New Roman" w:hAnsi="Times New Roman" w:eastAsia="宋体" w:cs="Times New Roman"/>
                <w:b/>
                <w:bCs/>
                <w:color w:val="000000" w:themeColor="text1"/>
                <w:highlight w:val="none"/>
                <w:lang w:eastAsia="zh-CN"/>
                <w14:textFill>
                  <w14:solidFill>
                    <w14:schemeClr w14:val="tx1"/>
                  </w14:solidFill>
                </w14:textFill>
              </w:rPr>
            </w:pPr>
            <w:r>
              <w:rPr>
                <w:rFonts w:hint="default" w:ascii="Times New Roman" w:hAnsi="Times New Roman" w:eastAsia="宋体" w:cs="Times New Roman"/>
                <w:b/>
                <w:bCs/>
                <w:color w:val="000000" w:themeColor="text1"/>
                <w:highlight w:val="none"/>
                <w:lang w:eastAsia="zh-CN"/>
                <w14:textFill>
                  <w14:solidFill>
                    <w14:schemeClr w14:val="tx1"/>
                  </w14:solidFill>
                </w14:textFill>
              </w:rPr>
              <w:fldChar w:fldCharType="begin"/>
            </w:r>
            <w:r>
              <w:rPr>
                <w:rFonts w:hint="default" w:ascii="Times New Roman" w:hAnsi="Times New Roman" w:eastAsia="宋体" w:cs="Times New Roman"/>
                <w:b/>
                <w:bCs/>
                <w:color w:val="000000" w:themeColor="text1"/>
                <w:highlight w:val="none"/>
                <w:lang w:eastAsia="zh-CN"/>
                <w14:textFill>
                  <w14:solidFill>
                    <w14:schemeClr w14:val="tx1"/>
                  </w14:solidFill>
                </w14:textFill>
              </w:rPr>
              <w:instrText xml:space="preserve"> = 2 \* GB3 \* MERGEFORMAT </w:instrText>
            </w:r>
            <w:r>
              <w:rPr>
                <w:rFonts w:hint="default" w:ascii="Times New Roman" w:hAnsi="Times New Roman" w:eastAsia="宋体" w:cs="Times New Roman"/>
                <w:b/>
                <w:bCs/>
                <w:color w:val="000000" w:themeColor="text1"/>
                <w:highlight w:val="none"/>
                <w:lang w:eastAsia="zh-CN"/>
                <w14:textFill>
                  <w14:solidFill>
                    <w14:schemeClr w14:val="tx1"/>
                  </w14:solidFill>
                </w14:textFill>
              </w:rPr>
              <w:fldChar w:fldCharType="separate"/>
            </w:r>
            <w:r>
              <w:rPr>
                <w:rFonts w:hint="default" w:ascii="Times New Roman" w:hAnsi="Times New Roman" w:eastAsia="宋体" w:cs="Times New Roman"/>
                <w:b/>
                <w:bCs/>
                <w:color w:val="000000" w:themeColor="text1"/>
                <w:highlight w:val="none"/>
                <w:lang w:eastAsia="zh-CN"/>
                <w14:textFill>
                  <w14:solidFill>
                    <w14:schemeClr w14:val="tx1"/>
                  </w14:solidFill>
                </w14:textFill>
              </w:rPr>
              <w:t>②</w:t>
            </w:r>
            <w:r>
              <w:rPr>
                <w:rFonts w:hint="default" w:ascii="Times New Roman" w:hAnsi="Times New Roman" w:eastAsia="宋体" w:cs="Times New Roman"/>
                <w:b/>
                <w:bCs/>
                <w:color w:val="000000" w:themeColor="text1"/>
                <w:highlight w:val="none"/>
                <w:lang w:eastAsia="zh-CN"/>
                <w14:textFill>
                  <w14:solidFill>
                    <w14:schemeClr w14:val="tx1"/>
                  </w14:solidFill>
                </w14:textFill>
              </w:rPr>
              <w:fldChar w:fldCharType="end"/>
            </w:r>
            <w:r>
              <w:rPr>
                <w:rFonts w:hint="default" w:ascii="Times New Roman" w:hAnsi="Times New Roman" w:eastAsia="宋体" w:cs="Times New Roman"/>
                <w:b/>
                <w:bCs/>
                <w:color w:val="000000" w:themeColor="text1"/>
                <w:highlight w:val="none"/>
                <w:lang w:eastAsia="zh-CN"/>
                <w14:textFill>
                  <w14:solidFill>
                    <w14:schemeClr w14:val="tx1"/>
                  </w14:solidFill>
                </w14:textFill>
              </w:rPr>
              <w:t>生产废水处理措施</w:t>
            </w:r>
          </w:p>
          <w:p>
            <w:pPr>
              <w:pStyle w:val="20"/>
              <w:keepNext w:val="0"/>
              <w:keepLines w:val="0"/>
              <w:pageBreakBefore w:val="0"/>
              <w:widowControl w:val="0"/>
              <w:kinsoku/>
              <w:wordWrap/>
              <w:overflowPunct/>
              <w:topLinePunct w:val="0"/>
              <w:autoSpaceDE/>
              <w:autoSpaceDN/>
              <w:bidi w:val="0"/>
              <w:adjustRightInd/>
              <w:snapToGrid/>
              <w:spacing w:after="0"/>
              <w:ind w:left="0" w:leftChars="0" w:firstLine="420" w:firstLineChars="200"/>
              <w:jc w:val="left"/>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项目酸洗冲洗废水和</w:t>
            </w:r>
            <w:r>
              <w:rPr>
                <w:rFonts w:hint="eastAsia" w:cs="Times New Roman"/>
                <w:color w:val="000000" w:themeColor="text1"/>
                <w:kern w:val="2"/>
                <w:sz w:val="21"/>
                <w:szCs w:val="21"/>
                <w:highlight w:val="none"/>
                <w:lang w:val="en-US" w:eastAsia="zh-CN" w:bidi="ar-SA"/>
                <w14:textFill>
                  <w14:solidFill>
                    <w14:schemeClr w14:val="tx1"/>
                  </w14:solidFill>
                </w14:textFill>
              </w:rPr>
              <w:t>两级酸雾喷淋塔喷淋</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废水排放量为</w:t>
            </w:r>
            <w:r>
              <w:rPr>
                <w:rFonts w:hint="eastAsia" w:cs="Times New Roman"/>
                <w:color w:val="000000" w:themeColor="text1"/>
                <w:sz w:val="21"/>
                <w:szCs w:val="21"/>
                <w:highlight w:val="none"/>
                <w:lang w:val="en-US" w:eastAsia="zh-CN"/>
                <w14:textFill>
                  <w14:solidFill>
                    <w14:schemeClr w14:val="tx1"/>
                  </w14:solidFill>
                </w14:textFill>
              </w:rPr>
              <w:t>4.6345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/d（</w:t>
            </w:r>
            <w:r>
              <w:rPr>
                <w:rFonts w:hint="eastAsia" w:cs="Times New Roman"/>
                <w:color w:val="000000" w:themeColor="text1"/>
                <w:sz w:val="21"/>
                <w:szCs w:val="21"/>
                <w:highlight w:val="none"/>
                <w:lang w:val="en-US" w:eastAsia="zh-CN"/>
                <w14:textFill>
                  <w14:solidFill>
                    <w14:schemeClr w14:val="tx1"/>
                  </w14:solidFill>
                </w14:textFill>
              </w:rPr>
              <w:t>1390.35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/d）</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，本次拟新建1座污水处理设施进行生产废水处理，处理设施工艺为：隔油沉淀+调节+气浮+pH调节（调酸）+芬顿氧化+中和（调碱）+混凝沉淀+中和+水解酸化+MBR（微滤）+RO过滤+高效蒸发器，设计处理规模为</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10m</w:t>
            </w:r>
            <w:r>
              <w:rPr>
                <w:rFonts w:hint="default" w:ascii="Times New Roman" w:hAnsi="Times New Roman" w:cs="Times New Roman"/>
                <w:color w:val="000000" w:themeColor="text1"/>
                <w:kern w:val="2"/>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/d</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。经污水处理设施</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处理后清水回用于冲洗环节，浓水经高效蒸发处理后，蒸发残渣作为危险固废处置，废水处理工艺介绍如下：</w:t>
            </w:r>
          </w:p>
          <w:p>
            <w:pPr>
              <w:pStyle w:val="20"/>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object>
                <v:shape id="_x0000_i1030" o:spt="75" type="#_x0000_t75" style="height:425.4pt;width:268.15pt;" o:ole="t" filled="f" o:preferrelative="t" stroked="f" coordsize="21600,21600">
                  <v:path/>
                  <v:fill on="f" focussize="0,0"/>
                  <v:stroke on="f"/>
                  <v:imagedata r:id="rId26" o:title=""/>
                  <o:lock v:ext="edit" aspectratio="t"/>
                  <w10:wrap type="none"/>
                  <w10:anchorlock/>
                </v:shape>
                <o:OLEObject Type="Embed" ProgID="Visio.Drawing.15" ShapeID="_x0000_i1030" DrawAspect="Content" ObjectID="_1468075730" r:id="rId25">
                  <o:LockedField>false</o:LockedField>
                </o:OLEObject>
              </w:object>
            </w:r>
          </w:p>
          <w:p>
            <w:pPr>
              <w:pStyle w:val="26"/>
              <w:keepNext w:val="0"/>
              <w:keepLines w:val="0"/>
              <w:pageBreakBefore w:val="0"/>
              <w:widowControl w:val="0"/>
              <w:numPr>
                <w:ilvl w:val="0"/>
                <w:numId w:val="9"/>
              </w:numPr>
              <w:kinsoku/>
              <w:wordWrap/>
              <w:overflowPunct/>
              <w:topLinePunct w:val="0"/>
              <w:bidi w:val="0"/>
              <w:adjustRightInd/>
              <w:snapToGrid/>
              <w:spacing w:line="360" w:lineRule="auto"/>
              <w:ind w:left="0" w:leftChars="0" w:hanging="420" w:firstLineChars="0"/>
              <w:textAlignment w:val="auto"/>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废水处理工艺流程图</w:t>
            </w:r>
          </w:p>
          <w:p>
            <w:pPr>
              <w:pStyle w:val="20"/>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t>废水处理措施工艺介绍：</w:t>
            </w:r>
          </w:p>
          <w:p>
            <w:pP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（1）隔油沉淀：通过污水管道自动提升泵进入隔油池沉淀池，初步处理废水中石油类污染物。</w:t>
            </w:r>
          </w:p>
          <w:p>
            <w:pP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（2）pH调节：进行均质均量酸或碱加药中和PH值至3-4之间。</w:t>
            </w:r>
          </w:p>
          <w:p>
            <w:pP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（3）芬顿氧化：以曝气方式搅拌均匀之后进入氧化芬顿塔进行氧化处理，并同时酌情添加硫酸亚铁和双氧水等药剂加以效果促进。</w:t>
            </w:r>
          </w:p>
          <w:p>
            <w:pP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中和（调碱）：进行均质均量碱性加药中和PH值至7-8之间，搅拌均匀之后经自动变频增压泵进入一体化气浮机进行强力曝气处理，并同时酌情添加絮凝剂和助凝剂等药剂加以促进，以达到进一步降低COD、BOD及氨氮等污染指标的作用，并同时提高了废水的可生化性。</w:t>
            </w:r>
          </w:p>
          <w:p>
            <w:pP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（5）混凝沉淀：通</w:t>
            </w:r>
            <w:r>
              <w:rPr>
                <w:rFonts w:hint="default" w:ascii="Times New Roman" w:hAnsi="Times New Roman" w:cs="Times New Roman"/>
                <w:color w:val="000000" w:themeColor="text1"/>
                <w:highlight w:val="none"/>
                <w:lang w:val="en-US" w:eastAsia="zh-CN"/>
                <w14:textFill>
                  <w14:solidFill>
                    <w14:schemeClr w14:val="tx1"/>
                  </w14:solidFill>
                </w14:textFill>
              </w:rPr>
              <w:t>过加入混凝剂和助凝剂，使氢氧化铜沉淀和其他胶体絮体颗粒增大，再通过沉淀池把这些絮体分离。后根据实际情况选择全部或部分污水进行板框压滤机进行可视性固液分离。</w:t>
            </w:r>
          </w:p>
          <w:p>
            <w:pP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（6）中和：</w:t>
            </w:r>
            <w:r>
              <w:rPr>
                <w:rFonts w:hint="default" w:ascii="Times New Roman" w:hAnsi="Times New Roman" w:cs="Times New Roman"/>
                <w:color w:val="000000" w:themeColor="text1"/>
                <w:lang w:val="en-US" w:eastAsia="zh-CN"/>
                <w14:textFill>
                  <w14:solidFill>
                    <w14:schemeClr w14:val="tx1"/>
                  </w14:solidFill>
                </w14:textFill>
              </w:rPr>
              <w:t>进行均质均量酸或碱加药中和PH值至7-8之间。</w:t>
            </w:r>
          </w:p>
          <w:p>
            <w:pP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（7）水解酸化：压滤机清水的出水收集池受液位浮球的控制，经自动变频增压泵进入水解酸化进行一系列特殊效果的生化反应过程。</w:t>
            </w:r>
          </w:p>
          <w:p>
            <w:pP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（8）MBR：出水后经生物性MBR膜过滤净化，其中的大部分污染物被混合液中的活性污泥去除，再在外压作用下由膜过滤出水。</w:t>
            </w:r>
          </w:p>
          <w:p>
            <w:pP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（9）RO反渗透：生化系统MBR膜系统清水的出水收</w:t>
            </w:r>
            <w:r>
              <w:rPr>
                <w:rFonts w:hint="default" w:ascii="Times New Roman" w:hAnsi="Times New Roman" w:cs="Times New Roman"/>
                <w:color w:val="000000" w:themeColor="text1"/>
                <w:lang w:val="en-US" w:eastAsia="zh-CN"/>
                <w14:textFill>
                  <w14:solidFill>
                    <w14:schemeClr w14:val="tx1"/>
                  </w14:solidFill>
                </w14:textFill>
              </w:rPr>
              <w:t>集池受液位浮球的控制，经自动变频增压泵进入一体化双膜法精密净化设备（RO反渗透工艺）处理，清水回用于清洗。</w:t>
            </w:r>
          </w:p>
          <w:p>
            <w:pPr>
              <w:pStyle w:val="20"/>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（10）高效蒸发器：</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RO反渗透系统过滤浓水</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在低温真空蒸发器内，通过使用特殊设计的热泵，在大约33mbar的真空压力下，可以将蒸发器内的水在32℃左右的低温真空条件下沸腾，利用热泵的闭环冷回路产生的热量将水与浓缩物分离</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，浓缩物残渣经收集后作为危险废物处理</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p>
          <w:p>
            <w:pPr>
              <w:pStyle w:val="20"/>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项目生产废水经自建污水处理设施处理后，回用于清洗环节，经查阅《芬顿氧化法废水处理工程技术规范》(HJ 1095-2020)、《膜生物法污水处理工程技术规范》（HJ2010-2011）等相关技术规范，同时参考《双膜装置RO反渗透膜污染分析及控制措施》（王君翰，石油石化绿色低碳，2020年8月·第5卷·第4期）、《高效混凝沉淀池的运行管理》（柴春省，工业用水与废水，文章编号：1009-2455（2017）03-0059-04）等相关文献资料，项目生产废水经自建污水处理设施处理后回用效果如下：</w:t>
            </w:r>
          </w:p>
          <w:p>
            <w:pPr>
              <w:keepLines w:val="0"/>
              <w:pageBreakBefore w:val="0"/>
              <w:widowControl w:val="0"/>
              <w:numPr>
                <w:ilvl w:val="0"/>
                <w:numId w:val="0"/>
              </w:numPr>
              <w:kinsoku/>
              <w:wordWrap/>
              <w:topLinePunct w:val="0"/>
              <w:bidi w:val="0"/>
              <w:adjustRightInd/>
              <w:snapToGrid/>
              <w:spacing w:line="360" w:lineRule="auto"/>
              <w:ind w:left="0" w:leftChars="0" w:firstLine="420" w:firstLineChars="200"/>
              <w:textAlignment w:val="auto"/>
              <w:rPr>
                <w:rFonts w:hint="default" w:ascii="Times New Roman" w:hAnsi="Times New Roman" w:eastAsia="宋体" w:cs="Times New Roman"/>
                <w:color w:val="000000" w:themeColor="text1"/>
                <w:highlight w:val="cyan"/>
                <w:vertAlign w:val="baseline"/>
                <w:lang w:eastAsia="zh-CN"/>
                <w14:textFill>
                  <w14:solidFill>
                    <w14:schemeClr w14:val="tx1"/>
                  </w14:solidFill>
                </w14:textFill>
              </w:rPr>
            </w:pPr>
            <w:r>
              <w:rPr>
                <w:rFonts w:hint="default" w:ascii="Times New Roman" w:hAnsi="Times New Roman" w:cs="Times New Roman"/>
                <w:color w:val="000000" w:themeColor="text1"/>
                <w:highlight w:val="none"/>
                <w:vertAlign w:val="baseline"/>
                <w:lang w:eastAsia="zh-CN"/>
                <w14:textFill>
                  <w14:solidFill>
                    <w14:schemeClr w14:val="tx1"/>
                  </w14:solidFill>
                </w14:textFill>
              </w:rPr>
              <w:t xml:space="preserve"> </w:t>
            </w:r>
            <w:r>
              <w:rPr>
                <w:rFonts w:hint="default" w:ascii="Times New Roman" w:hAnsi="Times New Roman" w:cs="Times New Roman"/>
                <w:color w:val="000000" w:themeColor="text1"/>
                <w:highlight w:val="none"/>
                <w:vertAlign w:val="baseline"/>
                <w:lang w:eastAsia="zh-CN"/>
                <w14:textFill>
                  <w14:solidFill>
                    <w14:schemeClr w14:val="tx1"/>
                  </w14:solidFill>
                </w14:textFill>
              </w:rPr>
              <w:br w:type="textWrapping"/>
            </w:r>
            <w:r>
              <w:rPr>
                <w:rFonts w:hint="default" w:ascii="Times New Roman" w:hAnsi="Times New Roman" w:cs="Times New Roman"/>
                <w:color w:val="000000" w:themeColor="text1"/>
                <w:highlight w:val="none"/>
                <w:vertAlign w:val="baseline"/>
                <w:lang w:eastAsia="zh-CN"/>
                <w14:textFill>
                  <w14:solidFill>
                    <w14:schemeClr w14:val="tx1"/>
                  </w14:solidFill>
                </w14:textFill>
              </w:rPr>
              <w:br w:type="textWrapping"/>
            </w:r>
            <w:r>
              <w:rPr>
                <w:rFonts w:hint="default" w:ascii="Times New Roman" w:hAnsi="Times New Roman" w:cs="Times New Roman"/>
                <w:color w:val="000000" w:themeColor="text1"/>
                <w:highlight w:val="none"/>
                <w:vertAlign w:val="baseline"/>
                <w:lang w:eastAsia="zh-CN"/>
                <w14:textFill>
                  <w14:solidFill>
                    <w14:schemeClr w14:val="tx1"/>
                  </w14:solidFill>
                </w14:textFill>
              </w:rPr>
              <w:br w:type="textWrapping"/>
            </w:r>
            <w:r>
              <w:rPr>
                <w:rFonts w:hint="default" w:ascii="Times New Roman" w:hAnsi="Times New Roman" w:cs="Times New Roman"/>
                <w:color w:val="000000" w:themeColor="text1"/>
                <w:highlight w:val="none"/>
                <w:vertAlign w:val="baseline"/>
                <w:lang w:eastAsia="zh-CN"/>
                <w14:textFill>
                  <w14:solidFill>
                    <w14:schemeClr w14:val="tx1"/>
                  </w14:solidFill>
                </w14:textFill>
              </w:rPr>
              <w:br w:type="textWrapping"/>
            </w:r>
            <w:r>
              <w:rPr>
                <w:rFonts w:hint="default" w:ascii="Times New Roman" w:hAnsi="Times New Roman" w:cs="Times New Roman"/>
                <w:color w:val="000000" w:themeColor="text1"/>
                <w:highlight w:val="none"/>
                <w:vertAlign w:val="baseline"/>
                <w:lang w:eastAsia="zh-CN"/>
                <w14:textFill>
                  <w14:solidFill>
                    <w14:schemeClr w14:val="tx1"/>
                  </w14:solidFill>
                </w14:textFill>
              </w:rPr>
              <w:br w:type="textWrapping"/>
            </w:r>
            <w:r>
              <w:rPr>
                <w:rFonts w:hint="default" w:ascii="Times New Roman" w:hAnsi="Times New Roman" w:cs="Times New Roman"/>
                <w:color w:val="000000" w:themeColor="text1"/>
                <w:highlight w:val="none"/>
                <w:vertAlign w:val="baseline"/>
                <w:lang w:eastAsia="zh-CN"/>
                <w14:textFill>
                  <w14:solidFill>
                    <w14:schemeClr w14:val="tx1"/>
                  </w14:solidFill>
                </w14:textFill>
              </w:rPr>
              <w:br w:type="textWrapping"/>
            </w:r>
            <w:r>
              <w:rPr>
                <w:rFonts w:hint="default" w:ascii="Times New Roman" w:hAnsi="Times New Roman" w:cs="Times New Roman"/>
                <w:color w:val="000000" w:themeColor="text1"/>
                <w:highlight w:val="none"/>
                <w:vertAlign w:val="baseline"/>
                <w:lang w:eastAsia="zh-CN"/>
                <w14:textFill>
                  <w14:solidFill>
                    <w14:schemeClr w14:val="tx1"/>
                  </w14:solidFill>
                </w14:textFill>
              </w:rPr>
              <w:br w:type="textWrapping"/>
            </w:r>
          </w:p>
        </w:tc>
      </w:tr>
    </w:tbl>
    <w:p>
      <w:pPr>
        <w:rPr>
          <w:rFonts w:hint="default" w:ascii="Times New Roman" w:hAnsi="Times New Roman" w:cs="Times New Roman"/>
          <w:color w:val="000000" w:themeColor="text1"/>
          <w:highlight w:val="cyan"/>
          <w14:textFill>
            <w14:solidFill>
              <w14:schemeClr w14:val="tx1"/>
            </w14:solidFill>
          </w14:textFill>
        </w:rPr>
        <w:sectPr>
          <w:pgSz w:w="11907" w:h="16840"/>
          <w:pgMar w:top="1803" w:right="1440" w:bottom="1803" w:left="1440"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50" w:type="dxa"/>
          </w:tcPr>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废水处理回用效果一览表</w:t>
            </w:r>
          </w:p>
          <w:tbl>
            <w:tblPr>
              <w:tblStyle w:val="22"/>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62"/>
              <w:gridCol w:w="1799"/>
              <w:gridCol w:w="932"/>
              <w:gridCol w:w="932"/>
              <w:gridCol w:w="932"/>
              <w:gridCol w:w="1036"/>
              <w:gridCol w:w="991"/>
              <w:gridCol w:w="1028"/>
              <w:gridCol w:w="911"/>
              <w:gridCol w:w="972"/>
              <w:gridCol w:w="967"/>
              <w:gridCol w:w="96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5"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工艺单元</w:t>
                  </w:r>
                </w:p>
              </w:tc>
              <w:tc>
                <w:tcPr>
                  <w:tcW w:w="679" w:type="pct"/>
                  <w:tcBorders>
                    <w:bottom w:val="single" w:color="000000"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预计效果</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COD</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SS</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氨氮</w:t>
                  </w:r>
                </w:p>
              </w:tc>
              <w:tc>
                <w:tcPr>
                  <w:tcW w:w="39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石油类</w:t>
                  </w:r>
                </w:p>
              </w:tc>
              <w:tc>
                <w:tcPr>
                  <w:tcW w:w="3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氟化物</w:t>
                  </w:r>
                </w:p>
              </w:tc>
              <w:tc>
                <w:tcPr>
                  <w:tcW w:w="3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六价铬</w:t>
                  </w:r>
                </w:p>
              </w:tc>
              <w:tc>
                <w:tcPr>
                  <w:tcW w:w="3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总铬</w:t>
                  </w:r>
                </w:p>
              </w:tc>
              <w:tc>
                <w:tcPr>
                  <w:tcW w:w="3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镍</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铜</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vertAlign w:val="baseline"/>
                      <w:lang w:val="en-US" w:eastAsia="zh-CN"/>
                      <w14:textFill>
                        <w14:solidFill>
                          <w14:schemeClr w14:val="tx1"/>
                        </w14:solidFill>
                      </w14:textFill>
                    </w:rPr>
                    <w:t>铁</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5"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p>
              </w:tc>
              <w:tc>
                <w:tcPr>
                  <w:tcW w:w="679" w:type="pct"/>
                  <w:tcBorders>
                    <w:top w:val="single" w:color="000000"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进水浓度mg/L</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720</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600</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14</w:t>
                  </w:r>
                </w:p>
              </w:tc>
              <w:tc>
                <w:tcPr>
                  <w:tcW w:w="39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0.6</w:t>
                  </w:r>
                </w:p>
              </w:tc>
              <w:tc>
                <w:tcPr>
                  <w:tcW w:w="3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20</w:t>
                  </w:r>
                </w:p>
              </w:tc>
              <w:tc>
                <w:tcPr>
                  <w:tcW w:w="3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0.03</w:t>
                  </w:r>
                </w:p>
              </w:tc>
              <w:tc>
                <w:tcPr>
                  <w:tcW w:w="3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12</w:t>
                  </w:r>
                </w:p>
              </w:tc>
              <w:tc>
                <w:tcPr>
                  <w:tcW w:w="3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21</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1.4</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vertAlign w:val="baseline"/>
                      <w:lang w:val="en-US" w:eastAsia="zh-CN" w:bidi="ar-SA"/>
                      <w14:textFill>
                        <w14:solidFill>
                          <w14:schemeClr w14:val="tx1"/>
                        </w14:solidFill>
                      </w14:textFill>
                    </w:rPr>
                  </w:pPr>
                  <w:r>
                    <w:rPr>
                      <w:rFonts w:hint="eastAsia" w:cs="Times New Roman"/>
                      <w:color w:val="000000" w:themeColor="text1"/>
                      <w:sz w:val="18"/>
                      <w:szCs w:val="18"/>
                      <w:vertAlign w:val="baseline"/>
                      <w:lang w:val="en-US" w:eastAsia="zh-CN"/>
                      <w14:textFill>
                        <w14:solidFill>
                          <w14:schemeClr w14:val="tx1"/>
                        </w14:solidFill>
                      </w14:textFill>
                    </w:rPr>
                    <w:t>35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5"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隔油沉淀</w:t>
                  </w:r>
                </w:p>
              </w:tc>
              <w:tc>
                <w:tcPr>
                  <w:tcW w:w="67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去除率%</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35</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40</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5</w:t>
                  </w:r>
                </w:p>
              </w:tc>
              <w:tc>
                <w:tcPr>
                  <w:tcW w:w="39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80</w:t>
                  </w:r>
                </w:p>
              </w:tc>
              <w:tc>
                <w:tcPr>
                  <w:tcW w:w="3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w:t>
                  </w:r>
                </w:p>
              </w:tc>
              <w:tc>
                <w:tcPr>
                  <w:tcW w:w="3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w:t>
                  </w:r>
                </w:p>
              </w:tc>
              <w:tc>
                <w:tcPr>
                  <w:tcW w:w="3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w:t>
                  </w:r>
                </w:p>
              </w:tc>
              <w:tc>
                <w:tcPr>
                  <w:tcW w:w="3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5"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p>
              </w:tc>
              <w:tc>
                <w:tcPr>
                  <w:tcW w:w="67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出水浓度mg/L</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468</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360</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13.3</w:t>
                  </w:r>
                </w:p>
              </w:tc>
              <w:tc>
                <w:tcPr>
                  <w:tcW w:w="39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0.12</w:t>
                  </w:r>
                </w:p>
              </w:tc>
              <w:tc>
                <w:tcPr>
                  <w:tcW w:w="3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20</w:t>
                  </w:r>
                </w:p>
              </w:tc>
              <w:tc>
                <w:tcPr>
                  <w:tcW w:w="3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0.03</w:t>
                  </w:r>
                </w:p>
              </w:tc>
              <w:tc>
                <w:tcPr>
                  <w:tcW w:w="3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12</w:t>
                  </w:r>
                </w:p>
              </w:tc>
              <w:tc>
                <w:tcPr>
                  <w:tcW w:w="3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21</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1.4</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vertAlign w:val="baseline"/>
                      <w:lang w:val="en-US" w:eastAsia="zh-CN" w:bidi="ar-SA"/>
                      <w14:textFill>
                        <w14:solidFill>
                          <w14:schemeClr w14:val="tx1"/>
                        </w14:solidFill>
                      </w14:textFill>
                    </w:rPr>
                  </w:pPr>
                  <w:r>
                    <w:rPr>
                      <w:rFonts w:hint="eastAsia" w:cs="Times New Roman"/>
                      <w:color w:val="000000" w:themeColor="text1"/>
                      <w:sz w:val="18"/>
                      <w:szCs w:val="18"/>
                      <w:vertAlign w:val="baseline"/>
                      <w:lang w:val="en-US" w:eastAsia="zh-CN"/>
                      <w14:textFill>
                        <w14:solidFill>
                          <w14:schemeClr w14:val="tx1"/>
                        </w14:solidFill>
                      </w14:textFill>
                    </w:rPr>
                    <w:t>35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5"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气浮</w:t>
                  </w:r>
                </w:p>
              </w:tc>
              <w:tc>
                <w:tcPr>
                  <w:tcW w:w="67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去除率%</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30</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80</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10</w:t>
                  </w:r>
                </w:p>
              </w:tc>
              <w:tc>
                <w:tcPr>
                  <w:tcW w:w="39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80</w:t>
                  </w:r>
                </w:p>
              </w:tc>
              <w:tc>
                <w:tcPr>
                  <w:tcW w:w="3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w:t>
                  </w:r>
                </w:p>
              </w:tc>
              <w:tc>
                <w:tcPr>
                  <w:tcW w:w="3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5</w:t>
                  </w:r>
                </w:p>
              </w:tc>
              <w:tc>
                <w:tcPr>
                  <w:tcW w:w="3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5</w:t>
                  </w:r>
                </w:p>
              </w:tc>
              <w:tc>
                <w:tcPr>
                  <w:tcW w:w="3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5</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5</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5"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p>
              </w:tc>
              <w:tc>
                <w:tcPr>
                  <w:tcW w:w="67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出水浓度mg/L</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327.6</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72</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11.97</w:t>
                  </w:r>
                </w:p>
              </w:tc>
              <w:tc>
                <w:tcPr>
                  <w:tcW w:w="39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0.024</w:t>
                  </w:r>
                </w:p>
              </w:tc>
              <w:tc>
                <w:tcPr>
                  <w:tcW w:w="3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20</w:t>
                  </w:r>
                </w:p>
              </w:tc>
              <w:tc>
                <w:tcPr>
                  <w:tcW w:w="3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0.0285</w:t>
                  </w:r>
                </w:p>
              </w:tc>
              <w:tc>
                <w:tcPr>
                  <w:tcW w:w="3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11.4</w:t>
                  </w:r>
                </w:p>
              </w:tc>
              <w:tc>
                <w:tcPr>
                  <w:tcW w:w="3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19.95</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1.33</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eastAsia" w:cs="Times New Roman"/>
                      <w:color w:val="000000" w:themeColor="text1"/>
                      <w:sz w:val="18"/>
                      <w:szCs w:val="18"/>
                      <w:vertAlign w:val="baseline"/>
                      <w:lang w:val="en-US" w:eastAsia="zh-CN"/>
                      <w14:textFill>
                        <w14:solidFill>
                          <w14:schemeClr w14:val="tx1"/>
                        </w14:solidFill>
                      </w14:textFill>
                    </w:rPr>
                    <w:t>33.25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5"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pH调节（调酸）+芬顿氧化+中和（调碱）+混凝沉淀+中和</w:t>
                  </w:r>
                </w:p>
              </w:tc>
              <w:tc>
                <w:tcPr>
                  <w:tcW w:w="67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去除率%</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70</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70</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60</w:t>
                  </w:r>
                </w:p>
              </w:tc>
              <w:tc>
                <w:tcPr>
                  <w:tcW w:w="39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50</w:t>
                  </w:r>
                </w:p>
              </w:tc>
              <w:tc>
                <w:tcPr>
                  <w:tcW w:w="3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40</w:t>
                  </w:r>
                </w:p>
              </w:tc>
              <w:tc>
                <w:tcPr>
                  <w:tcW w:w="3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30</w:t>
                  </w:r>
                </w:p>
              </w:tc>
              <w:tc>
                <w:tcPr>
                  <w:tcW w:w="3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30</w:t>
                  </w:r>
                </w:p>
              </w:tc>
              <w:tc>
                <w:tcPr>
                  <w:tcW w:w="3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30</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30</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30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5"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p>
              </w:tc>
              <w:tc>
                <w:tcPr>
                  <w:tcW w:w="67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出水浓度mg/L</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98.28</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21.6</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4.788</w:t>
                  </w:r>
                </w:p>
              </w:tc>
              <w:tc>
                <w:tcPr>
                  <w:tcW w:w="39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0.012</w:t>
                  </w:r>
                </w:p>
              </w:tc>
              <w:tc>
                <w:tcPr>
                  <w:tcW w:w="3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12</w:t>
                  </w:r>
                </w:p>
              </w:tc>
              <w:tc>
                <w:tcPr>
                  <w:tcW w:w="3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0.02</w:t>
                  </w:r>
                </w:p>
              </w:tc>
              <w:tc>
                <w:tcPr>
                  <w:tcW w:w="3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7.98</w:t>
                  </w:r>
                </w:p>
              </w:tc>
              <w:tc>
                <w:tcPr>
                  <w:tcW w:w="3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13.965</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0.931</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eastAsia" w:cs="Times New Roman"/>
                      <w:color w:val="000000" w:themeColor="text1"/>
                      <w:sz w:val="18"/>
                      <w:szCs w:val="18"/>
                      <w:vertAlign w:val="baseline"/>
                      <w:lang w:val="en-US" w:eastAsia="zh-CN"/>
                      <w14:textFill>
                        <w14:solidFill>
                          <w14:schemeClr w14:val="tx1"/>
                        </w14:solidFill>
                      </w14:textFill>
                    </w:rPr>
                    <w:t>23.275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5"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水解酸化+MBR</w:t>
                  </w:r>
                </w:p>
              </w:tc>
              <w:tc>
                <w:tcPr>
                  <w:tcW w:w="67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去除率%</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80</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90</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60</w:t>
                  </w:r>
                </w:p>
              </w:tc>
              <w:tc>
                <w:tcPr>
                  <w:tcW w:w="39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20</w:t>
                  </w:r>
                </w:p>
              </w:tc>
              <w:tc>
                <w:tcPr>
                  <w:tcW w:w="3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5</w:t>
                  </w:r>
                </w:p>
              </w:tc>
              <w:tc>
                <w:tcPr>
                  <w:tcW w:w="3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10</w:t>
                  </w:r>
                </w:p>
              </w:tc>
              <w:tc>
                <w:tcPr>
                  <w:tcW w:w="3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10</w:t>
                  </w:r>
                </w:p>
              </w:tc>
              <w:tc>
                <w:tcPr>
                  <w:tcW w:w="3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10</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10</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5"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p>
              </w:tc>
              <w:tc>
                <w:tcPr>
                  <w:tcW w:w="67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出水浓度mg/L</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19.656</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2.16</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1.9152</w:t>
                  </w:r>
                </w:p>
              </w:tc>
              <w:tc>
                <w:tcPr>
                  <w:tcW w:w="39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0.0096</w:t>
                  </w:r>
                </w:p>
              </w:tc>
              <w:tc>
                <w:tcPr>
                  <w:tcW w:w="3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11.4</w:t>
                  </w:r>
                </w:p>
              </w:tc>
              <w:tc>
                <w:tcPr>
                  <w:tcW w:w="3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0.018</w:t>
                  </w:r>
                </w:p>
              </w:tc>
              <w:tc>
                <w:tcPr>
                  <w:tcW w:w="3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7.182</w:t>
                  </w:r>
                </w:p>
              </w:tc>
              <w:tc>
                <w:tcPr>
                  <w:tcW w:w="3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12.569</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0.838</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eastAsia" w:cs="Times New Roman"/>
                      <w:color w:val="000000" w:themeColor="text1"/>
                      <w:sz w:val="18"/>
                      <w:szCs w:val="18"/>
                      <w:vertAlign w:val="baseline"/>
                      <w:lang w:val="en-US" w:eastAsia="zh-CN"/>
                      <w14:textFill>
                        <w14:solidFill>
                          <w14:schemeClr w14:val="tx1"/>
                        </w14:solidFill>
                      </w14:textFill>
                    </w:rPr>
                    <w:t>20.948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5"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RO</w:t>
                  </w:r>
                </w:p>
              </w:tc>
              <w:tc>
                <w:tcPr>
                  <w:tcW w:w="67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去除率%</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99.2</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99.5</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99.2</w:t>
                  </w:r>
                </w:p>
              </w:tc>
              <w:tc>
                <w:tcPr>
                  <w:tcW w:w="39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99</w:t>
                  </w:r>
                </w:p>
              </w:tc>
              <w:tc>
                <w:tcPr>
                  <w:tcW w:w="3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99</w:t>
                  </w:r>
                  <w:r>
                    <w:rPr>
                      <w:rFonts w:hint="eastAsia" w:cs="Times New Roman"/>
                      <w:color w:val="000000" w:themeColor="text1"/>
                      <w:sz w:val="18"/>
                      <w:szCs w:val="18"/>
                      <w:vertAlign w:val="baseline"/>
                      <w:lang w:val="en-US" w:eastAsia="zh-CN"/>
                      <w14:textFill>
                        <w14:solidFill>
                          <w14:schemeClr w14:val="tx1"/>
                        </w14:solidFill>
                      </w14:textFill>
                    </w:rPr>
                    <w:t>.5</w:t>
                  </w:r>
                </w:p>
              </w:tc>
              <w:tc>
                <w:tcPr>
                  <w:tcW w:w="3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99</w:t>
                  </w:r>
                  <w:r>
                    <w:rPr>
                      <w:rFonts w:hint="eastAsia" w:cs="Times New Roman"/>
                      <w:color w:val="000000" w:themeColor="text1"/>
                      <w:sz w:val="18"/>
                      <w:szCs w:val="18"/>
                      <w:vertAlign w:val="baseline"/>
                      <w:lang w:val="en-US" w:eastAsia="zh-CN"/>
                      <w14:textFill>
                        <w14:solidFill>
                          <w14:schemeClr w14:val="tx1"/>
                        </w14:solidFill>
                      </w14:textFill>
                    </w:rPr>
                    <w:t>.5</w:t>
                  </w:r>
                </w:p>
              </w:tc>
              <w:tc>
                <w:tcPr>
                  <w:tcW w:w="3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99</w:t>
                  </w:r>
                  <w:r>
                    <w:rPr>
                      <w:rFonts w:hint="eastAsia" w:cs="Times New Roman"/>
                      <w:color w:val="000000" w:themeColor="text1"/>
                      <w:sz w:val="18"/>
                      <w:szCs w:val="18"/>
                      <w:vertAlign w:val="baseline"/>
                      <w:lang w:val="en-US" w:eastAsia="zh-CN"/>
                      <w14:textFill>
                        <w14:solidFill>
                          <w14:schemeClr w14:val="tx1"/>
                        </w14:solidFill>
                      </w14:textFill>
                    </w:rPr>
                    <w:t>.5</w:t>
                  </w:r>
                </w:p>
              </w:tc>
              <w:tc>
                <w:tcPr>
                  <w:tcW w:w="3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99</w:t>
                  </w:r>
                  <w:r>
                    <w:rPr>
                      <w:rFonts w:hint="eastAsia" w:cs="Times New Roman"/>
                      <w:color w:val="000000" w:themeColor="text1"/>
                      <w:sz w:val="18"/>
                      <w:szCs w:val="18"/>
                      <w:vertAlign w:val="baseline"/>
                      <w:lang w:val="en-US" w:eastAsia="zh-CN"/>
                      <w14:textFill>
                        <w14:solidFill>
                          <w14:schemeClr w14:val="tx1"/>
                        </w14:solidFill>
                      </w14:textFill>
                    </w:rPr>
                    <w:t>.5</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99</w:t>
                  </w:r>
                  <w:r>
                    <w:rPr>
                      <w:rFonts w:hint="eastAsia" w:cs="Times New Roman"/>
                      <w:color w:val="000000" w:themeColor="text1"/>
                      <w:sz w:val="18"/>
                      <w:szCs w:val="18"/>
                      <w:vertAlign w:val="baseline"/>
                      <w:lang w:val="en-US" w:eastAsia="zh-CN"/>
                      <w14:textFill>
                        <w14:solidFill>
                          <w14:schemeClr w14:val="tx1"/>
                        </w14:solidFill>
                      </w14:textFill>
                    </w:rPr>
                    <w:t>.5</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99</w:t>
                  </w:r>
                  <w:r>
                    <w:rPr>
                      <w:rFonts w:hint="eastAsia" w:cs="Times New Roman"/>
                      <w:color w:val="000000" w:themeColor="text1"/>
                      <w:sz w:val="18"/>
                      <w:szCs w:val="18"/>
                      <w:vertAlign w:val="baseline"/>
                      <w:lang w:val="en-US" w:eastAsia="zh-CN"/>
                      <w14:textFill>
                        <w14:solidFill>
                          <w14:schemeClr w14:val="tx1"/>
                        </w14:solidFill>
                      </w14:textFill>
                    </w:rPr>
                    <w:t>.5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65"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p>
              </w:tc>
              <w:tc>
                <w:tcPr>
                  <w:tcW w:w="67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kern w:val="2"/>
                      <w:sz w:val="18"/>
                      <w:szCs w:val="18"/>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出水浓度mg/L</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0.157</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0.011</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0.015</w:t>
                  </w:r>
                </w:p>
              </w:tc>
              <w:tc>
                <w:tcPr>
                  <w:tcW w:w="39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0.001</w:t>
                  </w:r>
                </w:p>
              </w:tc>
              <w:tc>
                <w:tcPr>
                  <w:tcW w:w="3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cs="Times New Roman"/>
                      <w:color w:val="000000" w:themeColor="text1"/>
                      <w:sz w:val="18"/>
                      <w:szCs w:val="18"/>
                      <w:vertAlign w:val="baseline"/>
                      <w:lang w:val="en-US" w:eastAsia="zh-CN"/>
                      <w14:textFill>
                        <w14:solidFill>
                          <w14:schemeClr w14:val="tx1"/>
                        </w14:solidFill>
                      </w14:textFill>
                    </w:rPr>
                    <w:t xml:space="preserve">0.057 </w:t>
                  </w:r>
                </w:p>
              </w:tc>
              <w:tc>
                <w:tcPr>
                  <w:tcW w:w="3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cs="Times New Roman"/>
                      <w:color w:val="000000" w:themeColor="text1"/>
                      <w:sz w:val="18"/>
                      <w:szCs w:val="18"/>
                      <w:vertAlign w:val="baseline"/>
                      <w:lang w:val="en-US" w:eastAsia="zh-CN"/>
                      <w14:textFill>
                        <w14:solidFill>
                          <w14:schemeClr w14:val="tx1"/>
                        </w14:solidFill>
                      </w14:textFill>
                    </w:rPr>
                    <w:t xml:space="preserve">0.0001 </w:t>
                  </w:r>
                </w:p>
              </w:tc>
              <w:tc>
                <w:tcPr>
                  <w:tcW w:w="3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cs="Times New Roman"/>
                      <w:color w:val="000000" w:themeColor="text1"/>
                      <w:sz w:val="18"/>
                      <w:szCs w:val="18"/>
                      <w:vertAlign w:val="baseline"/>
                      <w:lang w:val="en-US" w:eastAsia="zh-CN"/>
                      <w14:textFill>
                        <w14:solidFill>
                          <w14:schemeClr w14:val="tx1"/>
                        </w14:solidFill>
                      </w14:textFill>
                    </w:rPr>
                    <w:t>0.03</w:t>
                  </w:r>
                  <w:r>
                    <w:rPr>
                      <w:rFonts w:hint="eastAsia" w:cs="Times New Roman"/>
                      <w:color w:val="000000" w:themeColor="text1"/>
                      <w:sz w:val="18"/>
                      <w:szCs w:val="18"/>
                      <w:vertAlign w:val="baseline"/>
                      <w:lang w:val="en-US" w:eastAsia="zh-CN"/>
                      <w14:textFill>
                        <w14:solidFill>
                          <w14:schemeClr w14:val="tx1"/>
                        </w14:solidFill>
                      </w14:textFill>
                    </w:rPr>
                    <w:t>6</w:t>
                  </w:r>
                  <w:r>
                    <w:rPr>
                      <w:rFonts w:hint="eastAsia" w:ascii="Times New Roman" w:hAnsi="Times New Roman" w:cs="Times New Roman"/>
                      <w:color w:val="000000" w:themeColor="text1"/>
                      <w:sz w:val="18"/>
                      <w:szCs w:val="18"/>
                      <w:vertAlign w:val="baseline"/>
                      <w:lang w:val="en-US" w:eastAsia="zh-CN"/>
                      <w14:textFill>
                        <w14:solidFill>
                          <w14:schemeClr w14:val="tx1"/>
                        </w14:solidFill>
                      </w14:textFill>
                    </w:rPr>
                    <w:t xml:space="preserve"> </w:t>
                  </w:r>
                </w:p>
              </w:tc>
              <w:tc>
                <w:tcPr>
                  <w:tcW w:w="3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cs="Times New Roman"/>
                      <w:color w:val="000000" w:themeColor="text1"/>
                      <w:sz w:val="18"/>
                      <w:szCs w:val="18"/>
                      <w:vertAlign w:val="baseline"/>
                      <w:lang w:val="en-US" w:eastAsia="zh-CN"/>
                      <w14:textFill>
                        <w14:solidFill>
                          <w14:schemeClr w14:val="tx1"/>
                        </w14:solidFill>
                      </w14:textFill>
                    </w:rPr>
                    <w:t xml:space="preserve">0.0628 </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cs="Times New Roman"/>
                      <w:color w:val="000000" w:themeColor="text1"/>
                      <w:sz w:val="18"/>
                      <w:szCs w:val="18"/>
                      <w:vertAlign w:val="baseline"/>
                      <w:lang w:val="en-US" w:eastAsia="zh-CN"/>
                      <w14:textFill>
                        <w14:solidFill>
                          <w14:schemeClr w14:val="tx1"/>
                        </w14:solidFill>
                      </w14:textFill>
                    </w:rPr>
                    <w:t xml:space="preserve">0.0042 </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cs="Times New Roman"/>
                      <w:color w:val="000000" w:themeColor="text1"/>
                      <w:sz w:val="18"/>
                      <w:szCs w:val="18"/>
                      <w:vertAlign w:val="baseline"/>
                      <w:lang w:val="en-US" w:eastAsia="zh-CN"/>
                      <w14:textFill>
                        <w14:solidFill>
                          <w14:schemeClr w14:val="tx1"/>
                        </w14:solidFill>
                      </w14:textFill>
                    </w:rPr>
                    <w:t xml:space="preserve">0.1047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44" w:type="pct"/>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《城市污水再生利用 工业用水水质》（GB/T19923-2005）洗涤用水</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30</w:t>
                  </w:r>
                </w:p>
              </w:tc>
              <w:tc>
                <w:tcPr>
                  <w:tcW w:w="35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w:t>
                  </w:r>
                </w:p>
              </w:tc>
              <w:tc>
                <w:tcPr>
                  <w:tcW w:w="39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w:t>
                  </w:r>
                </w:p>
              </w:tc>
              <w:tc>
                <w:tcPr>
                  <w:tcW w:w="3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w:t>
                  </w:r>
                </w:p>
              </w:tc>
              <w:tc>
                <w:tcPr>
                  <w:tcW w:w="3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w:t>
                  </w:r>
                </w:p>
              </w:tc>
              <w:tc>
                <w:tcPr>
                  <w:tcW w:w="3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w:t>
                  </w:r>
                </w:p>
              </w:tc>
              <w:tc>
                <w:tcPr>
                  <w:tcW w:w="36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w:t>
                  </w:r>
                </w:p>
              </w:tc>
              <w:tc>
                <w:tcPr>
                  <w:tcW w:w="3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eastAsia" w:ascii="Times New Roman" w:hAnsi="Times New Roman" w:cs="Times New Roman"/>
                      <w:color w:val="000000" w:themeColor="text1"/>
                      <w:sz w:val="18"/>
                      <w:szCs w:val="18"/>
                      <w:vertAlign w:val="baseline"/>
                      <w:lang w:val="en-US" w:eastAsia="zh-CN"/>
                      <w14:textFill>
                        <w14:solidFill>
                          <w14:schemeClr w14:val="tx1"/>
                        </w14:solidFill>
                      </w14:textFill>
                    </w:rPr>
                    <w:t>0.3</w:t>
                  </w:r>
                </w:p>
              </w:tc>
            </w:tr>
          </w:tbl>
          <w:p>
            <w:pPr>
              <w:pStyle w:val="20"/>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由上表可知，项目</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生产</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废水经</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自建污水处理设施</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处理后</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w:t>
            </w:r>
            <w:r>
              <w:rPr>
                <w:rFonts w:hint="eastAsia" w:cs="Times New Roman"/>
                <w:color w:val="000000" w:themeColor="text1"/>
                <w:kern w:val="2"/>
                <w:sz w:val="21"/>
                <w:szCs w:val="21"/>
                <w:highlight w:val="none"/>
                <w:lang w:val="en-US" w:eastAsia="zh-CN" w:bidi="ar-SA"/>
                <w14:textFill>
                  <w14:solidFill>
                    <w14:schemeClr w14:val="tx1"/>
                  </w14:solidFill>
                </w14:textFill>
              </w:rPr>
              <w:t>清水回用于酸洗后冲洗工序，污水处理设施处理后</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出水水质能够满足《城市污水再生利用工业用水水质》（GB/T19923-2005）洗涤用水水质标准要求</w:t>
            </w:r>
            <w:r>
              <w:rPr>
                <w:rFonts w:hint="eastAsia"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悬浮物30mg/L、铁0.3mg/L），</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且</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本项目</w:t>
            </w:r>
            <w:r>
              <w:rPr>
                <w:rFonts w:hint="eastAsia" w:cs="Times New Roman"/>
                <w:color w:val="000000" w:themeColor="text1"/>
                <w:kern w:val="2"/>
                <w:sz w:val="21"/>
                <w:szCs w:val="21"/>
                <w:highlight w:val="none"/>
                <w:lang w:val="en-US" w:eastAsia="zh-CN" w:bidi="ar-SA"/>
                <w14:textFill>
                  <w14:solidFill>
                    <w14:schemeClr w14:val="tx1"/>
                  </w14:solidFill>
                </w14:textFill>
              </w:rPr>
              <w:t>酸洗后冲洗工序</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对清洗水质要求不高，处理后水质可以满足回用要求，生产废水采用“隔油沉淀+调节+气浮+pH调节（调酸）+芬顿氧化+中和（调碱）+混凝沉淀+中和+水解酸化+MBR（微滤）+RO过滤”工艺进行处理是可行的，</w:t>
            </w:r>
            <w: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t>经处理后废水</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可以做到循环利用，不外排。</w:t>
            </w:r>
          </w:p>
        </w:tc>
      </w:tr>
    </w:tbl>
    <w:p>
      <w:pPr>
        <w:pStyle w:val="20"/>
        <w:rPr>
          <w:rFonts w:hint="default" w:ascii="Times New Roman" w:hAnsi="Times New Roman" w:cs="Times New Roman"/>
          <w:color w:val="000000" w:themeColor="text1"/>
          <w14:textFill>
            <w14:solidFill>
              <w14:schemeClr w14:val="tx1"/>
            </w14:solidFill>
          </w14:textFill>
        </w:rPr>
        <w:sectPr>
          <w:pgSz w:w="16840" w:h="11907" w:orient="landscape"/>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84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5"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运营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期环</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境影</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响和</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保护</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000000" w:themeColor="text1"/>
                <w:vertAlign w:val="baseli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措施</w:t>
            </w:r>
          </w:p>
        </w:tc>
        <w:tc>
          <w:tcPr>
            <w:tcW w:w="8488" w:type="dxa"/>
          </w:tcPr>
          <w:p>
            <w:pPr>
              <w:pStyle w:val="3"/>
              <w:keepNext w:val="0"/>
              <w:keepLines w:val="0"/>
              <w:pageBreakBefore w:val="0"/>
              <w:widowControl w:val="0"/>
              <w:numPr>
                <w:ilvl w:val="0"/>
                <w:numId w:val="0"/>
              </w:numPr>
              <w:kinsoku/>
              <w:wordWrap/>
              <w:overflowPunct/>
              <w:topLinePunct w:val="0"/>
              <w:bidi w:val="0"/>
              <w:adjustRightInd/>
              <w:snapToGrid/>
              <w:spacing w:before="0" w:after="0" w:line="360" w:lineRule="auto"/>
              <w:ind w:left="0" w:leftChars="0" w:right="0" w:firstLine="406" w:firstLineChars="200"/>
              <w:jc w:val="both"/>
              <w:textAlignment w:val="auto"/>
              <w:rPr>
                <w:rFonts w:hint="default" w:ascii="Times New Roman" w:hAnsi="Times New Roman" w:cs="Times New Roman"/>
                <w:b/>
                <w:bCs w:val="0"/>
                <w:snapToGrid/>
                <w:color w:val="000000" w:themeColor="text1"/>
                <w:kern w:val="2"/>
                <w:sz w:val="21"/>
                <w:szCs w:val="21"/>
                <w:highlight w:val="none"/>
                <w14:textFill>
                  <w14:solidFill>
                    <w14:schemeClr w14:val="tx1"/>
                  </w14:solidFill>
                </w14:textFill>
              </w:rPr>
            </w:pPr>
            <w:r>
              <w:rPr>
                <w:rFonts w:hint="default" w:ascii="Times New Roman" w:hAnsi="Times New Roman" w:cs="Times New Roman"/>
                <w:b/>
                <w:bCs w:val="0"/>
                <w:color w:val="000000" w:themeColor="text1"/>
                <w:spacing w:val="-4"/>
                <w:sz w:val="21"/>
                <w:szCs w:val="21"/>
                <w:highlight w:val="none"/>
                <w14:textFill>
                  <w14:solidFill>
                    <w14:schemeClr w14:val="tx1"/>
                  </w14:solidFill>
                </w14:textFill>
              </w:rPr>
              <w:t>（</w:t>
            </w:r>
            <w:r>
              <w:rPr>
                <w:rFonts w:hint="default" w:ascii="Times New Roman" w:hAnsi="Times New Roman" w:cs="Times New Roman"/>
                <w:b/>
                <w:bCs w:val="0"/>
                <w:color w:val="000000" w:themeColor="text1"/>
                <w:spacing w:val="-4"/>
                <w:sz w:val="21"/>
                <w:szCs w:val="21"/>
                <w:highlight w:val="none"/>
                <w:lang w:val="en-US" w:eastAsia="zh-CN"/>
                <w14:textFill>
                  <w14:solidFill>
                    <w14:schemeClr w14:val="tx1"/>
                  </w14:solidFill>
                </w14:textFill>
              </w:rPr>
              <w:t>3</w:t>
            </w:r>
            <w:r>
              <w:rPr>
                <w:rFonts w:hint="default" w:ascii="Times New Roman" w:hAnsi="Times New Roman" w:cs="Times New Roman"/>
                <w:b/>
                <w:bCs w:val="0"/>
                <w:color w:val="000000" w:themeColor="text1"/>
                <w:spacing w:val="-4"/>
                <w:sz w:val="21"/>
                <w:szCs w:val="21"/>
                <w:highlight w:val="none"/>
                <w14:textFill>
                  <w14:solidFill>
                    <w14:schemeClr w14:val="tx1"/>
                  </w14:solidFill>
                </w14:textFill>
              </w:rPr>
              <w:t>）废水进入污水处理厂的可行性</w:t>
            </w:r>
          </w:p>
          <w:p>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jc w:val="both"/>
              <w:textAlignment w:val="auto"/>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项目外排废水主要为</w:t>
            </w:r>
            <w:r>
              <w:rPr>
                <w:rFonts w:hint="default" w:ascii="Times New Roman" w:hAnsi="Times New Roman" w:cs="Times New Roman"/>
                <w:color w:val="000000" w:themeColor="text1"/>
                <w:sz w:val="21"/>
                <w:szCs w:val="21"/>
                <w:highlight w:val="none"/>
                <w14:textFill>
                  <w14:solidFill>
                    <w14:schemeClr w14:val="tx1"/>
                  </w14:solidFill>
                </w14:textFill>
              </w:rPr>
              <w:t>生活</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污水，</w:t>
            </w:r>
            <w:r>
              <w:rPr>
                <w:rFonts w:hint="default" w:ascii="Times New Roman" w:hAnsi="Times New Roman" w:cs="Times New Roman"/>
                <w:color w:val="000000" w:themeColor="text1"/>
                <w:sz w:val="21"/>
                <w:szCs w:val="21"/>
                <w:highlight w:val="none"/>
                <w14:textFill>
                  <w14:solidFill>
                    <w14:schemeClr w14:val="tx1"/>
                  </w14:solidFill>
                </w14:textFill>
              </w:rPr>
              <w:t>经</w:t>
            </w:r>
            <w:r>
              <w:rPr>
                <w:rFonts w:hint="default" w:ascii="Times New Roman" w:hAnsi="Times New Roman" w:cs="Times New Roman"/>
                <w:color w:val="000000" w:themeColor="text1"/>
                <w:sz w:val="21"/>
                <w:szCs w:val="21"/>
                <w:highlight w:val="none"/>
                <w:lang w:eastAsia="zh-CN"/>
                <w14:textFill>
                  <w14:solidFill>
                    <w14:schemeClr w14:val="tx1"/>
                  </w14:solidFill>
                </w14:textFill>
              </w:rPr>
              <w:t>化粪池处理后，通过区域污水管网排入新乡县综合污水处理厂</w:t>
            </w:r>
            <w:r>
              <w:rPr>
                <w:rFonts w:hint="default" w:ascii="Times New Roman" w:hAnsi="Times New Roman" w:cs="Times New Roman"/>
                <w:bCs/>
                <w:color w:val="000000" w:themeColor="text1"/>
                <w:spacing w:val="-4"/>
                <w:sz w:val="21"/>
                <w:szCs w:val="21"/>
                <w:highlight w:val="none"/>
                <w14:textFill>
                  <w14:solidFill>
                    <w14:schemeClr w14:val="tx1"/>
                  </w14:solidFill>
                </w14:textFill>
              </w:rPr>
              <w:t>进一步处理，</w:t>
            </w:r>
            <w:r>
              <w:rPr>
                <w:rFonts w:hint="default" w:ascii="Times New Roman" w:hAnsi="Times New Roman" w:cs="Times New Roman"/>
                <w:bCs/>
                <w:color w:val="000000" w:themeColor="text1"/>
                <w:spacing w:val="-4"/>
                <w:sz w:val="21"/>
                <w:szCs w:val="21"/>
                <w:highlight w:val="none"/>
                <w:lang w:eastAsia="zh-CN"/>
                <w14:textFill>
                  <w14:solidFill>
                    <w14:schemeClr w14:val="tx1"/>
                  </w14:solidFill>
                </w14:textFill>
              </w:rPr>
              <w:t>本次工程新增</w:t>
            </w:r>
            <w:r>
              <w:rPr>
                <w:rFonts w:hint="default" w:ascii="Times New Roman" w:hAnsi="Times New Roman" w:cs="Times New Roman"/>
                <w:color w:val="000000" w:themeColor="text1"/>
                <w:sz w:val="21"/>
                <w:szCs w:val="21"/>
                <w:highlight w:val="none"/>
                <w:lang w:eastAsia="zh-CN"/>
                <w14:textFill>
                  <w14:solidFill>
                    <w14:schemeClr w14:val="tx1"/>
                  </w14:solidFill>
                </w14:textFill>
              </w:rPr>
              <w:t>生活污水</w:t>
            </w:r>
            <w:r>
              <w:rPr>
                <w:rFonts w:hint="default" w:ascii="Times New Roman" w:hAnsi="Times New Roman" w:cs="Times New Roman"/>
                <w:color w:val="000000" w:themeColor="text1"/>
                <w:sz w:val="21"/>
                <w:szCs w:val="21"/>
                <w:highlight w:val="none"/>
                <w14:textFill>
                  <w14:solidFill>
                    <w14:schemeClr w14:val="tx1"/>
                  </w14:solidFill>
                </w14:textFill>
              </w:rPr>
              <w:t>外排量为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0.64</w:t>
            </w:r>
            <w:r>
              <w:rPr>
                <w:rFonts w:hint="default" w:ascii="Times New Roman" w:hAnsi="Times New Roman" w:cs="Times New Roman"/>
                <w:color w:val="000000" w:themeColor="text1"/>
                <w:sz w:val="21"/>
                <w:szCs w:val="21"/>
                <w:highlight w:val="none"/>
                <w:lang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eastAsia="zh-CN"/>
                <w14:textFill>
                  <w14:solidFill>
                    <w14:schemeClr w14:val="tx1"/>
                  </w14:solidFill>
                </w14:textFill>
              </w:rPr>
              <w:t>/d（</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192</w:t>
            </w:r>
            <w:r>
              <w:rPr>
                <w:rFonts w:hint="default" w:ascii="Times New Roman" w:hAnsi="Times New Roman" w:cs="Times New Roman"/>
                <w:color w:val="000000" w:themeColor="text1"/>
                <w:sz w:val="21"/>
                <w:szCs w:val="21"/>
                <w:highlight w:val="none"/>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a</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Cs/>
                <w:color w:val="000000" w:themeColor="text1"/>
                <w:sz w:val="21"/>
                <w:szCs w:val="21"/>
                <w:highlight w:val="none"/>
                <w:lang w:eastAsia="zh-CN"/>
                <w14:textFill>
                  <w14:solidFill>
                    <w14:schemeClr w14:val="tx1"/>
                  </w14:solidFill>
                </w14:textFill>
              </w:rPr>
              <w:t>，外排</w:t>
            </w:r>
            <w:r>
              <w:rPr>
                <w:rFonts w:hint="default" w:ascii="Times New Roman" w:hAnsi="Times New Roman" w:cs="Times New Roman"/>
                <w:color w:val="000000" w:themeColor="text1"/>
                <w:sz w:val="21"/>
                <w:szCs w:val="21"/>
                <w:highlight w:val="none"/>
                <w:lang w:eastAsia="zh-CN"/>
                <w14:textFill>
                  <w14:solidFill>
                    <w14:schemeClr w14:val="tx1"/>
                  </w14:solidFill>
                </w14:textFill>
              </w:rPr>
              <w:t>综合废水</w:t>
            </w:r>
            <w:r>
              <w:rPr>
                <w:rFonts w:hint="default" w:ascii="Times New Roman" w:hAnsi="Times New Roman" w:cs="Times New Roman"/>
                <w:color w:val="000000" w:themeColor="text1"/>
                <w:sz w:val="21"/>
                <w:szCs w:val="21"/>
                <w:highlight w:val="none"/>
                <w14:textFill>
                  <w14:solidFill>
                    <w14:schemeClr w14:val="tx1"/>
                  </w14:solidFill>
                </w14:textFill>
              </w:rPr>
              <w:t>水质为COD</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210</w:t>
            </w:r>
            <w:r>
              <w:rPr>
                <w:rFonts w:hint="default" w:ascii="Times New Roman" w:hAnsi="Times New Roman" w:cs="Times New Roman"/>
                <w:color w:val="000000" w:themeColor="text1"/>
                <w:sz w:val="21"/>
                <w:szCs w:val="21"/>
                <w:highlight w:val="none"/>
                <w14:textFill>
                  <w14:solidFill>
                    <w14:schemeClr w14:val="tx1"/>
                  </w14:solidFill>
                </w14:textFill>
              </w:rPr>
              <w:t>mg/L、</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BOD</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140mg/L</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SS</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100</w:t>
            </w:r>
            <w:r>
              <w:rPr>
                <w:rFonts w:hint="default" w:ascii="Times New Roman" w:hAnsi="Times New Roman" w:cs="Times New Roman"/>
                <w:color w:val="000000" w:themeColor="text1"/>
                <w:sz w:val="21"/>
                <w:szCs w:val="21"/>
                <w:highlight w:val="none"/>
                <w14:textFill>
                  <w14:solidFill>
                    <w14:schemeClr w14:val="tx1"/>
                  </w14:solidFill>
                </w14:textFill>
              </w:rPr>
              <w:t>mg/L、NH</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-N</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27</w:t>
            </w:r>
            <w:r>
              <w:rPr>
                <w:rFonts w:hint="default" w:ascii="Times New Roman" w:hAnsi="Times New Roman" w:cs="Times New Roman"/>
                <w:color w:val="000000" w:themeColor="text1"/>
                <w:sz w:val="21"/>
                <w:szCs w:val="21"/>
                <w:highlight w:val="none"/>
                <w14:textFill>
                  <w14:solidFill>
                    <w14:schemeClr w14:val="tx1"/>
                  </w14:solidFill>
                </w14:textFill>
              </w:rPr>
              <w:t>mg/L</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、TP3</w:t>
            </w:r>
            <w:r>
              <w:rPr>
                <w:rFonts w:hint="default" w:ascii="Times New Roman" w:hAnsi="Times New Roman" w:cs="Times New Roman"/>
                <w:color w:val="000000" w:themeColor="text1"/>
                <w:sz w:val="21"/>
                <w:szCs w:val="21"/>
                <w:highlight w:val="none"/>
                <w14:textFill>
                  <w14:solidFill>
                    <w14:schemeClr w14:val="tx1"/>
                  </w14:solidFill>
                </w14:textFill>
              </w:rPr>
              <w:t>mg/L</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firstLine="422" w:firstLineChars="200"/>
              <w:jc w:val="both"/>
              <w:textAlignment w:val="auto"/>
              <w:rPr>
                <w:rFonts w:hint="default" w:ascii="Times New Roman" w:hAnsi="Times New Roman"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fldChar w:fldCharType="begin"/>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instrText xml:space="preserve"> = 1 \* GB3 \* MERGEFORMAT </w:instrText>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fldChar w:fldCharType="separate"/>
            </w:r>
            <w:r>
              <w:rPr>
                <w:rFonts w:hint="default" w:ascii="Times New Roman" w:hAnsi="Times New Roman" w:cs="Times New Roman"/>
                <w:b/>
                <w:bCs/>
                <w:color w:val="000000" w:themeColor="text1"/>
                <w:highlight w:val="none"/>
                <w14:textFill>
                  <w14:solidFill>
                    <w14:schemeClr w14:val="tx1"/>
                  </w14:solidFill>
                </w14:textFill>
              </w:rPr>
              <w:t>①</w:t>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fldChar w:fldCharType="end"/>
            </w:r>
            <w:r>
              <w:rPr>
                <w:rFonts w:hint="default" w:ascii="Times New Roman" w:hAnsi="Times New Roman" w:cs="Times New Roman"/>
                <w:b/>
                <w:bCs/>
                <w:color w:val="000000" w:themeColor="text1"/>
                <w:kern w:val="2"/>
                <w:sz w:val="21"/>
                <w:szCs w:val="21"/>
                <w:highlight w:val="none"/>
                <w:lang w:eastAsia="zh-CN"/>
                <w14:textFill>
                  <w14:solidFill>
                    <w14:schemeClr w14:val="tx1"/>
                  </w14:solidFill>
                </w14:textFill>
              </w:rPr>
              <w:t>新乡县综合污水处理厂概况</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新乡县综合污水处理厂位于</w:t>
            </w:r>
            <w:r>
              <w:rPr>
                <w:rFonts w:hint="default" w:ascii="Times New Roman" w:hAnsi="Times New Roman" w:cs="Times New Roman"/>
                <w:color w:val="000000" w:themeColor="text1"/>
                <w:szCs w:val="24"/>
                <w14:textFill>
                  <w14:solidFill>
                    <w14:schemeClr w14:val="tx1"/>
                  </w14:solidFill>
                </w14:textFill>
              </w:rPr>
              <w:t>集聚区北区（胜利路以东、青龙路以北、文化路以西、东孟姜女河以南的区域）</w:t>
            </w:r>
            <w:r>
              <w:rPr>
                <w:rFonts w:hint="default" w:ascii="Times New Roman" w:hAnsi="Times New Roman" w:cs="Times New Roman"/>
                <w:color w:val="000000" w:themeColor="text1"/>
                <w14:textFill>
                  <w14:solidFill>
                    <w14:schemeClr w14:val="tx1"/>
                  </w14:solidFill>
                </w14:textFill>
              </w:rPr>
              <w:t>，设计处理规模为15万m³/d，总服务面积48.42km</w:t>
            </w:r>
            <w:r>
              <w:rPr>
                <w:rFonts w:hint="default" w:ascii="Times New Roman" w:hAnsi="Times New Roman" w:cs="Times New Roman"/>
                <w:color w:val="000000" w:themeColor="text1"/>
                <w:vertAlign w:val="superscript"/>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。目前主体工程已完工，目前正在进行收水调试。收水范围为</w:t>
            </w:r>
            <w:r>
              <w:rPr>
                <w:rFonts w:hint="default" w:ascii="Times New Roman" w:hAnsi="Times New Roman" w:cs="Times New Roman"/>
                <w:bCs/>
                <w:color w:val="000000" w:themeColor="text1"/>
                <w:szCs w:val="28"/>
                <w14:textFill>
                  <w14:solidFill>
                    <w14:schemeClr w14:val="tx1"/>
                  </w14:solidFill>
                </w14:textFill>
              </w:rPr>
              <w:t>新乡县中心城区（40km</w:t>
            </w:r>
            <w:r>
              <w:rPr>
                <w:rFonts w:hint="default" w:ascii="Times New Roman" w:hAnsi="Times New Roman" w:cs="Times New Roman"/>
                <w:bCs/>
                <w:color w:val="000000" w:themeColor="text1"/>
                <w:szCs w:val="28"/>
                <w:vertAlign w:val="superscript"/>
                <w14:textFill>
                  <w14:solidFill>
                    <w14:schemeClr w14:val="tx1"/>
                  </w14:solidFill>
                </w14:textFill>
              </w:rPr>
              <w:t>2</w:t>
            </w:r>
            <w:r>
              <w:rPr>
                <w:rFonts w:hint="default" w:ascii="Times New Roman" w:hAnsi="Times New Roman" w:cs="Times New Roman"/>
                <w:bCs/>
                <w:color w:val="000000" w:themeColor="text1"/>
                <w:szCs w:val="28"/>
                <w14:textFill>
                  <w14:solidFill>
                    <w14:schemeClr w14:val="tx1"/>
                  </w14:solidFill>
                </w14:textFill>
              </w:rPr>
              <w:t>，包含部分新乡经济技术产业集聚区）、新乡经济技术产业集聚区（3.16km</w:t>
            </w:r>
            <w:r>
              <w:rPr>
                <w:rFonts w:hint="default" w:ascii="Times New Roman" w:hAnsi="Times New Roman" w:cs="Times New Roman"/>
                <w:bCs/>
                <w:color w:val="000000" w:themeColor="text1"/>
                <w:szCs w:val="28"/>
                <w:vertAlign w:val="superscript"/>
                <w14:textFill>
                  <w14:solidFill>
                    <w14:schemeClr w14:val="tx1"/>
                  </w14:solidFill>
                </w14:textFill>
              </w:rPr>
              <w:t>2</w:t>
            </w:r>
            <w:r>
              <w:rPr>
                <w:rFonts w:hint="default" w:ascii="Times New Roman" w:hAnsi="Times New Roman" w:cs="Times New Roman"/>
                <w:bCs/>
                <w:color w:val="000000" w:themeColor="text1"/>
                <w:szCs w:val="28"/>
                <w14:textFill>
                  <w14:solidFill>
                    <w14:schemeClr w14:val="tx1"/>
                  </w14:solidFill>
                </w14:textFill>
              </w:rPr>
              <w:t>，纸制品印刷包装产业园和装备制造产业园）、朗公庙镇中心镇区（5.26km</w:t>
            </w:r>
            <w:r>
              <w:rPr>
                <w:rFonts w:hint="default" w:ascii="Times New Roman" w:hAnsi="Times New Roman" w:cs="Times New Roman"/>
                <w:bCs/>
                <w:color w:val="000000" w:themeColor="text1"/>
                <w:szCs w:val="28"/>
                <w:vertAlign w:val="superscript"/>
                <w14:textFill>
                  <w14:solidFill>
                    <w14:schemeClr w14:val="tx1"/>
                  </w14:solidFill>
                </w14:textFill>
              </w:rPr>
              <w:t>2</w:t>
            </w:r>
            <w:r>
              <w:rPr>
                <w:rFonts w:hint="default" w:ascii="Times New Roman" w:hAnsi="Times New Roman" w:cs="Times New Roman"/>
                <w:bCs/>
                <w:color w:val="000000" w:themeColor="text1"/>
                <w:szCs w:val="28"/>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。采用的工艺为</w:t>
            </w:r>
            <w:r>
              <w:rPr>
                <w:rFonts w:hint="default" w:ascii="Times New Roman" w:hAnsi="Times New Roman" w:cs="Times New Roman"/>
                <w:color w:val="000000" w:themeColor="text1"/>
                <w:szCs w:val="21"/>
                <w14:textFill>
                  <w14:solidFill>
                    <w14:schemeClr w14:val="tx1"/>
                  </w14:solidFill>
                </w14:textFill>
              </w:rPr>
              <w:t>“格栅+水解酸化+AAOAO +沉淀+V型过滤+臭氧接触+活性炭过滤”</w:t>
            </w:r>
            <w:r>
              <w:rPr>
                <w:rFonts w:hint="default" w:ascii="Times New Roman" w:hAnsi="Times New Roman" w:cs="Times New Roman"/>
                <w:color w:val="000000" w:themeColor="text1"/>
                <w14:textFill>
                  <w14:solidFill>
                    <w14:schemeClr w14:val="tx1"/>
                  </w14:solidFill>
                </w14:textFill>
              </w:rPr>
              <w:t>。设计进水水质为COD400mg/L、BOD</w:t>
            </w:r>
            <w:r>
              <w:rPr>
                <w:rFonts w:hint="default" w:ascii="Times New Roman" w:hAnsi="Times New Roman" w:cs="Times New Roman"/>
                <w:color w:val="000000" w:themeColor="text1"/>
                <w:vertAlign w:val="subscript"/>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100mg/L、SS180mg/L、NH</w:t>
            </w:r>
            <w:r>
              <w:rPr>
                <w:rFonts w:hint="default" w:ascii="Times New Roman" w:hAnsi="Times New Roman" w:cs="Times New Roman"/>
                <w:color w:val="000000" w:themeColor="text1"/>
                <w:vertAlign w:val="sub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-N59mg/L、TP4mg/L、TN70mg/L，出水水质达到</w:t>
            </w:r>
            <w:r>
              <w:rPr>
                <w:rFonts w:hint="default" w:ascii="Times New Roman" w:hAnsi="Times New Roman" w:cs="Times New Roman"/>
                <w:color w:val="000000" w:themeColor="text1"/>
                <w:szCs w:val="21"/>
                <w14:textFill>
                  <w14:solidFill>
                    <w14:schemeClr w14:val="tx1"/>
                  </w14:solidFill>
                </w14:textFill>
              </w:rPr>
              <w:t>《地表水环境质量标准》（GB3838-2002）</w:t>
            </w:r>
            <w:r>
              <w:rPr>
                <w:rFonts w:hint="default" w:ascii="Times New Roman" w:hAnsi="Times New Roman" w:cs="Times New Roman"/>
                <w:color w:val="000000" w:themeColor="text1"/>
                <w:szCs w:val="21"/>
                <w14:textFill>
                  <w14:solidFill>
                    <w14:schemeClr w14:val="tx1"/>
                  </w14:solidFill>
                </w14:textFill>
              </w:rPr>
              <w:fldChar w:fldCharType="begin"/>
            </w:r>
            <w:r>
              <w:rPr>
                <w:rFonts w:hint="default" w:ascii="Times New Roman" w:hAnsi="Times New Roman" w:cs="Times New Roman"/>
                <w:color w:val="000000" w:themeColor="text1"/>
                <w:szCs w:val="21"/>
                <w14:textFill>
                  <w14:solidFill>
                    <w14:schemeClr w14:val="tx1"/>
                  </w14:solidFill>
                </w14:textFill>
              </w:rPr>
              <w:instrText xml:space="preserve"> = 4 \* ROMAN </w:instrText>
            </w:r>
            <w:r>
              <w:rPr>
                <w:rFonts w:hint="default" w:ascii="Times New Roman" w:hAnsi="Times New Roman" w:cs="Times New Roman"/>
                <w:color w:val="000000" w:themeColor="text1"/>
                <w:szCs w:val="21"/>
                <w14:textFill>
                  <w14:solidFill>
                    <w14:schemeClr w14:val="tx1"/>
                  </w14:solidFill>
                </w14:textFill>
              </w:rPr>
              <w:fldChar w:fldCharType="separate"/>
            </w:r>
            <w:r>
              <w:rPr>
                <w:rFonts w:hint="default" w:ascii="Times New Roman" w:hAnsi="Times New Roman" w:cs="Times New Roman"/>
                <w:color w:val="000000" w:themeColor="text1"/>
                <w:szCs w:val="21"/>
                <w14:textFill>
                  <w14:solidFill>
                    <w14:schemeClr w14:val="tx1"/>
                  </w14:solidFill>
                </w14:textFill>
              </w:rPr>
              <w:t>V</w:t>
            </w:r>
            <w:r>
              <w:rPr>
                <w:rFonts w:hint="default" w:ascii="Times New Roman" w:hAnsi="Times New Roman" w:cs="Times New Roman"/>
                <w:color w:val="000000" w:themeColor="text1"/>
                <w:szCs w:val="21"/>
                <w14:textFill>
                  <w14:solidFill>
                    <w14:schemeClr w14:val="tx1"/>
                  </w14:solidFill>
                </w14:textFill>
              </w:rPr>
              <w:fldChar w:fldCharType="end"/>
            </w:r>
            <w:r>
              <w:rPr>
                <w:rFonts w:hint="default" w:ascii="Times New Roman" w:hAnsi="Times New Roman" w:cs="Times New Roman"/>
                <w:color w:val="000000" w:themeColor="text1"/>
                <w:szCs w:val="21"/>
                <w14:textFill>
                  <w14:solidFill>
                    <w14:schemeClr w14:val="tx1"/>
                  </w14:solidFill>
                </w14:textFill>
              </w:rPr>
              <w:t>类标准，即</w:t>
            </w:r>
            <w:r>
              <w:rPr>
                <w:rFonts w:hint="default" w:ascii="Times New Roman" w:hAnsi="Times New Roman" w:cs="Times New Roman"/>
                <w:color w:val="000000" w:themeColor="text1"/>
                <w14:textFill>
                  <w14:solidFill>
                    <w14:schemeClr w14:val="tx1"/>
                  </w14:solidFill>
                </w14:textFill>
              </w:rPr>
              <w:t>COD 40mg/L、</w:t>
            </w:r>
            <w:r>
              <w:rPr>
                <w:rFonts w:hint="default" w:ascii="Times New Roman" w:hAnsi="Times New Roman" w:cs="Times New Roman"/>
                <w:color w:val="000000" w:themeColor="text1"/>
                <w:lang w:val="en-US" w:eastAsia="zh-CN"/>
                <w14:textFill>
                  <w14:solidFill>
                    <w14:schemeClr w14:val="tx1"/>
                  </w14:solidFill>
                </w14:textFill>
              </w:rPr>
              <w:t>BOD10mg/L</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SS 10mg/L、NH</w:t>
            </w:r>
            <w:r>
              <w:rPr>
                <w:rFonts w:hint="default" w:ascii="Times New Roman" w:hAnsi="Times New Roman" w:cs="Times New Roman"/>
                <w:color w:val="000000" w:themeColor="text1"/>
                <w:vertAlign w:val="sub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-N 2mg/L、TP 0.4mg/L、TN15mg/L，废水排入东孟姜女河，最终汇入卫河。</w:t>
            </w:r>
          </w:p>
          <w:p>
            <w:pPr>
              <w:keepNext w:val="0"/>
              <w:keepLines w:val="0"/>
              <w:pageBreakBefore w:val="0"/>
              <w:widowControl w:val="0"/>
              <w:kinsoku/>
              <w:wordWrap/>
              <w:overflowPunct/>
              <w:topLinePunct w:val="0"/>
              <w:autoSpaceDE/>
              <w:autoSpaceDN/>
              <w:bidi w:val="0"/>
              <w:adjustRightInd/>
              <w:snapToGrid/>
              <w:spacing w:line="360" w:lineRule="auto"/>
              <w:ind w:left="0" w:leftChars="0" w:right="0" w:firstLine="422" w:firstLineChars="200"/>
              <w:jc w:val="both"/>
              <w:textAlignment w:val="auto"/>
              <w:rPr>
                <w:rFonts w:hint="default" w:ascii="Times New Roman" w:hAnsi="Times New Roman"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fldChar w:fldCharType="begin"/>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instrText xml:space="preserve"> = 2 \* GB3 \* MERGEFORMAT </w:instrText>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fldChar w:fldCharType="separate"/>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②</w:t>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fldChar w:fldCharType="end"/>
            </w: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收水水质</w:t>
            </w:r>
          </w:p>
          <w:p>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jc w:val="both"/>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eastAsia="zh-CN"/>
                <w14:textFill>
                  <w14:solidFill>
                    <w14:schemeClr w14:val="tx1"/>
                  </w14:solidFill>
                </w14:textFill>
              </w:rPr>
              <w:t>本项目废水</w:t>
            </w:r>
            <w:r>
              <w:rPr>
                <w:rFonts w:hint="default" w:ascii="Times New Roman" w:hAnsi="Times New Roman" w:eastAsia="宋体" w:cs="Times New Roman"/>
                <w:bCs/>
                <w:color w:val="000000" w:themeColor="text1"/>
                <w:kern w:val="0"/>
                <w:sz w:val="21"/>
                <w:szCs w:val="21"/>
                <w:highlight w:val="none"/>
                <w14:textFill>
                  <w14:solidFill>
                    <w14:schemeClr w14:val="tx1"/>
                  </w14:solidFill>
                </w14:textFill>
              </w:rPr>
              <w:t>排水量为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0.64</w:t>
            </w:r>
            <w:r>
              <w:rPr>
                <w:rFonts w:hint="default" w:ascii="Times New Roman" w:hAnsi="Times New Roman" w:cs="Times New Roman"/>
                <w:color w:val="000000" w:themeColor="text1"/>
                <w:sz w:val="21"/>
                <w:szCs w:val="21"/>
                <w:highlight w:val="none"/>
                <w:lang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eastAsia="zh-CN"/>
                <w14:textFill>
                  <w14:solidFill>
                    <w14:schemeClr w14:val="tx1"/>
                  </w14:solidFill>
                </w14:textFill>
              </w:rPr>
              <w:t>/d（</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192</w:t>
            </w:r>
            <w:r>
              <w:rPr>
                <w:rFonts w:hint="default" w:ascii="Times New Roman" w:hAnsi="Times New Roman" w:cs="Times New Roman"/>
                <w:color w:val="000000" w:themeColor="text1"/>
                <w:sz w:val="21"/>
                <w:szCs w:val="21"/>
                <w:highlight w:val="none"/>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a</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Cs/>
                <w:color w:val="000000" w:themeColor="text1"/>
                <w:sz w:val="21"/>
                <w:szCs w:val="21"/>
                <w:highlight w:val="none"/>
                <w:lang w:eastAsia="zh-CN"/>
                <w14:textFill>
                  <w14:solidFill>
                    <w14:schemeClr w14:val="tx1"/>
                  </w14:solidFill>
                </w14:textFill>
              </w:rPr>
              <w:t>，外排</w:t>
            </w:r>
            <w:r>
              <w:rPr>
                <w:rFonts w:hint="default" w:ascii="Times New Roman" w:hAnsi="Times New Roman" w:cs="Times New Roman"/>
                <w:color w:val="000000" w:themeColor="text1"/>
                <w:sz w:val="21"/>
                <w:szCs w:val="21"/>
                <w:highlight w:val="none"/>
                <w:lang w:eastAsia="zh-CN"/>
                <w14:textFill>
                  <w14:solidFill>
                    <w14:schemeClr w14:val="tx1"/>
                  </w14:solidFill>
                </w14:textFill>
              </w:rPr>
              <w:t>综合废水</w:t>
            </w:r>
            <w:r>
              <w:rPr>
                <w:rFonts w:hint="default" w:ascii="Times New Roman" w:hAnsi="Times New Roman" w:cs="Times New Roman"/>
                <w:color w:val="000000" w:themeColor="text1"/>
                <w:sz w:val="21"/>
                <w:szCs w:val="21"/>
                <w:highlight w:val="none"/>
                <w14:textFill>
                  <w14:solidFill>
                    <w14:schemeClr w14:val="tx1"/>
                  </w14:solidFill>
                </w14:textFill>
              </w:rPr>
              <w:t>水质为COD</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210</w:t>
            </w:r>
            <w:r>
              <w:rPr>
                <w:rFonts w:hint="default" w:ascii="Times New Roman" w:hAnsi="Times New Roman" w:cs="Times New Roman"/>
                <w:color w:val="000000" w:themeColor="text1"/>
                <w:sz w:val="21"/>
                <w:szCs w:val="21"/>
                <w:highlight w:val="none"/>
                <w14:textFill>
                  <w14:solidFill>
                    <w14:schemeClr w14:val="tx1"/>
                  </w14:solidFill>
                </w14:textFill>
              </w:rPr>
              <w:t>mg/L、</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BOD</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140mg/L</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SS</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100</w:t>
            </w:r>
            <w:r>
              <w:rPr>
                <w:rFonts w:hint="default" w:ascii="Times New Roman" w:hAnsi="Times New Roman" w:cs="Times New Roman"/>
                <w:color w:val="000000" w:themeColor="text1"/>
                <w:sz w:val="21"/>
                <w:szCs w:val="21"/>
                <w:highlight w:val="none"/>
                <w14:textFill>
                  <w14:solidFill>
                    <w14:schemeClr w14:val="tx1"/>
                  </w14:solidFill>
                </w14:textFill>
              </w:rPr>
              <w:t>mg/L、NH</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-N</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27</w:t>
            </w:r>
            <w:r>
              <w:rPr>
                <w:rFonts w:hint="default" w:ascii="Times New Roman" w:hAnsi="Times New Roman" w:cs="Times New Roman"/>
                <w:color w:val="000000" w:themeColor="text1"/>
                <w:sz w:val="21"/>
                <w:szCs w:val="21"/>
                <w:highlight w:val="none"/>
                <w14:textFill>
                  <w14:solidFill>
                    <w14:schemeClr w14:val="tx1"/>
                  </w14:solidFill>
                </w14:textFill>
              </w:rPr>
              <w:t>mg/L</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、TP3</w:t>
            </w:r>
            <w:r>
              <w:rPr>
                <w:rFonts w:hint="default" w:ascii="Times New Roman" w:hAnsi="Times New Roman" w:cs="Times New Roman"/>
                <w:color w:val="000000" w:themeColor="text1"/>
                <w:sz w:val="21"/>
                <w:szCs w:val="21"/>
                <w:highlight w:val="none"/>
                <w14:textFill>
                  <w14:solidFill>
                    <w14:schemeClr w14:val="tx1"/>
                  </w14:solidFill>
                </w14:textFill>
              </w:rPr>
              <w:t>mg/L</w:t>
            </w:r>
            <w:r>
              <w:rPr>
                <w:rFonts w:hint="default" w:ascii="Times New Roman" w:hAnsi="Times New Roman" w:eastAsia="宋体" w:cs="Times New Roman"/>
                <w:bCs/>
                <w:color w:val="000000" w:themeColor="text1"/>
                <w:kern w:val="0"/>
                <w:sz w:val="21"/>
                <w:szCs w:val="21"/>
                <w:highlight w:val="none"/>
                <w14:textFill>
                  <w14:solidFill>
                    <w14:schemeClr w14:val="tx1"/>
                  </w14:solidFill>
                </w14:textFill>
              </w:rPr>
              <w:t>，能够满足</w:t>
            </w:r>
            <w:r>
              <w:rPr>
                <w:rFonts w:hint="default" w:ascii="Times New Roman" w:hAnsi="Times New Roman" w:cs="Times New Roman"/>
                <w:bCs/>
                <w:color w:val="000000" w:themeColor="text1"/>
                <w:kern w:val="2"/>
                <w:sz w:val="21"/>
                <w:szCs w:val="21"/>
                <w:highlight w:val="none"/>
                <w:lang w:eastAsia="zh-CN"/>
                <w14:textFill>
                  <w14:solidFill>
                    <w14:schemeClr w14:val="tx1"/>
                  </w14:solidFill>
                </w14:textFill>
              </w:rPr>
              <w:t>新乡县综合污水处理厂</w:t>
            </w:r>
            <w:r>
              <w:rPr>
                <w:rFonts w:hint="default" w:ascii="Times New Roman" w:hAnsi="Times New Roman" w:eastAsia="宋体" w:cs="Times New Roman"/>
                <w:bCs/>
                <w:color w:val="000000" w:themeColor="text1"/>
                <w:kern w:val="0"/>
                <w:sz w:val="21"/>
                <w:szCs w:val="21"/>
                <w:highlight w:val="none"/>
                <w14:textFill>
                  <w14:solidFill>
                    <w14:schemeClr w14:val="tx1"/>
                  </w14:solidFill>
                </w14:textFill>
              </w:rPr>
              <w:t>设计进水水质要求（</w:t>
            </w:r>
            <w:r>
              <w:rPr>
                <w:rFonts w:hint="default" w:ascii="Times New Roman" w:hAnsi="Times New Roman" w:cs="Times New Roman"/>
                <w:color w:val="000000" w:themeColor="text1"/>
                <w:highlight w:val="none"/>
                <w14:textFill>
                  <w14:solidFill>
                    <w14:schemeClr w14:val="tx1"/>
                  </w14:solidFill>
                </w14:textFill>
              </w:rPr>
              <w:t>COD400mg/L、BOD</w:t>
            </w:r>
            <w:r>
              <w:rPr>
                <w:rFonts w:hint="default" w:ascii="Times New Roman" w:hAnsi="Times New Roman" w:cs="Times New Roman"/>
                <w:color w:val="000000" w:themeColor="text1"/>
                <w:highlight w:val="none"/>
                <w:vertAlign w:val="subscript"/>
                <w14:textFill>
                  <w14:solidFill>
                    <w14:schemeClr w14:val="tx1"/>
                  </w14:solidFill>
                </w14:textFill>
              </w:rPr>
              <w:t>5</w:t>
            </w:r>
            <w:r>
              <w:rPr>
                <w:rFonts w:hint="default" w:ascii="Times New Roman" w:hAnsi="Times New Roman" w:cs="Times New Roman"/>
                <w:color w:val="000000" w:themeColor="text1"/>
                <w:highlight w:val="none"/>
                <w14:textFill>
                  <w14:solidFill>
                    <w14:schemeClr w14:val="tx1"/>
                  </w14:solidFill>
                </w14:textFill>
              </w:rPr>
              <w:t>100mg/L、SS180mg/L、NH</w:t>
            </w:r>
            <w:r>
              <w:rPr>
                <w:rFonts w:hint="default" w:ascii="Times New Roman" w:hAnsi="Times New Roman" w:cs="Times New Roman"/>
                <w:color w:val="000000" w:themeColor="text1"/>
                <w:highlight w:val="none"/>
                <w:vertAlign w:val="sub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-N59mg/L、TP4mg/L、TN70mg/L</w:t>
            </w:r>
            <w:r>
              <w:rPr>
                <w:rFonts w:hint="default" w:ascii="Times New Roman" w:hAnsi="Times New Roman" w:eastAsia="宋体" w:cs="Times New Roman"/>
                <w:bCs/>
                <w:color w:val="000000" w:themeColor="text1"/>
                <w:kern w:val="0"/>
                <w:sz w:val="21"/>
                <w:szCs w:val="21"/>
                <w:highlight w:val="none"/>
                <w14:textFill>
                  <w14:solidFill>
                    <w14:schemeClr w14:val="tx1"/>
                  </w14:solidFill>
                </w14:textFill>
              </w:rPr>
              <w:t>）。</w:t>
            </w:r>
            <w:r>
              <w:rPr>
                <w:rFonts w:hint="default" w:ascii="Times New Roman" w:hAnsi="Times New Roman" w:eastAsia="宋体" w:cs="Times New Roman"/>
                <w:bCs/>
                <w:color w:val="000000" w:themeColor="text1"/>
                <w:kern w:val="0"/>
                <w:sz w:val="21"/>
                <w:szCs w:val="21"/>
                <w:highlight w:val="none"/>
                <w:lang w:eastAsia="zh-CN"/>
                <w14:textFill>
                  <w14:solidFill>
                    <w14:schemeClr w14:val="tx1"/>
                  </w14:solidFill>
                </w14:textFill>
              </w:rPr>
              <w:t>且</w:t>
            </w:r>
            <w:r>
              <w:rPr>
                <w:rFonts w:hint="default" w:ascii="Times New Roman" w:hAnsi="Times New Roman" w:eastAsia="宋体" w:cs="Times New Roman"/>
                <w:bCs/>
                <w:color w:val="000000" w:themeColor="text1"/>
                <w:kern w:val="0"/>
                <w:sz w:val="21"/>
                <w:szCs w:val="21"/>
                <w:highlight w:val="none"/>
                <w14:textFill>
                  <w14:solidFill>
                    <w14:schemeClr w14:val="tx1"/>
                  </w14:solidFill>
                </w14:textFill>
              </w:rPr>
              <w:t>项目</w:t>
            </w:r>
            <w:r>
              <w:rPr>
                <w:rFonts w:hint="default" w:ascii="Times New Roman" w:hAnsi="Times New Roman" w:eastAsia="宋体" w:cs="Times New Roman"/>
                <w:bCs/>
                <w:color w:val="000000" w:themeColor="text1"/>
                <w:kern w:val="0"/>
                <w:sz w:val="21"/>
                <w:szCs w:val="21"/>
                <w:highlight w:val="none"/>
                <w:lang w:eastAsia="zh-CN"/>
                <w14:textFill>
                  <w14:solidFill>
                    <w14:schemeClr w14:val="tx1"/>
                  </w14:solidFill>
                </w14:textFill>
              </w:rPr>
              <w:t>废水</w:t>
            </w:r>
            <w:r>
              <w:rPr>
                <w:rFonts w:hint="default" w:ascii="Times New Roman" w:hAnsi="Times New Roman" w:eastAsia="宋体" w:cs="Times New Roman"/>
                <w:bCs/>
                <w:color w:val="000000" w:themeColor="text1"/>
                <w:kern w:val="0"/>
                <w:sz w:val="21"/>
                <w:szCs w:val="21"/>
                <w:highlight w:val="none"/>
                <w14:textFill>
                  <w14:solidFill>
                    <w14:schemeClr w14:val="tx1"/>
                  </w14:solidFill>
                </w14:textFill>
              </w:rPr>
              <w:t>水质简单，</w:t>
            </w:r>
            <w:r>
              <w:rPr>
                <w:rFonts w:hint="default" w:ascii="Times New Roman" w:hAnsi="Times New Roman" w:eastAsia="宋体" w:cs="Times New Roman"/>
                <w:bCs/>
                <w:color w:val="000000" w:themeColor="text1"/>
                <w:kern w:val="2"/>
                <w:sz w:val="21"/>
                <w:szCs w:val="21"/>
                <w:highlight w:val="none"/>
                <w14:textFill>
                  <w14:solidFill>
                    <w14:schemeClr w14:val="tx1"/>
                  </w14:solidFill>
                </w14:textFill>
              </w:rPr>
              <w:t>废水没有生物毒性，</w:t>
            </w:r>
            <w:r>
              <w:rPr>
                <w:rFonts w:hint="default" w:ascii="Times New Roman" w:hAnsi="Times New Roman" w:eastAsia="宋体" w:cs="Times New Roman"/>
                <w:bCs/>
                <w:color w:val="000000" w:themeColor="text1"/>
                <w:kern w:val="0"/>
                <w:sz w:val="21"/>
                <w:szCs w:val="21"/>
                <w:highlight w:val="none"/>
                <w14:textFill>
                  <w14:solidFill>
                    <w14:schemeClr w14:val="tx1"/>
                  </w14:solidFill>
                </w14:textFill>
              </w:rPr>
              <w:t>与污水处理厂其他废水混合后不会对污水处理厂的生化工艺造成不利影响。</w:t>
            </w:r>
            <w:r>
              <w:rPr>
                <w:rFonts w:hint="default" w:ascii="Times New Roman" w:hAnsi="Times New Roman" w:eastAsia="宋体" w:cs="Times New Roman"/>
                <w:bCs/>
                <w:color w:val="000000" w:themeColor="text1"/>
                <w:kern w:val="0"/>
                <w:sz w:val="21"/>
                <w:szCs w:val="21"/>
                <w:highlight w:val="none"/>
                <w:lang w:eastAsia="zh-CN"/>
                <w14:textFill>
                  <w14:solidFill>
                    <w14:schemeClr w14:val="tx1"/>
                  </w14:solidFill>
                </w14:textFill>
              </w:rPr>
              <w:t>本</w:t>
            </w:r>
            <w:r>
              <w:rPr>
                <w:rFonts w:hint="default" w:ascii="Times New Roman" w:hAnsi="Times New Roman" w:eastAsia="宋体" w:cs="Times New Roman"/>
                <w:bCs/>
                <w:color w:val="000000" w:themeColor="text1"/>
                <w:kern w:val="0"/>
                <w:sz w:val="21"/>
                <w:szCs w:val="21"/>
                <w:highlight w:val="none"/>
                <w14:textFill>
                  <w14:solidFill>
                    <w14:schemeClr w14:val="tx1"/>
                  </w14:solidFill>
                </w14:textFill>
              </w:rPr>
              <w:t>项目</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工程</w:t>
            </w:r>
            <w:r>
              <w:rPr>
                <w:rFonts w:hint="default" w:ascii="Times New Roman" w:hAnsi="Times New Roman" w:eastAsia="宋体" w:cs="Times New Roman"/>
                <w:bCs/>
                <w:color w:val="000000" w:themeColor="text1"/>
                <w:kern w:val="0"/>
                <w:sz w:val="21"/>
                <w:szCs w:val="21"/>
                <w:highlight w:val="none"/>
                <w14:textFill>
                  <w14:solidFill>
                    <w14:schemeClr w14:val="tx1"/>
                  </w14:solidFill>
                </w14:textFill>
              </w:rPr>
              <w:t>废水排放量占</w:t>
            </w:r>
            <w:r>
              <w:rPr>
                <w:rFonts w:hint="default" w:ascii="Times New Roman" w:hAnsi="Times New Roman" w:cs="Times New Roman"/>
                <w:bCs/>
                <w:color w:val="000000" w:themeColor="text1"/>
                <w:kern w:val="2"/>
                <w:sz w:val="21"/>
                <w:szCs w:val="21"/>
                <w:highlight w:val="none"/>
                <w:lang w:eastAsia="zh-CN"/>
                <w14:textFill>
                  <w14:solidFill>
                    <w14:schemeClr w14:val="tx1"/>
                  </w14:solidFill>
                </w14:textFill>
              </w:rPr>
              <w:t>新乡县综合污水处理厂</w:t>
            </w:r>
            <w:r>
              <w:rPr>
                <w:rFonts w:hint="default" w:ascii="Times New Roman" w:hAnsi="Times New Roman" w:eastAsia="宋体" w:cs="Times New Roman"/>
                <w:bCs/>
                <w:color w:val="000000" w:themeColor="text1"/>
                <w:kern w:val="0"/>
                <w:sz w:val="21"/>
                <w:szCs w:val="21"/>
                <w:highlight w:val="none"/>
                <w14:textFill>
                  <w14:solidFill>
                    <w14:schemeClr w14:val="tx1"/>
                  </w14:solidFill>
                </w14:textFill>
              </w:rPr>
              <w:t>设计处理规模量</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150000</w:t>
            </w:r>
            <w:r>
              <w:rPr>
                <w:rFonts w:hint="default" w:ascii="Times New Roman" w:hAnsi="Times New Roman" w:eastAsia="宋体" w:cs="Times New Roman"/>
                <w:bCs/>
                <w:color w:val="000000" w:themeColor="text1"/>
                <w:kern w:val="0"/>
                <w:sz w:val="21"/>
                <w:szCs w:val="21"/>
                <w:highlight w:val="none"/>
                <w14:textFill>
                  <w14:solidFill>
                    <w14:schemeClr w14:val="tx1"/>
                  </w14:solidFill>
                </w14:textFill>
              </w:rPr>
              <w:t>m</w:t>
            </w:r>
            <w:r>
              <w:rPr>
                <w:rFonts w:hint="default" w:ascii="Times New Roman" w:hAnsi="Times New Roman" w:eastAsia="宋体" w:cs="Times New Roman"/>
                <w:bCs/>
                <w:color w:val="000000" w:themeColor="text1"/>
                <w:kern w:val="0"/>
                <w:sz w:val="21"/>
                <w:szCs w:val="21"/>
                <w:highlight w:val="none"/>
                <w:vertAlign w:val="superscript"/>
                <w14:textFill>
                  <w14:solidFill>
                    <w14:schemeClr w14:val="tx1"/>
                  </w14:solidFill>
                </w14:textFill>
              </w:rPr>
              <w:t>3</w:t>
            </w:r>
            <w:r>
              <w:rPr>
                <w:rFonts w:hint="default" w:ascii="Times New Roman" w:hAnsi="Times New Roman" w:eastAsia="宋体" w:cs="Times New Roman"/>
                <w:bCs/>
                <w:color w:val="000000" w:themeColor="text1"/>
                <w:kern w:val="0"/>
                <w:sz w:val="21"/>
                <w:szCs w:val="21"/>
                <w:highlight w:val="none"/>
                <w14:textFill>
                  <w14:solidFill>
                    <w14:schemeClr w14:val="tx1"/>
                  </w14:solidFill>
                </w14:textFill>
              </w:rPr>
              <w:t>/d的</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0.00085</w:t>
            </w:r>
            <w:r>
              <w:rPr>
                <w:rFonts w:hint="default" w:ascii="Times New Roman" w:hAnsi="Times New Roman" w:eastAsia="宋体" w:cs="Times New Roman"/>
                <w:bCs/>
                <w:color w:val="000000" w:themeColor="text1"/>
                <w:kern w:val="0"/>
                <w:sz w:val="21"/>
                <w:szCs w:val="21"/>
                <w:highlight w:val="none"/>
                <w14:textFill>
                  <w14:solidFill>
                    <w14:schemeClr w14:val="tx1"/>
                  </w14:solidFill>
                </w14:textFill>
              </w:rPr>
              <w:t>%，</w:t>
            </w:r>
            <w:r>
              <w:rPr>
                <w:rFonts w:hint="default" w:ascii="Times New Roman" w:hAnsi="Times New Roman" w:cs="Times New Roman"/>
                <w:bCs/>
                <w:color w:val="000000" w:themeColor="text1"/>
                <w:kern w:val="2"/>
                <w:sz w:val="21"/>
                <w:szCs w:val="21"/>
                <w:highlight w:val="none"/>
                <w:lang w:eastAsia="zh-CN"/>
                <w14:textFill>
                  <w14:solidFill>
                    <w14:schemeClr w14:val="tx1"/>
                  </w14:solidFill>
                </w14:textFill>
              </w:rPr>
              <w:t>新乡县综合污水处理厂</w:t>
            </w:r>
            <w:r>
              <w:rPr>
                <w:rFonts w:hint="default" w:ascii="Times New Roman" w:hAnsi="Times New Roman" w:cs="Times New Roman"/>
                <w:color w:val="000000" w:themeColor="text1"/>
                <w:highlight w:val="none"/>
                <w14:textFill>
                  <w14:solidFill>
                    <w14:schemeClr w14:val="tx1"/>
                  </w14:solidFill>
                </w14:textFill>
              </w:rPr>
              <w:t>目前正在进行收水调试</w:t>
            </w:r>
            <w:r>
              <w:rPr>
                <w:rFonts w:hint="default" w:ascii="Times New Roman" w:hAnsi="Times New Roman" w:eastAsia="宋体" w:cs="Times New Roman"/>
                <w:bCs/>
                <w:color w:val="000000" w:themeColor="text1"/>
                <w:kern w:val="0"/>
                <w:sz w:val="21"/>
                <w:szCs w:val="21"/>
                <w:highlight w:val="none"/>
                <w:lang w:bidi="zh-CN"/>
                <w14:textFill>
                  <w14:solidFill>
                    <w14:schemeClr w14:val="tx1"/>
                  </w14:solidFill>
                </w14:textFill>
              </w:rPr>
              <w:t>，</w:t>
            </w:r>
            <w:r>
              <w:rPr>
                <w:rFonts w:hint="default" w:ascii="Times New Roman" w:hAnsi="Times New Roman" w:eastAsia="宋体" w:cs="Times New Roman"/>
                <w:bCs/>
                <w:color w:val="000000" w:themeColor="text1"/>
                <w:kern w:val="0"/>
                <w:sz w:val="21"/>
                <w:szCs w:val="21"/>
                <w:highlight w:val="none"/>
                <w14:textFill>
                  <w14:solidFill>
                    <w14:schemeClr w14:val="tx1"/>
                  </w14:solidFill>
                </w14:textFill>
              </w:rPr>
              <w:t>因此</w:t>
            </w:r>
            <w:r>
              <w:rPr>
                <w:rFonts w:hint="default" w:ascii="Times New Roman" w:hAnsi="Times New Roman" w:eastAsia="宋体" w:cs="Times New Roman"/>
                <w:bCs/>
                <w:color w:val="000000" w:themeColor="text1"/>
                <w:kern w:val="0"/>
                <w:sz w:val="21"/>
                <w:szCs w:val="21"/>
                <w:highlight w:val="none"/>
                <w:lang w:eastAsia="zh-CN"/>
                <w14:textFill>
                  <w14:solidFill>
                    <w14:schemeClr w14:val="tx1"/>
                  </w14:solidFill>
                </w14:textFill>
              </w:rPr>
              <w:t>本项目废水</w:t>
            </w:r>
            <w:r>
              <w:rPr>
                <w:rFonts w:hint="default" w:ascii="Times New Roman" w:hAnsi="Times New Roman" w:eastAsia="宋体" w:cs="Times New Roman"/>
                <w:bCs/>
                <w:color w:val="000000" w:themeColor="text1"/>
                <w:kern w:val="0"/>
                <w:sz w:val="21"/>
                <w:szCs w:val="21"/>
                <w:highlight w:val="none"/>
                <w14:textFill>
                  <w14:solidFill>
                    <w14:schemeClr w14:val="tx1"/>
                  </w14:solidFill>
                </w14:textFill>
              </w:rPr>
              <w:t>对</w:t>
            </w:r>
            <w:r>
              <w:rPr>
                <w:rFonts w:hint="default" w:ascii="Times New Roman" w:hAnsi="Times New Roman" w:eastAsia="宋体" w:cs="Times New Roman"/>
                <w:bCs/>
                <w:color w:val="000000" w:themeColor="text1"/>
                <w:kern w:val="0"/>
                <w:sz w:val="21"/>
                <w:szCs w:val="21"/>
                <w:highlight w:val="none"/>
                <w:lang w:eastAsia="zh-CN"/>
                <w14:textFill>
                  <w14:solidFill>
                    <w14:schemeClr w14:val="tx1"/>
                  </w14:solidFill>
                </w14:textFill>
              </w:rPr>
              <w:t>该</w:t>
            </w:r>
            <w:r>
              <w:rPr>
                <w:rFonts w:hint="default" w:ascii="Times New Roman" w:hAnsi="Times New Roman" w:eastAsia="宋体" w:cs="Times New Roman"/>
                <w:bCs/>
                <w:color w:val="000000" w:themeColor="text1"/>
                <w:kern w:val="0"/>
                <w:sz w:val="21"/>
                <w:szCs w:val="21"/>
                <w:highlight w:val="none"/>
                <w14:textFill>
                  <w14:solidFill>
                    <w14:schemeClr w14:val="tx1"/>
                  </w14:solidFill>
                </w14:textFill>
              </w:rPr>
              <w:t>污水处理厂冲击较小。</w:t>
            </w:r>
          </w:p>
          <w:p>
            <w:pPr>
              <w:keepNext w:val="0"/>
              <w:keepLines w:val="0"/>
              <w:pageBreakBefore w:val="0"/>
              <w:widowControl w:val="0"/>
              <w:kinsoku/>
              <w:wordWrap/>
              <w:overflowPunct/>
              <w:topLinePunct w:val="0"/>
              <w:autoSpaceDE w:val="0"/>
              <w:autoSpaceDN w:val="0"/>
              <w:bidi w:val="0"/>
              <w:adjustRightInd/>
              <w:snapToGrid/>
              <w:spacing w:line="360" w:lineRule="auto"/>
              <w:ind w:left="0" w:firstLine="422" w:firstLineChars="200"/>
              <w:jc w:val="both"/>
              <w:textAlignment w:val="auto"/>
              <w:rPr>
                <w:rFonts w:hint="default" w:ascii="Times New Roman" w:hAnsi="Times New Roman" w:cs="Times New Roman"/>
                <w:b/>
                <w:bCs/>
                <w:color w:val="000000" w:themeColor="text1"/>
                <w:kern w:val="0"/>
                <w:szCs w:val="21"/>
                <w:highlight w:val="none"/>
                <w14:textFill>
                  <w14:solidFill>
                    <w14:schemeClr w14:val="tx1"/>
                  </w14:solidFill>
                </w14:textFill>
              </w:rPr>
            </w:pPr>
            <w:r>
              <w:rPr>
                <w:rFonts w:hint="default" w:ascii="Times New Roman" w:hAnsi="Times New Roman" w:cs="Times New Roman"/>
                <w:b/>
                <w:bCs/>
                <w:color w:val="000000" w:themeColor="text1"/>
                <w:kern w:val="0"/>
                <w:szCs w:val="21"/>
                <w:highlight w:val="none"/>
                <w14:textFill>
                  <w14:solidFill>
                    <w14:schemeClr w14:val="tx1"/>
                  </w14:solidFill>
                </w14:textFill>
              </w:rPr>
              <w:fldChar w:fldCharType="begin"/>
            </w:r>
            <w:r>
              <w:rPr>
                <w:rFonts w:hint="default" w:ascii="Times New Roman" w:hAnsi="Times New Roman" w:cs="Times New Roman"/>
                <w:b/>
                <w:bCs/>
                <w:color w:val="000000" w:themeColor="text1"/>
                <w:kern w:val="0"/>
                <w:szCs w:val="21"/>
                <w:highlight w:val="none"/>
                <w14:textFill>
                  <w14:solidFill>
                    <w14:schemeClr w14:val="tx1"/>
                  </w14:solidFill>
                </w14:textFill>
              </w:rPr>
              <w:instrText xml:space="preserve"> = 3 \* GB3 \* MERGEFORMAT </w:instrText>
            </w:r>
            <w:r>
              <w:rPr>
                <w:rFonts w:hint="default" w:ascii="Times New Roman" w:hAnsi="Times New Roman" w:cs="Times New Roman"/>
                <w:b/>
                <w:bCs/>
                <w:color w:val="000000" w:themeColor="text1"/>
                <w:kern w:val="0"/>
                <w:szCs w:val="21"/>
                <w:highlight w:val="none"/>
                <w14:textFill>
                  <w14:solidFill>
                    <w14:schemeClr w14:val="tx1"/>
                  </w14:solidFill>
                </w14:textFill>
              </w:rPr>
              <w:fldChar w:fldCharType="separate"/>
            </w:r>
            <w:r>
              <w:rPr>
                <w:rFonts w:hint="default" w:ascii="Times New Roman" w:hAnsi="Times New Roman" w:cs="Times New Roman"/>
                <w:b/>
                <w:bCs/>
                <w:color w:val="000000" w:themeColor="text1"/>
                <w:highlight w:val="none"/>
                <w14:textFill>
                  <w14:solidFill>
                    <w14:schemeClr w14:val="tx1"/>
                  </w14:solidFill>
                </w14:textFill>
              </w:rPr>
              <w:t>③</w:t>
            </w:r>
            <w:r>
              <w:rPr>
                <w:rFonts w:hint="default" w:ascii="Times New Roman" w:hAnsi="Times New Roman" w:cs="Times New Roman"/>
                <w:b/>
                <w:bCs/>
                <w:color w:val="000000" w:themeColor="text1"/>
                <w:kern w:val="0"/>
                <w:szCs w:val="21"/>
                <w:highlight w:val="none"/>
                <w14:textFill>
                  <w14:solidFill>
                    <w14:schemeClr w14:val="tx1"/>
                  </w14:solidFill>
                </w14:textFill>
              </w:rPr>
              <w:fldChar w:fldCharType="end"/>
            </w:r>
            <w:r>
              <w:rPr>
                <w:rFonts w:hint="default" w:ascii="Times New Roman" w:hAnsi="Times New Roman" w:cs="Times New Roman"/>
                <w:b/>
                <w:bCs/>
                <w:color w:val="000000" w:themeColor="text1"/>
                <w:kern w:val="0"/>
                <w:szCs w:val="21"/>
                <w:highlight w:val="none"/>
                <w14:textFill>
                  <w14:solidFill>
                    <w14:schemeClr w14:val="tx1"/>
                  </w14:solidFill>
                </w14:textFill>
              </w:rPr>
              <w:t>收水范围及管网衔接</w:t>
            </w:r>
          </w:p>
          <w:p>
            <w:pPr>
              <w:pStyle w:val="26"/>
              <w:keepNext w:val="0"/>
              <w:keepLines w:val="0"/>
              <w:pageBreakBefore w:val="0"/>
              <w:widowControl w:val="0"/>
              <w:kinsoku/>
              <w:wordWrap/>
              <w:overflowPunct/>
              <w:topLinePunct w:val="0"/>
              <w:bidi w:val="0"/>
              <w:adjustRightInd/>
              <w:snapToGrid/>
              <w:spacing w:line="360" w:lineRule="auto"/>
              <w:ind w:left="0" w:leftChars="0" w:right="0" w:firstLine="420" w:firstLineChars="200"/>
              <w:jc w:val="both"/>
              <w:textAlignment w:val="auto"/>
              <w:rPr>
                <w:rFonts w:hint="default" w:ascii="Times New Roman" w:hAnsi="Times New Roman" w:eastAsia="宋体" w:cs="Times New Roman"/>
                <w:bCs/>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eastAsia="zh-CN"/>
                <w14:textFill>
                  <w14:solidFill>
                    <w14:schemeClr w14:val="tx1"/>
                  </w14:solidFill>
                </w14:textFill>
              </w:rPr>
              <w:t>新乡县综合污水处理厂收水范围为收水范围为新乡县中心城区（40km</w:t>
            </w:r>
            <w:r>
              <w:rPr>
                <w:rFonts w:hint="default" w:ascii="Times New Roman" w:hAnsi="Times New Roman" w:eastAsia="宋体" w:cs="Times New Roman"/>
                <w:bCs/>
                <w:color w:val="000000" w:themeColor="text1"/>
                <w:kern w:val="2"/>
                <w:sz w:val="21"/>
                <w:szCs w:val="21"/>
                <w:highlight w:val="none"/>
                <w:vertAlign w:val="superscript"/>
                <w:lang w:eastAsia="zh-CN"/>
                <w14:textFill>
                  <w14:solidFill>
                    <w14:schemeClr w14:val="tx1"/>
                  </w14:solidFill>
                </w14:textFill>
              </w:rPr>
              <w:t>2</w:t>
            </w:r>
            <w:r>
              <w:rPr>
                <w:rFonts w:hint="default" w:ascii="Times New Roman" w:hAnsi="Times New Roman" w:eastAsia="宋体" w:cs="Times New Roman"/>
                <w:bCs/>
                <w:color w:val="000000" w:themeColor="text1"/>
                <w:kern w:val="2"/>
                <w:sz w:val="21"/>
                <w:szCs w:val="21"/>
                <w:highlight w:val="none"/>
                <w:lang w:eastAsia="zh-CN"/>
                <w14:textFill>
                  <w14:solidFill>
                    <w14:schemeClr w14:val="tx1"/>
                  </w14:solidFill>
                </w14:textFill>
              </w:rPr>
              <w:t>，包含部分新乡经济技术产业集聚区）、新乡经济技术产业集聚区（3.16km</w:t>
            </w:r>
            <w:r>
              <w:rPr>
                <w:rFonts w:hint="default" w:ascii="Times New Roman" w:hAnsi="Times New Roman" w:eastAsia="宋体" w:cs="Times New Roman"/>
                <w:bCs/>
                <w:color w:val="000000" w:themeColor="text1"/>
                <w:kern w:val="2"/>
                <w:sz w:val="21"/>
                <w:szCs w:val="21"/>
                <w:highlight w:val="none"/>
                <w:vertAlign w:val="superscript"/>
                <w:lang w:eastAsia="zh-CN"/>
                <w14:textFill>
                  <w14:solidFill>
                    <w14:schemeClr w14:val="tx1"/>
                  </w14:solidFill>
                </w14:textFill>
              </w:rPr>
              <w:t>2</w:t>
            </w:r>
            <w:r>
              <w:rPr>
                <w:rFonts w:hint="default" w:ascii="Times New Roman" w:hAnsi="Times New Roman" w:eastAsia="宋体" w:cs="Times New Roman"/>
                <w:bCs/>
                <w:color w:val="000000" w:themeColor="text1"/>
                <w:kern w:val="2"/>
                <w:sz w:val="21"/>
                <w:szCs w:val="21"/>
                <w:highlight w:val="none"/>
                <w:lang w:eastAsia="zh-CN"/>
                <w14:textFill>
                  <w14:solidFill>
                    <w14:schemeClr w14:val="tx1"/>
                  </w14:solidFill>
                </w14:textFill>
              </w:rPr>
              <w:t>，纸制品印刷包装产业园和装备制造产业园）、朗公庙镇中心镇区（5.26km</w:t>
            </w:r>
            <w:r>
              <w:rPr>
                <w:rFonts w:hint="default" w:ascii="Times New Roman" w:hAnsi="Times New Roman" w:eastAsia="宋体" w:cs="Times New Roman"/>
                <w:bCs/>
                <w:color w:val="000000" w:themeColor="text1"/>
                <w:kern w:val="2"/>
                <w:sz w:val="21"/>
                <w:szCs w:val="21"/>
                <w:highlight w:val="none"/>
                <w:vertAlign w:val="superscript"/>
                <w:lang w:eastAsia="zh-CN"/>
                <w14:textFill>
                  <w14:solidFill>
                    <w14:schemeClr w14:val="tx1"/>
                  </w14:solidFill>
                </w14:textFill>
              </w:rPr>
              <w:t>2</w:t>
            </w:r>
            <w:r>
              <w:rPr>
                <w:rFonts w:hint="default" w:ascii="Times New Roman" w:hAnsi="Times New Roman" w:eastAsia="宋体" w:cs="Times New Roman"/>
                <w:bCs/>
                <w:color w:val="000000" w:themeColor="text1"/>
                <w:kern w:val="2"/>
                <w:sz w:val="21"/>
                <w:szCs w:val="21"/>
                <w:highlight w:val="none"/>
                <w:lang w:eastAsia="zh-CN"/>
                <w14:textFill>
                  <w14:solidFill>
                    <w14:schemeClr w14:val="tx1"/>
                  </w14:solidFill>
                </w14:textFill>
              </w:rPr>
              <w:t>）。</w:t>
            </w: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项目位于新乡市新乡县小冀镇青龙大道39号，位于新乡县中心城区收水范围内，且根据调查，</w:t>
            </w:r>
            <w:r>
              <w:rPr>
                <w:rFonts w:hint="default" w:ascii="Times New Roman" w:hAnsi="Times New Roman" w:eastAsia="宋体" w:cs="Times New Roman"/>
                <w:bCs/>
                <w:color w:val="000000" w:themeColor="text1"/>
                <w:kern w:val="2"/>
                <w:sz w:val="21"/>
                <w:szCs w:val="21"/>
                <w:highlight w:val="none"/>
                <w:lang w:eastAsia="zh-CN"/>
                <w14:textFill>
                  <w14:solidFill>
                    <w14:schemeClr w14:val="tx1"/>
                  </w14:solidFill>
                </w14:textFill>
              </w:rPr>
              <w:t>项目所在</w:t>
            </w:r>
            <w:r>
              <w:rPr>
                <w:rFonts w:hint="default" w:ascii="Times New Roman" w:hAnsi="Times New Roman" w:eastAsia="宋体" w:cs="Times New Roman"/>
                <w:bCs/>
                <w:color w:val="000000" w:themeColor="text1"/>
                <w:kern w:val="2"/>
                <w:sz w:val="21"/>
                <w:szCs w:val="21"/>
                <w:highlight w:val="none"/>
                <w14:textFill>
                  <w14:solidFill>
                    <w14:schemeClr w14:val="tx1"/>
                  </w14:solidFill>
                </w14:textFill>
              </w:rPr>
              <w:t>区域污水管网已铺设</w:t>
            </w:r>
            <w:r>
              <w:rPr>
                <w:rFonts w:hint="default" w:ascii="Times New Roman" w:hAnsi="Times New Roman" w:eastAsia="宋体" w:cs="Times New Roman"/>
                <w:bCs/>
                <w:color w:val="000000" w:themeColor="text1"/>
                <w:kern w:val="2"/>
                <w:sz w:val="21"/>
                <w:szCs w:val="21"/>
                <w:highlight w:val="none"/>
                <w:lang w:eastAsia="zh-CN"/>
                <w14:textFill>
                  <w14:solidFill>
                    <w14:schemeClr w14:val="tx1"/>
                  </w14:solidFill>
                </w14:textFill>
              </w:rPr>
              <w:t>完成</w:t>
            </w:r>
            <w:r>
              <w:rPr>
                <w:rFonts w:hint="default" w:ascii="Times New Roman" w:hAnsi="Times New Roman" w:eastAsia="宋体" w:cs="Times New Roman"/>
                <w:bCs/>
                <w:color w:val="000000" w:themeColor="text1"/>
                <w:kern w:val="2"/>
                <w:sz w:val="21"/>
                <w:szCs w:val="21"/>
                <w:highlight w:val="none"/>
                <w14:textFill>
                  <w14:solidFill>
                    <w14:schemeClr w14:val="tx1"/>
                  </w14:solidFill>
                </w14:textFill>
              </w:rPr>
              <w:t>，</w:t>
            </w:r>
            <w:r>
              <w:rPr>
                <w:rFonts w:hint="default" w:ascii="Times New Roman" w:hAnsi="Times New Roman" w:eastAsia="宋体" w:cs="Times New Roman"/>
                <w:bCs/>
                <w:color w:val="000000" w:themeColor="text1"/>
                <w:kern w:val="2"/>
                <w:sz w:val="21"/>
                <w:szCs w:val="21"/>
                <w:highlight w:val="none"/>
                <w:lang w:eastAsia="zh-CN"/>
                <w14:textFill>
                  <w14:solidFill>
                    <w14:schemeClr w14:val="tx1"/>
                  </w14:solidFill>
                </w14:textFill>
              </w:rPr>
              <w:t>因此</w:t>
            </w:r>
            <w:r>
              <w:rPr>
                <w:rFonts w:hint="default" w:ascii="Times New Roman" w:hAnsi="Times New Roman" w:eastAsia="宋体" w:cs="Times New Roman"/>
                <w:bCs/>
                <w:color w:val="000000" w:themeColor="text1"/>
                <w:kern w:val="2"/>
                <w:sz w:val="21"/>
                <w:szCs w:val="21"/>
                <w:highlight w:val="none"/>
                <w14:textFill>
                  <w14:solidFill>
                    <w14:schemeClr w14:val="tx1"/>
                  </w14:solidFill>
                </w14:textFill>
              </w:rPr>
              <w:t>项目废水能够排入</w:t>
            </w:r>
            <w:r>
              <w:rPr>
                <w:rFonts w:hint="default" w:ascii="Times New Roman" w:hAnsi="Times New Roman" w:eastAsia="宋体" w:cs="Times New Roman"/>
                <w:bCs/>
                <w:color w:val="000000" w:themeColor="text1"/>
                <w:kern w:val="2"/>
                <w:sz w:val="21"/>
                <w:szCs w:val="21"/>
                <w:highlight w:val="none"/>
                <w:lang w:eastAsia="zh-CN"/>
                <w14:textFill>
                  <w14:solidFill>
                    <w14:schemeClr w14:val="tx1"/>
                  </w14:solidFill>
                </w14:textFill>
              </w:rPr>
              <w:t>新乡县综合污水处理厂。</w:t>
            </w:r>
          </w:p>
          <w:p>
            <w:pPr>
              <w:keepNext w:val="0"/>
              <w:keepLines w:val="0"/>
              <w:pageBreakBefore w:val="0"/>
              <w:widowControl w:val="0"/>
              <w:kinsoku/>
              <w:wordWrap/>
              <w:overflowPunct/>
              <w:topLinePunct w:val="0"/>
              <w:bidi w:val="0"/>
              <w:adjustRightInd/>
              <w:snapToGrid/>
              <w:spacing w:line="360" w:lineRule="auto"/>
              <w:ind w:left="0" w:leftChars="0" w:right="0" w:firstLine="436" w:firstLineChars="200"/>
              <w:jc w:val="both"/>
              <w:textAlignment w:val="auto"/>
              <w:rPr>
                <w:rFonts w:hint="default" w:ascii="Times New Roman" w:hAnsi="Times New Roman" w:cs="Times New Roman"/>
                <w:b/>
                <w:bCs w:val="0"/>
                <w:color w:val="000000" w:themeColor="text1"/>
                <w:spacing w:val="-4"/>
                <w:sz w:val="21"/>
                <w:szCs w:val="21"/>
                <w:highlight w:val="none"/>
                <w:lang w:eastAsia="zh-CN"/>
                <w14:textFill>
                  <w14:solidFill>
                    <w14:schemeClr w14:val="tx1"/>
                  </w14:solidFill>
                </w14:textFill>
              </w:rPr>
            </w:pPr>
            <w:r>
              <w:rPr>
                <w:rFonts w:hint="default" w:ascii="Times New Roman" w:hAnsi="Times New Roman" w:cs="Times New Roman"/>
                <w:color w:val="000000" w:themeColor="text1"/>
                <w:spacing w:val="4"/>
                <w:sz w:val="21"/>
                <w:szCs w:val="21"/>
                <w:highlight w:val="none"/>
                <w14:textFill>
                  <w14:solidFill>
                    <w14:schemeClr w14:val="tx1"/>
                  </w14:solidFill>
                </w14:textFill>
              </w:rPr>
              <w:t>综上分析，本项目生活废水可以经管网排入</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新乡县综合污水处理厂</w:t>
            </w:r>
            <w:r>
              <w:rPr>
                <w:rFonts w:hint="default" w:ascii="Times New Roman" w:hAnsi="Times New Roman" w:cs="Times New Roman"/>
                <w:color w:val="000000" w:themeColor="text1"/>
                <w:spacing w:val="4"/>
                <w:sz w:val="21"/>
                <w:szCs w:val="21"/>
                <w:highlight w:val="none"/>
                <w14:textFill>
                  <w14:solidFill>
                    <w14:schemeClr w14:val="tx1"/>
                  </w14:solidFill>
                </w14:textFill>
              </w:rPr>
              <w:t>进行统一处理，本工程废水能够满足该污水处理厂进水设计指标要求。因此本项目废水进入</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新乡县综合污水处理厂</w:t>
            </w:r>
            <w:r>
              <w:rPr>
                <w:rFonts w:hint="default" w:ascii="Times New Roman" w:hAnsi="Times New Roman" w:cs="Times New Roman"/>
                <w:color w:val="000000" w:themeColor="text1"/>
                <w:spacing w:val="4"/>
                <w:sz w:val="21"/>
                <w:szCs w:val="21"/>
                <w:highlight w:val="none"/>
                <w14:textFill>
                  <w14:solidFill>
                    <w14:schemeClr w14:val="tx1"/>
                  </w14:solidFill>
                </w14:textFill>
              </w:rPr>
              <w:t>是可行的。</w:t>
            </w:r>
          </w:p>
          <w:p>
            <w:pPr>
              <w:keepNext w:val="0"/>
              <w:keepLines w:val="0"/>
              <w:pageBreakBefore w:val="0"/>
              <w:widowControl w:val="0"/>
              <w:kinsoku/>
              <w:wordWrap/>
              <w:overflowPunct/>
              <w:topLinePunct w:val="0"/>
              <w:bidi w:val="0"/>
              <w:adjustRightInd/>
              <w:snapToGrid/>
              <w:spacing w:line="360" w:lineRule="auto"/>
              <w:ind w:firstLine="406" w:firstLineChars="200"/>
              <w:jc w:val="both"/>
              <w:textAlignment w:val="auto"/>
              <w:rPr>
                <w:rFonts w:hint="default" w:ascii="Times New Roman" w:hAnsi="Times New Roman" w:eastAsia="宋体" w:cs="Times New Roman"/>
                <w:b/>
                <w:bCs w:val="0"/>
                <w:color w:val="000000" w:themeColor="text1"/>
                <w:spacing w:val="-4"/>
                <w:szCs w:val="21"/>
                <w:highlight w:val="none"/>
                <w14:textFill>
                  <w14:solidFill>
                    <w14:schemeClr w14:val="tx1"/>
                  </w14:solidFill>
                </w14:textFill>
              </w:rPr>
            </w:pPr>
            <w:r>
              <w:rPr>
                <w:rFonts w:hint="default" w:ascii="Times New Roman" w:hAnsi="Times New Roman" w:eastAsia="宋体" w:cs="Times New Roman"/>
                <w:b/>
                <w:bCs w:val="0"/>
                <w:color w:val="000000" w:themeColor="text1"/>
                <w:spacing w:val="-4"/>
                <w:szCs w:val="21"/>
                <w:highlight w:val="none"/>
                <w14:textFill>
                  <w14:solidFill>
                    <w14:schemeClr w14:val="tx1"/>
                  </w14:solidFill>
                </w14:textFill>
              </w:rPr>
              <w:t>（</w:t>
            </w:r>
            <w:r>
              <w:rPr>
                <w:rFonts w:hint="default" w:ascii="Times New Roman" w:hAnsi="Times New Roman" w:cs="Times New Roman"/>
                <w:b/>
                <w:bCs w:val="0"/>
                <w:color w:val="000000" w:themeColor="text1"/>
                <w:spacing w:val="-4"/>
                <w:szCs w:val="21"/>
                <w:highlight w:val="none"/>
                <w:lang w:val="en-US" w:eastAsia="zh-CN"/>
                <w14:textFill>
                  <w14:solidFill>
                    <w14:schemeClr w14:val="tx1"/>
                  </w14:solidFill>
                </w14:textFill>
              </w:rPr>
              <w:t>4</w:t>
            </w:r>
            <w:r>
              <w:rPr>
                <w:rFonts w:hint="default" w:ascii="Times New Roman" w:hAnsi="Times New Roman" w:eastAsia="宋体" w:cs="Times New Roman"/>
                <w:b/>
                <w:bCs w:val="0"/>
                <w:color w:val="000000" w:themeColor="text1"/>
                <w:spacing w:val="-4"/>
                <w:szCs w:val="21"/>
                <w:highlight w:val="none"/>
                <w14:textFill>
                  <w14:solidFill>
                    <w14:schemeClr w14:val="tx1"/>
                  </w14:solidFill>
                </w14:textFill>
              </w:rPr>
              <w:t>）建设项目污染物排放信息</w:t>
            </w:r>
          </w:p>
          <w:p>
            <w:pPr>
              <w:pStyle w:val="26"/>
              <w:keepNext w:val="0"/>
              <w:keepLines w:val="0"/>
              <w:pageBreakBefore w:val="0"/>
              <w:widowControl w:val="0"/>
              <w:kinsoku/>
              <w:wordWrap/>
              <w:overflowPunct/>
              <w:topLinePunct w:val="0"/>
              <w:bidi w:val="0"/>
              <w:adjustRightInd/>
              <w:snapToGrid/>
              <w:spacing w:line="360" w:lineRule="auto"/>
              <w:ind w:firstLine="422"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①废水类别、污染物及污染治理设施信息</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废水类别、污染物及污染治理设施信息表</w:t>
            </w:r>
          </w:p>
          <w:tbl>
            <w:tblPr>
              <w:tblStyle w:val="21"/>
              <w:tblW w:w="4996"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3"/>
              <w:gridCol w:w="661"/>
              <w:gridCol w:w="984"/>
              <w:gridCol w:w="703"/>
              <w:gridCol w:w="877"/>
              <w:gridCol w:w="671"/>
              <w:gridCol w:w="637"/>
              <w:gridCol w:w="650"/>
              <w:gridCol w:w="688"/>
              <w:gridCol w:w="706"/>
              <w:gridCol w:w="123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4" w:type="pct"/>
                  <w:vMerge w:val="restar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序号</w:t>
                  </w:r>
                </w:p>
              </w:tc>
              <w:tc>
                <w:tcPr>
                  <w:tcW w:w="400" w:type="pct"/>
                  <w:vMerge w:val="restar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废水类别</w:t>
                  </w:r>
                </w:p>
              </w:tc>
              <w:tc>
                <w:tcPr>
                  <w:tcW w:w="595" w:type="pct"/>
                  <w:vMerge w:val="restar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污染物种类</w:t>
                  </w:r>
                </w:p>
              </w:tc>
              <w:tc>
                <w:tcPr>
                  <w:tcW w:w="425" w:type="pct"/>
                  <w:vMerge w:val="restar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排放去向</w:t>
                  </w:r>
                </w:p>
              </w:tc>
              <w:tc>
                <w:tcPr>
                  <w:tcW w:w="530" w:type="pct"/>
                  <w:vMerge w:val="restar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排放规律</w:t>
                  </w:r>
                </w:p>
              </w:tc>
              <w:tc>
                <w:tcPr>
                  <w:tcW w:w="1184" w:type="pct"/>
                  <w:gridSpan w:val="3"/>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污染治理设施</w:t>
                  </w:r>
                </w:p>
              </w:tc>
              <w:tc>
                <w:tcPr>
                  <w:tcW w:w="416" w:type="pct"/>
                  <w:vMerge w:val="restar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排放口编号</w:t>
                  </w:r>
                </w:p>
              </w:tc>
              <w:tc>
                <w:tcPr>
                  <w:tcW w:w="427" w:type="pct"/>
                  <w:vMerge w:val="restar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排放空间设施是否符合要求</w:t>
                  </w:r>
                </w:p>
              </w:tc>
              <w:tc>
                <w:tcPr>
                  <w:tcW w:w="745" w:type="pct"/>
                  <w:vMerge w:val="restart"/>
                  <w:noWrap w:val="0"/>
                  <w:vAlign w:val="center"/>
                </w:tcPr>
                <w:p>
                  <w:pPr>
                    <w:pStyle w:val="67"/>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排放口类型</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4" w:type="pct"/>
                  <w:vMerge w:val="continue"/>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p>
              </w:tc>
              <w:tc>
                <w:tcPr>
                  <w:tcW w:w="400" w:type="pct"/>
                  <w:vMerge w:val="continue"/>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p>
              </w:tc>
              <w:tc>
                <w:tcPr>
                  <w:tcW w:w="595" w:type="pct"/>
                  <w:vMerge w:val="continue"/>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p>
              </w:tc>
              <w:tc>
                <w:tcPr>
                  <w:tcW w:w="425" w:type="pct"/>
                  <w:vMerge w:val="continue"/>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p>
              </w:tc>
              <w:tc>
                <w:tcPr>
                  <w:tcW w:w="530" w:type="pct"/>
                  <w:vMerge w:val="continue"/>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p>
              </w:tc>
              <w:tc>
                <w:tcPr>
                  <w:tcW w:w="406"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污染治理设施编号</w:t>
                  </w:r>
                </w:p>
              </w:tc>
              <w:tc>
                <w:tcPr>
                  <w:tcW w:w="385"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污染治理设施名称</w:t>
                  </w:r>
                </w:p>
              </w:tc>
              <w:tc>
                <w:tcPr>
                  <w:tcW w:w="392"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污染治理设施工艺</w:t>
                  </w:r>
                </w:p>
              </w:tc>
              <w:tc>
                <w:tcPr>
                  <w:tcW w:w="416" w:type="pct"/>
                  <w:vMerge w:val="continue"/>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p>
              </w:tc>
              <w:tc>
                <w:tcPr>
                  <w:tcW w:w="427" w:type="pct"/>
                  <w:vMerge w:val="continue"/>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p>
              </w:tc>
              <w:tc>
                <w:tcPr>
                  <w:tcW w:w="745" w:type="pct"/>
                  <w:vMerge w:val="continue"/>
                  <w:noWrap w:val="0"/>
                  <w:vAlign w:val="center"/>
                </w:tcPr>
                <w:p>
                  <w:pPr>
                    <w:pStyle w:val="67"/>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4"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1</w:t>
                  </w:r>
                </w:p>
              </w:tc>
              <w:tc>
                <w:tcPr>
                  <w:tcW w:w="400"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生活污水</w:t>
                  </w:r>
                </w:p>
              </w:tc>
              <w:tc>
                <w:tcPr>
                  <w:tcW w:w="595"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pH、</w:t>
                  </w:r>
                  <w:r>
                    <w:rPr>
                      <w:rFonts w:hint="default" w:ascii="Times New Roman" w:hAnsi="Times New Roman" w:eastAsia="宋体" w:cs="Times New Roman"/>
                      <w:color w:val="000000" w:themeColor="text1"/>
                      <w:sz w:val="18"/>
                      <w:szCs w:val="18"/>
                      <w:highlight w:val="none"/>
                      <w14:textFill>
                        <w14:solidFill>
                          <w14:schemeClr w14:val="tx1"/>
                        </w14:solidFill>
                      </w14:textFill>
                    </w:rPr>
                    <w:t>COD、</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BOD</w:t>
                  </w:r>
                  <w:r>
                    <w:rPr>
                      <w:rFonts w:hint="default" w:ascii="Times New Roman" w:hAnsi="Times New Roman" w:eastAsia="宋体" w:cs="Times New Roman"/>
                      <w:color w:val="000000" w:themeColor="text1"/>
                      <w:sz w:val="18"/>
                      <w:szCs w:val="18"/>
                      <w:highlight w:val="none"/>
                      <w:vertAlign w:val="subscript"/>
                      <w:lang w:val="en-US" w:eastAsia="zh-CN"/>
                      <w14:textFill>
                        <w14:solidFill>
                          <w14:schemeClr w14:val="tx1"/>
                        </w14:solidFill>
                      </w14:textFill>
                    </w:rPr>
                    <w:t>5</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、SS、NH</w:t>
                  </w:r>
                  <w:r>
                    <w:rPr>
                      <w:rFonts w:hint="default" w:ascii="Times New Roman" w:hAnsi="Times New Roman" w:eastAsia="宋体" w:cs="Times New Roman"/>
                      <w:color w:val="000000" w:themeColor="text1"/>
                      <w:sz w:val="18"/>
                      <w:szCs w:val="18"/>
                      <w:highlight w:val="none"/>
                      <w:vertAlign w:val="subscript"/>
                      <w:lang w:val="en-US" w:eastAsia="zh-CN"/>
                      <w14:textFill>
                        <w14:solidFill>
                          <w14:schemeClr w14:val="tx1"/>
                        </w14:solidFill>
                      </w14:textFill>
                    </w:rPr>
                    <w:t>3</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-N</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TP</w:t>
                  </w:r>
                </w:p>
              </w:tc>
              <w:tc>
                <w:tcPr>
                  <w:tcW w:w="425"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新乡县综合污水处理厂</w:t>
                  </w:r>
                </w:p>
              </w:tc>
              <w:tc>
                <w:tcPr>
                  <w:tcW w:w="530"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间断排放，排放期间流量不稳定且无规律，但不属于冲击型排放</w:t>
                  </w:r>
                </w:p>
              </w:tc>
              <w:tc>
                <w:tcPr>
                  <w:tcW w:w="406"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TW</w:t>
                  </w:r>
                </w:p>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001</w:t>
                  </w:r>
                </w:p>
              </w:tc>
              <w:tc>
                <w:tcPr>
                  <w:tcW w:w="385"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化粪池</w:t>
                  </w:r>
                </w:p>
              </w:tc>
              <w:tc>
                <w:tcPr>
                  <w:tcW w:w="392"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化粪池</w:t>
                  </w:r>
                </w:p>
              </w:tc>
              <w:tc>
                <w:tcPr>
                  <w:tcW w:w="416"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DW</w:t>
                  </w:r>
                </w:p>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001</w:t>
                  </w:r>
                </w:p>
              </w:tc>
              <w:tc>
                <w:tcPr>
                  <w:tcW w:w="427" w:type="pct"/>
                  <w:noWrap w:val="0"/>
                  <w:vAlign w:val="center"/>
                </w:tcPr>
                <w:p>
                  <w:pPr>
                    <w:pStyle w:val="67"/>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sym w:font="Wingdings 2" w:char="0052"/>
                  </w:r>
                  <w:r>
                    <w:rPr>
                      <w:rFonts w:hint="default" w:ascii="Times New Roman" w:hAnsi="Times New Roman" w:cs="Times New Roman"/>
                      <w:color w:val="000000" w:themeColor="text1"/>
                      <w:sz w:val="18"/>
                      <w:szCs w:val="18"/>
                      <w:highlight w:val="none"/>
                      <w14:textFill>
                        <w14:solidFill>
                          <w14:schemeClr w14:val="tx1"/>
                        </w14:solidFill>
                      </w14:textFill>
                    </w:rPr>
                    <w:t>是</w:t>
                  </w:r>
                </w:p>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sym w:font="Wingdings 2" w:char="00A3"/>
                  </w:r>
                  <w:r>
                    <w:rPr>
                      <w:rFonts w:hint="default" w:ascii="Times New Roman" w:hAnsi="Times New Roman" w:eastAsia="宋体" w:cs="Times New Roman"/>
                      <w:color w:val="000000" w:themeColor="text1"/>
                      <w:sz w:val="18"/>
                      <w:szCs w:val="18"/>
                      <w:highlight w:val="none"/>
                      <w14:textFill>
                        <w14:solidFill>
                          <w14:schemeClr w14:val="tx1"/>
                        </w14:solidFill>
                      </w14:textFill>
                    </w:rPr>
                    <w:t>否</w:t>
                  </w:r>
                </w:p>
              </w:tc>
              <w:tc>
                <w:tcPr>
                  <w:tcW w:w="745" w:type="pct"/>
                  <w:noWrap w:val="0"/>
                  <w:vAlign w:val="center"/>
                </w:tcPr>
                <w:p>
                  <w:pPr>
                    <w:pStyle w:val="67"/>
                    <w:keepNext w:val="0"/>
                    <w:keepLines w:val="0"/>
                    <w:pageBreakBefore w:val="0"/>
                    <w:widowControl w:val="0"/>
                    <w:kinsoku/>
                    <w:wordWrap/>
                    <w:overflowPunct/>
                    <w:topLinePunct w:val="0"/>
                    <w:bidi w:val="0"/>
                    <w:adjustRightInd/>
                    <w:snapToGrid/>
                    <w:spacing w:line="320" w:lineRule="exact"/>
                    <w:ind w:firstLine="0" w:firstLineChars="0"/>
                    <w:jc w:val="left"/>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sym w:font="Wingdings 2" w:char="0052"/>
                  </w:r>
                  <w:r>
                    <w:rPr>
                      <w:rFonts w:hint="default" w:ascii="Times New Roman" w:hAnsi="Times New Roman" w:cs="Times New Roman"/>
                      <w:color w:val="000000" w:themeColor="text1"/>
                      <w:sz w:val="18"/>
                      <w:szCs w:val="18"/>
                      <w:highlight w:val="none"/>
                      <w14:textFill>
                        <w14:solidFill>
                          <w14:schemeClr w14:val="tx1"/>
                        </w14:solidFill>
                      </w14:textFill>
                    </w:rPr>
                    <w:t>企业总排</w:t>
                  </w:r>
                </w:p>
                <w:p>
                  <w:pPr>
                    <w:pStyle w:val="67"/>
                    <w:keepNext w:val="0"/>
                    <w:keepLines w:val="0"/>
                    <w:pageBreakBefore w:val="0"/>
                    <w:widowControl w:val="0"/>
                    <w:kinsoku/>
                    <w:wordWrap/>
                    <w:overflowPunct/>
                    <w:topLinePunct w:val="0"/>
                    <w:bidi w:val="0"/>
                    <w:adjustRightInd/>
                    <w:snapToGrid/>
                    <w:spacing w:line="320" w:lineRule="exact"/>
                    <w:ind w:firstLine="0" w:firstLineChars="0"/>
                    <w:jc w:val="left"/>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sym w:font="Wingdings 2" w:char="00A3"/>
                  </w:r>
                  <w:r>
                    <w:rPr>
                      <w:rFonts w:hint="default" w:ascii="Times New Roman" w:hAnsi="Times New Roman" w:cs="Times New Roman"/>
                      <w:color w:val="000000" w:themeColor="text1"/>
                      <w:sz w:val="18"/>
                      <w:szCs w:val="18"/>
                      <w:highlight w:val="none"/>
                      <w14:textFill>
                        <w14:solidFill>
                          <w14:schemeClr w14:val="tx1"/>
                        </w14:solidFill>
                      </w14:textFill>
                    </w:rPr>
                    <w:t>雨水排放</w:t>
                  </w:r>
                </w:p>
                <w:p>
                  <w:pPr>
                    <w:pStyle w:val="67"/>
                    <w:keepNext w:val="0"/>
                    <w:keepLines w:val="0"/>
                    <w:pageBreakBefore w:val="0"/>
                    <w:widowControl w:val="0"/>
                    <w:kinsoku/>
                    <w:wordWrap/>
                    <w:overflowPunct/>
                    <w:topLinePunct w:val="0"/>
                    <w:bidi w:val="0"/>
                    <w:adjustRightInd/>
                    <w:snapToGrid/>
                    <w:spacing w:line="320" w:lineRule="exact"/>
                    <w:ind w:firstLine="0" w:firstLineChars="0"/>
                    <w:jc w:val="left"/>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pacing w:val="-18"/>
                      <w:sz w:val="18"/>
                      <w:szCs w:val="18"/>
                      <w:highlight w:val="none"/>
                      <w14:textFill>
                        <w14:solidFill>
                          <w14:schemeClr w14:val="tx1"/>
                        </w14:solidFill>
                      </w14:textFill>
                    </w:rPr>
                    <w:sym w:font="Wingdings 2" w:char="00A3"/>
                  </w:r>
                  <w:r>
                    <w:rPr>
                      <w:rFonts w:hint="default" w:ascii="Times New Roman" w:hAnsi="Times New Roman" w:cs="Times New Roman"/>
                      <w:color w:val="000000" w:themeColor="text1"/>
                      <w:spacing w:val="-18"/>
                      <w:sz w:val="18"/>
                      <w:szCs w:val="18"/>
                      <w:highlight w:val="none"/>
                      <w14:textFill>
                        <w14:solidFill>
                          <w14:schemeClr w14:val="tx1"/>
                        </w14:solidFill>
                      </w14:textFill>
                    </w:rPr>
                    <w:t>清净下水排放</w:t>
                  </w:r>
                </w:p>
                <w:p>
                  <w:pPr>
                    <w:pStyle w:val="67"/>
                    <w:keepNext w:val="0"/>
                    <w:keepLines w:val="0"/>
                    <w:pageBreakBefore w:val="0"/>
                    <w:widowControl w:val="0"/>
                    <w:kinsoku/>
                    <w:wordWrap/>
                    <w:overflowPunct/>
                    <w:topLinePunct w:val="0"/>
                    <w:bidi w:val="0"/>
                    <w:adjustRightInd/>
                    <w:snapToGrid/>
                    <w:spacing w:line="320" w:lineRule="exact"/>
                    <w:ind w:firstLine="0" w:firstLineChars="0"/>
                    <w:jc w:val="left"/>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sym w:font="Wingdings 2" w:char="00A3"/>
                  </w:r>
                  <w:r>
                    <w:rPr>
                      <w:rFonts w:hint="default" w:ascii="Times New Roman" w:hAnsi="Times New Roman" w:cs="Times New Roman"/>
                      <w:color w:val="000000" w:themeColor="text1"/>
                      <w:sz w:val="18"/>
                      <w:szCs w:val="18"/>
                      <w:highlight w:val="none"/>
                      <w14:textFill>
                        <w14:solidFill>
                          <w14:schemeClr w14:val="tx1"/>
                        </w14:solidFill>
                      </w14:textFill>
                    </w:rPr>
                    <w:t>温排水排放</w:t>
                  </w:r>
                </w:p>
                <w:p>
                  <w:pPr>
                    <w:pStyle w:val="26"/>
                    <w:keepNext w:val="0"/>
                    <w:keepLines w:val="0"/>
                    <w:pageBreakBefore w:val="0"/>
                    <w:widowControl w:val="0"/>
                    <w:kinsoku/>
                    <w:wordWrap/>
                    <w:overflowPunct/>
                    <w:topLinePunct w:val="0"/>
                    <w:bidi w:val="0"/>
                    <w:adjustRightInd/>
                    <w:snapToGrid/>
                    <w:spacing w:line="320" w:lineRule="exact"/>
                    <w:ind w:firstLine="0" w:firstLineChars="0"/>
                    <w:jc w:val="left"/>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sym w:font="Wingdings 2" w:char="00A3"/>
                  </w:r>
                  <w:r>
                    <w:rPr>
                      <w:rFonts w:hint="default" w:ascii="Times New Roman" w:hAnsi="Times New Roman" w:eastAsia="宋体" w:cs="Times New Roman"/>
                      <w:color w:val="000000" w:themeColor="text1"/>
                      <w:spacing w:val="-66"/>
                      <w:sz w:val="18"/>
                      <w:szCs w:val="18"/>
                      <w:highlight w:val="none"/>
                      <w14:textFill>
                        <w14:solidFill>
                          <w14:schemeClr w14:val="tx1"/>
                        </w14:solidFill>
                      </w14:textFill>
                    </w:rPr>
                    <w:t xml:space="preserve"> </w:t>
                  </w:r>
                  <w:r>
                    <w:rPr>
                      <w:rFonts w:hint="default" w:ascii="Times New Roman" w:hAnsi="Times New Roman" w:eastAsia="宋体" w:cs="Times New Roman"/>
                      <w:color w:val="000000" w:themeColor="text1"/>
                      <w:sz w:val="18"/>
                      <w:szCs w:val="18"/>
                      <w:highlight w:val="none"/>
                      <w14:textFill>
                        <w14:solidFill>
                          <w14:schemeClr w14:val="tx1"/>
                        </w14:solidFill>
                      </w14:textFill>
                    </w:rPr>
                    <w:t>车</w:t>
                  </w:r>
                  <w:r>
                    <w:rPr>
                      <w:rFonts w:hint="default" w:ascii="Times New Roman" w:hAnsi="Times New Roman" w:eastAsia="宋体" w:cs="Times New Roman"/>
                      <w:color w:val="000000" w:themeColor="text1"/>
                      <w:spacing w:val="-67"/>
                      <w:sz w:val="18"/>
                      <w:szCs w:val="18"/>
                      <w:highlight w:val="none"/>
                      <w14:textFill>
                        <w14:solidFill>
                          <w14:schemeClr w14:val="tx1"/>
                        </w14:solidFill>
                      </w14:textFill>
                    </w:rPr>
                    <w:t xml:space="preserve"> </w:t>
                  </w:r>
                  <w:r>
                    <w:rPr>
                      <w:rFonts w:hint="default" w:ascii="Times New Roman" w:hAnsi="Times New Roman" w:eastAsia="宋体" w:cs="Times New Roman"/>
                      <w:color w:val="000000" w:themeColor="text1"/>
                      <w:sz w:val="18"/>
                      <w:szCs w:val="18"/>
                      <w:highlight w:val="none"/>
                      <w14:textFill>
                        <w14:solidFill>
                          <w14:schemeClr w14:val="tx1"/>
                        </w14:solidFill>
                      </w14:textFill>
                    </w:rPr>
                    <w:t>间</w:t>
                  </w:r>
                  <w:r>
                    <w:rPr>
                      <w:rFonts w:hint="default" w:ascii="Times New Roman" w:hAnsi="Times New Roman" w:eastAsia="宋体" w:cs="Times New Roman"/>
                      <w:color w:val="000000" w:themeColor="text1"/>
                      <w:spacing w:val="-64"/>
                      <w:sz w:val="18"/>
                      <w:szCs w:val="18"/>
                      <w:highlight w:val="none"/>
                      <w14:textFill>
                        <w14:solidFill>
                          <w14:schemeClr w14:val="tx1"/>
                        </w14:solidFill>
                      </w14:textFill>
                    </w:rPr>
                    <w:t xml:space="preserve"> </w:t>
                  </w:r>
                  <w:r>
                    <w:rPr>
                      <w:rFonts w:hint="default" w:ascii="Times New Roman" w:hAnsi="Times New Roman" w:eastAsia="宋体" w:cs="Times New Roman"/>
                      <w:color w:val="000000" w:themeColor="text1"/>
                      <w:sz w:val="18"/>
                      <w:szCs w:val="18"/>
                      <w:highlight w:val="none"/>
                      <w14:textFill>
                        <w14:solidFill>
                          <w14:schemeClr w14:val="tx1"/>
                        </w14:solidFill>
                      </w14:textFill>
                    </w:rPr>
                    <w:t>或</w:t>
                  </w:r>
                  <w:r>
                    <w:rPr>
                      <w:rFonts w:hint="default" w:ascii="Times New Roman" w:hAnsi="Times New Roman" w:eastAsia="宋体" w:cs="Times New Roman"/>
                      <w:color w:val="000000" w:themeColor="text1"/>
                      <w:spacing w:val="-67"/>
                      <w:sz w:val="18"/>
                      <w:szCs w:val="18"/>
                      <w:highlight w:val="none"/>
                      <w14:textFill>
                        <w14:solidFill>
                          <w14:schemeClr w14:val="tx1"/>
                        </w14:solidFill>
                      </w14:textFill>
                    </w:rPr>
                    <w:t xml:space="preserve"> </w:t>
                  </w:r>
                  <w:r>
                    <w:rPr>
                      <w:rFonts w:hint="default" w:ascii="Times New Roman" w:hAnsi="Times New Roman" w:eastAsia="宋体" w:cs="Times New Roman"/>
                      <w:color w:val="000000" w:themeColor="text1"/>
                      <w:sz w:val="18"/>
                      <w:szCs w:val="18"/>
                      <w:highlight w:val="none"/>
                      <w14:textFill>
                        <w14:solidFill>
                          <w14:schemeClr w14:val="tx1"/>
                        </w14:solidFill>
                      </w14:textFill>
                    </w:rPr>
                    <w:t>车</w:t>
                  </w:r>
                  <w:r>
                    <w:rPr>
                      <w:rFonts w:hint="default" w:ascii="Times New Roman" w:hAnsi="Times New Roman" w:eastAsia="宋体" w:cs="Times New Roman"/>
                      <w:color w:val="000000" w:themeColor="text1"/>
                      <w:spacing w:val="-67"/>
                      <w:sz w:val="18"/>
                      <w:szCs w:val="18"/>
                      <w:highlight w:val="none"/>
                      <w14:textFill>
                        <w14:solidFill>
                          <w14:schemeClr w14:val="tx1"/>
                        </w14:solidFill>
                      </w14:textFill>
                    </w:rPr>
                    <w:t xml:space="preserve"> </w:t>
                  </w:r>
                  <w:r>
                    <w:rPr>
                      <w:rFonts w:hint="default" w:ascii="Times New Roman" w:hAnsi="Times New Roman" w:eastAsia="宋体" w:cs="Times New Roman"/>
                      <w:color w:val="000000" w:themeColor="text1"/>
                      <w:sz w:val="18"/>
                      <w:szCs w:val="18"/>
                      <w:highlight w:val="none"/>
                      <w14:textFill>
                        <w14:solidFill>
                          <w14:schemeClr w14:val="tx1"/>
                        </w14:solidFill>
                      </w14:textFill>
                    </w:rPr>
                    <w:t>间处</w:t>
                  </w:r>
                  <w:r>
                    <w:rPr>
                      <w:rFonts w:hint="default" w:ascii="Times New Roman" w:hAnsi="Times New Roman" w:eastAsia="宋体" w:cs="Times New Roman"/>
                      <w:color w:val="000000" w:themeColor="text1"/>
                      <w:spacing w:val="-67"/>
                      <w:sz w:val="18"/>
                      <w:szCs w:val="18"/>
                      <w:highlight w:val="none"/>
                      <w14:textFill>
                        <w14:solidFill>
                          <w14:schemeClr w14:val="tx1"/>
                        </w14:solidFill>
                      </w14:textFill>
                    </w:rPr>
                    <w:t xml:space="preserve"> </w:t>
                  </w:r>
                  <w:r>
                    <w:rPr>
                      <w:rFonts w:hint="default" w:ascii="Times New Roman" w:hAnsi="Times New Roman" w:eastAsia="宋体" w:cs="Times New Roman"/>
                      <w:color w:val="000000" w:themeColor="text1"/>
                      <w:sz w:val="18"/>
                      <w:szCs w:val="18"/>
                      <w:highlight w:val="none"/>
                      <w14:textFill>
                        <w14:solidFill>
                          <w14:schemeClr w14:val="tx1"/>
                        </w14:solidFill>
                      </w14:textFill>
                    </w:rPr>
                    <w:t>理</w:t>
                  </w:r>
                  <w:r>
                    <w:rPr>
                      <w:rFonts w:hint="default" w:ascii="Times New Roman" w:hAnsi="Times New Roman" w:eastAsia="宋体" w:cs="Times New Roman"/>
                      <w:color w:val="000000" w:themeColor="text1"/>
                      <w:spacing w:val="-67"/>
                      <w:sz w:val="18"/>
                      <w:szCs w:val="18"/>
                      <w:highlight w:val="none"/>
                      <w14:textFill>
                        <w14:solidFill>
                          <w14:schemeClr w14:val="tx1"/>
                        </w14:solidFill>
                      </w14:textFill>
                    </w:rPr>
                    <w:t xml:space="preserve"> </w:t>
                  </w:r>
                  <w:r>
                    <w:rPr>
                      <w:rFonts w:hint="default" w:ascii="Times New Roman" w:hAnsi="Times New Roman" w:eastAsia="宋体" w:cs="Times New Roman"/>
                      <w:color w:val="000000" w:themeColor="text1"/>
                      <w:sz w:val="18"/>
                      <w:szCs w:val="18"/>
                      <w:highlight w:val="none"/>
                      <w14:textFill>
                        <w14:solidFill>
                          <w14:schemeClr w14:val="tx1"/>
                        </w14:solidFill>
                      </w14:textFill>
                    </w:rPr>
                    <w:t>设</w:t>
                  </w:r>
                  <w:r>
                    <w:rPr>
                      <w:rFonts w:hint="default" w:ascii="Times New Roman" w:hAnsi="Times New Roman" w:eastAsia="宋体" w:cs="Times New Roman"/>
                      <w:color w:val="000000" w:themeColor="text1"/>
                      <w:spacing w:val="-64"/>
                      <w:sz w:val="18"/>
                      <w:szCs w:val="18"/>
                      <w:highlight w:val="none"/>
                      <w14:textFill>
                        <w14:solidFill>
                          <w14:schemeClr w14:val="tx1"/>
                        </w14:solidFill>
                      </w14:textFill>
                    </w:rPr>
                    <w:t xml:space="preserve"> </w:t>
                  </w:r>
                  <w:r>
                    <w:rPr>
                      <w:rFonts w:hint="default" w:ascii="Times New Roman" w:hAnsi="Times New Roman" w:eastAsia="宋体" w:cs="Times New Roman"/>
                      <w:color w:val="000000" w:themeColor="text1"/>
                      <w:sz w:val="18"/>
                      <w:szCs w:val="18"/>
                      <w:highlight w:val="none"/>
                      <w14:textFill>
                        <w14:solidFill>
                          <w14:schemeClr w14:val="tx1"/>
                        </w14:solidFill>
                      </w14:textFill>
                    </w:rPr>
                    <w:t>施</w:t>
                  </w:r>
                  <w:r>
                    <w:rPr>
                      <w:rFonts w:hint="default" w:ascii="Times New Roman" w:hAnsi="Times New Roman" w:eastAsia="宋体" w:cs="Times New Roman"/>
                      <w:color w:val="000000" w:themeColor="text1"/>
                      <w:spacing w:val="-67"/>
                      <w:sz w:val="18"/>
                      <w:szCs w:val="18"/>
                      <w:highlight w:val="none"/>
                      <w14:textFill>
                        <w14:solidFill>
                          <w14:schemeClr w14:val="tx1"/>
                        </w14:solidFill>
                      </w14:textFill>
                    </w:rPr>
                    <w:t xml:space="preserve"> </w:t>
                  </w:r>
                  <w:r>
                    <w:rPr>
                      <w:rFonts w:hint="default" w:ascii="Times New Roman" w:hAnsi="Times New Roman" w:eastAsia="宋体" w:cs="Times New Roman"/>
                      <w:color w:val="000000" w:themeColor="text1"/>
                      <w:sz w:val="18"/>
                      <w:szCs w:val="18"/>
                      <w:highlight w:val="none"/>
                      <w14:textFill>
                        <w14:solidFill>
                          <w14:schemeClr w14:val="tx1"/>
                        </w14:solidFill>
                      </w14:textFill>
                    </w:rPr>
                    <w:t>排</w:t>
                  </w:r>
                  <w:r>
                    <w:rPr>
                      <w:rFonts w:hint="default" w:ascii="Times New Roman" w:hAnsi="Times New Roman" w:eastAsia="宋体" w:cs="Times New Roman"/>
                      <w:color w:val="000000" w:themeColor="text1"/>
                      <w:spacing w:val="-67"/>
                      <w:sz w:val="18"/>
                      <w:szCs w:val="18"/>
                      <w:highlight w:val="none"/>
                      <w14:textFill>
                        <w14:solidFill>
                          <w14:schemeClr w14:val="tx1"/>
                        </w14:solidFill>
                      </w14:textFill>
                    </w:rPr>
                    <w:t xml:space="preserve"> </w:t>
                  </w:r>
                  <w:r>
                    <w:rPr>
                      <w:rFonts w:hint="default" w:ascii="Times New Roman" w:hAnsi="Times New Roman" w:eastAsia="宋体" w:cs="Times New Roman"/>
                      <w:color w:val="000000" w:themeColor="text1"/>
                      <w:sz w:val="18"/>
                      <w:szCs w:val="18"/>
                      <w:highlight w:val="none"/>
                      <w14:textFill>
                        <w14:solidFill>
                          <w14:schemeClr w14:val="tx1"/>
                        </w14:solidFill>
                      </w14:textFill>
                    </w:rPr>
                    <w:t>放口</w:t>
                  </w:r>
                </w:p>
              </w:tc>
            </w:tr>
          </w:tbl>
          <w:p>
            <w:pPr>
              <w:pStyle w:val="26"/>
              <w:keepNext w:val="0"/>
              <w:keepLines w:val="0"/>
              <w:pageBreakBefore w:val="0"/>
              <w:widowControl w:val="0"/>
              <w:kinsoku/>
              <w:wordWrap/>
              <w:overflowPunct/>
              <w:topLinePunct w:val="0"/>
              <w:autoSpaceDE w:val="0"/>
              <w:autoSpaceDN w:val="0"/>
              <w:bidi w:val="0"/>
              <w:adjustRightInd/>
              <w:snapToGrid/>
              <w:spacing w:line="360" w:lineRule="auto"/>
              <w:ind w:left="0" w:leftChars="0" w:firstLine="422" w:firstLineChars="200"/>
              <w:jc w:val="both"/>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②废水间接排放口基本情况,</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废水间接排放口基本情况</w:t>
            </w:r>
          </w:p>
          <w:tbl>
            <w:tblPr>
              <w:tblStyle w:val="21"/>
              <w:tblW w:w="4998" w:type="pct"/>
              <w:tblInd w:w="0"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239"/>
              <w:gridCol w:w="592"/>
              <w:gridCol w:w="1356"/>
              <w:gridCol w:w="1196"/>
              <w:gridCol w:w="620"/>
              <w:gridCol w:w="537"/>
              <w:gridCol w:w="597"/>
              <w:gridCol w:w="556"/>
              <w:gridCol w:w="556"/>
              <w:gridCol w:w="698"/>
              <w:gridCol w:w="1322"/>
            </w:tblGrid>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4"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序</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18"/>
                      <w:szCs w:val="18"/>
                      <w:highlight w:val="none"/>
                      <w14:textFill>
                        <w14:solidFill>
                          <w14:schemeClr w14:val="tx1"/>
                        </w14:solidFill>
                      </w14:textFill>
                    </w:rPr>
                    <w:t>号</w:t>
                  </w:r>
                </w:p>
              </w:tc>
              <w:tc>
                <w:tcPr>
                  <w:tcW w:w="358"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排放口编号</w:t>
                  </w:r>
                </w:p>
              </w:tc>
              <w:tc>
                <w:tcPr>
                  <w:tcW w:w="1542"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排放口地理坐标</w:t>
                  </w:r>
                </w:p>
              </w:tc>
              <w:tc>
                <w:tcPr>
                  <w:tcW w:w="375"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废水\</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排放量/</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（万t/a）</w:t>
                  </w:r>
                </w:p>
              </w:tc>
              <w:tc>
                <w:tcPr>
                  <w:tcW w:w="324"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排放 去向</w:t>
                  </w:r>
                </w:p>
              </w:tc>
              <w:tc>
                <w:tcPr>
                  <w:tcW w:w="361"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排放</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规律</w:t>
                  </w:r>
                </w:p>
              </w:tc>
              <w:tc>
                <w:tcPr>
                  <w:tcW w:w="335"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间歇排放时段</w:t>
                  </w:r>
                </w:p>
              </w:tc>
              <w:tc>
                <w:tcPr>
                  <w:tcW w:w="1557"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受纳污水处理厂信息</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358"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81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经度</w:t>
                  </w:r>
                </w:p>
              </w:tc>
              <w:tc>
                <w:tcPr>
                  <w:tcW w:w="723"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纬度</w:t>
                  </w:r>
                </w:p>
              </w:tc>
              <w:tc>
                <w:tcPr>
                  <w:tcW w:w="37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32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36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33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33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名称</w:t>
                  </w:r>
                </w:p>
              </w:tc>
              <w:tc>
                <w:tcPr>
                  <w:tcW w:w="42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污染物种类</w:t>
                  </w:r>
                </w:p>
              </w:tc>
              <w:tc>
                <w:tcPr>
                  <w:tcW w:w="79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国家或地方污染物排放标准浓度限值(mg/L)</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44"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1</w:t>
                  </w:r>
                </w:p>
              </w:tc>
              <w:tc>
                <w:tcPr>
                  <w:tcW w:w="358"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DW001</w:t>
                  </w:r>
                </w:p>
              </w:tc>
              <w:tc>
                <w:tcPr>
                  <w:tcW w:w="819"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cyan"/>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18"/>
                      <w:szCs w:val="18"/>
                      <w:highlight w:val="none"/>
                      <w14:textFill>
                        <w14:solidFill>
                          <w14:schemeClr w14:val="tx1"/>
                        </w14:solidFill>
                      </w14:textFill>
                    </w:rPr>
                    <w:t>113°45′37.525″</w:t>
                  </w:r>
                </w:p>
              </w:tc>
              <w:tc>
                <w:tcPr>
                  <w:tcW w:w="723"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cyan"/>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18"/>
                      <w:szCs w:val="18"/>
                      <w:highlight w:val="none"/>
                      <w14:textFill>
                        <w14:solidFill>
                          <w14:schemeClr w14:val="tx1"/>
                        </w14:solidFill>
                      </w14:textFill>
                    </w:rPr>
                    <w:t>35°11′39.460″</w:t>
                  </w:r>
                </w:p>
              </w:tc>
              <w:tc>
                <w:tcPr>
                  <w:tcW w:w="375"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0.0384</w:t>
                  </w:r>
                </w:p>
              </w:tc>
              <w:tc>
                <w:tcPr>
                  <w:tcW w:w="324"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新乡县综合污水处理厂</w:t>
                  </w:r>
                </w:p>
              </w:tc>
              <w:tc>
                <w:tcPr>
                  <w:tcW w:w="361"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pacing w:val="-12"/>
                      <w:sz w:val="18"/>
                      <w:szCs w:val="18"/>
                      <w:highlight w:val="none"/>
                      <w14:textFill>
                        <w14:solidFill>
                          <w14:schemeClr w14:val="tx1"/>
                        </w14:solidFill>
                      </w14:textFill>
                    </w:rPr>
                  </w:pPr>
                  <w:r>
                    <w:rPr>
                      <w:rFonts w:hint="default" w:ascii="Times New Roman" w:hAnsi="Times New Roman" w:cs="Times New Roman"/>
                      <w:color w:val="000000" w:themeColor="text1"/>
                      <w:spacing w:val="-12"/>
                      <w:sz w:val="18"/>
                      <w:szCs w:val="18"/>
                      <w:highlight w:val="none"/>
                      <w14:textFill>
                        <w14:solidFill>
                          <w14:schemeClr w14:val="tx1"/>
                        </w14:solidFill>
                      </w14:textFill>
                    </w:rPr>
                    <w:t>间断排放，排放期间流量不稳定且无规律，但不属于冲击型排放</w:t>
                  </w:r>
                </w:p>
              </w:tc>
              <w:tc>
                <w:tcPr>
                  <w:tcW w:w="335"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w:t>
                  </w:r>
                </w:p>
              </w:tc>
              <w:tc>
                <w:tcPr>
                  <w:tcW w:w="335"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新乡县综合污水处理厂</w:t>
                  </w:r>
                </w:p>
              </w:tc>
              <w:tc>
                <w:tcPr>
                  <w:tcW w:w="42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COD</w:t>
                  </w:r>
                </w:p>
              </w:tc>
              <w:tc>
                <w:tcPr>
                  <w:tcW w:w="79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40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PrEx>
              <w:trPr>
                <w:trHeight w:val="454" w:hRule="atLeast"/>
              </w:trPr>
              <w:tc>
                <w:tcPr>
                  <w:tcW w:w="14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358"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81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lang w:val="en-US" w:eastAsia="zh-CN"/>
                      <w14:textFill>
                        <w14:solidFill>
                          <w14:schemeClr w14:val="tx1"/>
                        </w14:solidFill>
                      </w14:textFill>
                    </w:rPr>
                  </w:pPr>
                </w:p>
              </w:tc>
              <w:tc>
                <w:tcPr>
                  <w:tcW w:w="723"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lang w:val="en-US" w:eastAsia="zh-CN"/>
                      <w14:textFill>
                        <w14:solidFill>
                          <w14:schemeClr w14:val="tx1"/>
                        </w14:solidFill>
                      </w14:textFill>
                    </w:rPr>
                  </w:pPr>
                </w:p>
              </w:tc>
              <w:tc>
                <w:tcPr>
                  <w:tcW w:w="37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lang w:val="en-US" w:eastAsia="zh-CN"/>
                      <w14:textFill>
                        <w14:solidFill>
                          <w14:schemeClr w14:val="tx1"/>
                        </w14:solidFill>
                      </w14:textFill>
                    </w:rPr>
                  </w:pPr>
                </w:p>
              </w:tc>
              <w:tc>
                <w:tcPr>
                  <w:tcW w:w="32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36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pacing w:val="-12"/>
                      <w:sz w:val="18"/>
                      <w:szCs w:val="18"/>
                      <w:highlight w:val="none"/>
                      <w14:textFill>
                        <w14:solidFill>
                          <w14:schemeClr w14:val="tx1"/>
                        </w14:solidFill>
                      </w14:textFill>
                    </w:rPr>
                  </w:pPr>
                </w:p>
              </w:tc>
              <w:tc>
                <w:tcPr>
                  <w:tcW w:w="33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33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42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BOD</w:t>
                  </w:r>
                  <w:r>
                    <w:rPr>
                      <w:rFonts w:hint="default" w:ascii="Times New Roman" w:hAnsi="Times New Roman" w:cs="Times New Roman"/>
                      <w:color w:val="000000" w:themeColor="text1"/>
                      <w:sz w:val="18"/>
                      <w:szCs w:val="18"/>
                      <w:highlight w:val="none"/>
                      <w:vertAlign w:val="subscript"/>
                      <w:lang w:val="en-US" w:eastAsia="zh-CN"/>
                      <w14:textFill>
                        <w14:solidFill>
                          <w14:schemeClr w14:val="tx1"/>
                        </w14:solidFill>
                      </w14:textFill>
                    </w:rPr>
                    <w:t>5</w:t>
                  </w:r>
                </w:p>
              </w:tc>
              <w:tc>
                <w:tcPr>
                  <w:tcW w:w="79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358"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81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723"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37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32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36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33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33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42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SS</w:t>
                  </w:r>
                </w:p>
              </w:tc>
              <w:tc>
                <w:tcPr>
                  <w:tcW w:w="79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358"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81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723"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37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32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36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33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33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42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NH</w:t>
                  </w:r>
                  <w:r>
                    <w:rPr>
                      <w:rFonts w:hint="default" w:ascii="Times New Roman" w:hAnsi="Times New Roman" w:cs="Times New Roman"/>
                      <w:color w:val="000000" w:themeColor="text1"/>
                      <w:kern w:val="2"/>
                      <w:sz w:val="18"/>
                      <w:szCs w:val="18"/>
                      <w:highlight w:val="none"/>
                      <w:vertAlign w:val="subscript"/>
                      <w:lang w:val="en-US" w:eastAsia="zh-CN" w:bidi="ar-SA"/>
                      <w14:textFill>
                        <w14:solidFill>
                          <w14:schemeClr w14:val="tx1"/>
                        </w14:solidFill>
                      </w14:textFill>
                    </w:rPr>
                    <w:t>3</w:t>
                  </w: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-N</w:t>
                  </w:r>
                </w:p>
              </w:tc>
              <w:tc>
                <w:tcPr>
                  <w:tcW w:w="79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2</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4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358"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819"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723"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37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32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361"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33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33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42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TP</w:t>
                  </w:r>
                </w:p>
              </w:tc>
              <w:tc>
                <w:tcPr>
                  <w:tcW w:w="79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0.4</w:t>
                  </w:r>
                </w:p>
              </w:tc>
            </w:tr>
          </w:tbl>
          <w:p>
            <w:pPr>
              <w:pStyle w:val="26"/>
              <w:keepNext w:val="0"/>
              <w:keepLines w:val="0"/>
              <w:pageBreakBefore w:val="0"/>
              <w:widowControl w:val="0"/>
              <w:kinsoku/>
              <w:wordWrap/>
              <w:overflowPunct/>
              <w:topLinePunct w:val="0"/>
              <w:autoSpaceDE w:val="0"/>
              <w:autoSpaceDN w:val="0"/>
              <w:bidi w:val="0"/>
              <w:adjustRightInd/>
              <w:snapToGrid/>
              <w:spacing w:line="360" w:lineRule="auto"/>
              <w:ind w:left="0" w:leftChars="0" w:firstLine="422" w:firstLineChars="200"/>
              <w:jc w:val="both"/>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③废水污染物排放执行标准</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废水污染物排放执行标准表</w:t>
            </w:r>
          </w:p>
          <w:tbl>
            <w:tblPr>
              <w:tblStyle w:val="21"/>
              <w:tblW w:w="4998" w:type="pct"/>
              <w:tblInd w:w="0"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849"/>
              <w:gridCol w:w="1241"/>
              <w:gridCol w:w="1037"/>
              <w:gridCol w:w="3127"/>
              <w:gridCol w:w="2015"/>
            </w:tblGrid>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13" w:type="pct"/>
                  <w:vMerge w:val="restart"/>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序号</w:t>
                  </w:r>
                </w:p>
              </w:tc>
              <w:tc>
                <w:tcPr>
                  <w:tcW w:w="750" w:type="pct"/>
                  <w:vMerge w:val="restart"/>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排放口编号</w:t>
                  </w:r>
                </w:p>
              </w:tc>
              <w:tc>
                <w:tcPr>
                  <w:tcW w:w="627" w:type="pct"/>
                  <w:vMerge w:val="restart"/>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污染物种类</w:t>
                  </w:r>
                </w:p>
              </w:tc>
              <w:tc>
                <w:tcPr>
                  <w:tcW w:w="3108" w:type="pct"/>
                  <w:gridSpan w:val="2"/>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国家或地方污染物排放标准及其他按规定商定的排放协议</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13"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750"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627"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1890" w:type="pct"/>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名称</w:t>
                  </w:r>
                </w:p>
              </w:tc>
              <w:tc>
                <w:tcPr>
                  <w:tcW w:w="1217" w:type="pct"/>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浓度限值/(mg/L)</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13" w:type="pct"/>
                  <w:vMerge w:val="restart"/>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1</w:t>
                  </w:r>
                </w:p>
              </w:tc>
              <w:tc>
                <w:tcPr>
                  <w:tcW w:w="750" w:type="pct"/>
                  <w:vMerge w:val="restart"/>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DW001</w:t>
                  </w:r>
                </w:p>
              </w:tc>
              <w:tc>
                <w:tcPr>
                  <w:tcW w:w="62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bidi="ar"/>
                      <w14:textFill>
                        <w14:solidFill>
                          <w14:schemeClr w14:val="tx1"/>
                        </w14:solidFill>
                      </w14:textFill>
                    </w:rPr>
                    <w:t>COD</w:t>
                  </w:r>
                </w:p>
              </w:tc>
              <w:tc>
                <w:tcPr>
                  <w:tcW w:w="1890" w:type="pct"/>
                  <w:vMerge w:val="restart"/>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bCs/>
                      <w:color w:val="000000" w:themeColor="text1"/>
                      <w:sz w:val="18"/>
                      <w:szCs w:val="18"/>
                      <w:highlight w:val="none"/>
                      <w:lang w:val="zh-CN"/>
                      <w14:textFill>
                        <w14:solidFill>
                          <w14:schemeClr w14:val="tx1"/>
                        </w14:solidFill>
                      </w14:textFill>
                    </w:rPr>
                  </w:pPr>
                  <w:r>
                    <w:rPr>
                      <w:rFonts w:hint="default" w:ascii="Times New Roman" w:hAnsi="Times New Roman" w:cs="Times New Roman"/>
                      <w:bCs/>
                      <w:color w:val="000000" w:themeColor="text1"/>
                      <w:sz w:val="18"/>
                      <w:szCs w:val="18"/>
                      <w:highlight w:val="none"/>
                      <w:lang w:val="zh-CN"/>
                      <w14:textFill>
                        <w14:solidFill>
                          <w14:schemeClr w14:val="tx1"/>
                        </w14:solidFill>
                      </w14:textFill>
                    </w:rPr>
                    <w:t>新乡县综合污水处理厂</w:t>
                  </w:r>
                </w:p>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收水标准</w:t>
                  </w:r>
                </w:p>
              </w:tc>
              <w:tc>
                <w:tcPr>
                  <w:tcW w:w="1217" w:type="pct"/>
                  <w:noWrap w:val="0"/>
                  <w:vAlign w:val="center"/>
                </w:tcPr>
                <w:p>
                  <w:pPr>
                    <w:pStyle w:val="62"/>
                    <w:keepNext w:val="0"/>
                    <w:keepLines w:val="0"/>
                    <w:pageBreakBefore w:val="0"/>
                    <w:kinsoku/>
                    <w:wordWrap/>
                    <w:overflowPunct/>
                    <w:topLinePunct w:val="0"/>
                    <w:autoSpaceDE/>
                    <w:autoSpaceDN/>
                    <w:bidi w:val="0"/>
                    <w:adjustRightInd/>
                    <w:snapToGrid/>
                    <w:spacing w:line="320" w:lineRule="exact"/>
                    <w:ind w:firstLine="0" w:firstLineChars="0"/>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400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13" w:type="pct"/>
                  <w:vMerge w:val="continue"/>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750" w:type="pct"/>
                  <w:vMerge w:val="continue"/>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62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bCs/>
                      <w:color w:val="000000" w:themeColor="text1"/>
                      <w:sz w:val="18"/>
                      <w:szCs w:val="18"/>
                      <w:highlight w:val="none"/>
                      <w14:textFill>
                        <w14:solidFill>
                          <w14:schemeClr w14:val="tx1"/>
                        </w14:solidFill>
                      </w14:textFill>
                    </w:rPr>
                    <w:t>BOD</w:t>
                  </w:r>
                  <w:r>
                    <w:rPr>
                      <w:rFonts w:hint="default" w:ascii="Times New Roman" w:hAnsi="Times New Roman" w:cs="Times New Roman"/>
                      <w:bCs/>
                      <w:color w:val="000000" w:themeColor="text1"/>
                      <w:sz w:val="18"/>
                      <w:szCs w:val="18"/>
                      <w:highlight w:val="none"/>
                      <w:vertAlign w:val="subscript"/>
                      <w14:textFill>
                        <w14:solidFill>
                          <w14:schemeClr w14:val="tx1"/>
                        </w14:solidFill>
                      </w14:textFill>
                    </w:rPr>
                    <w:t>5</w:t>
                  </w:r>
                </w:p>
              </w:tc>
              <w:tc>
                <w:tcPr>
                  <w:tcW w:w="1890" w:type="pct"/>
                  <w:vMerge w:val="continue"/>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cyan"/>
                      <w14:textFill>
                        <w14:solidFill>
                          <w14:schemeClr w14:val="tx1"/>
                        </w14:solidFill>
                      </w14:textFill>
                    </w:rPr>
                  </w:pPr>
                </w:p>
              </w:tc>
              <w:tc>
                <w:tcPr>
                  <w:tcW w:w="1217" w:type="pct"/>
                  <w:noWrap w:val="0"/>
                  <w:vAlign w:val="center"/>
                </w:tcPr>
                <w:p>
                  <w:pPr>
                    <w:pStyle w:val="62"/>
                    <w:keepNext w:val="0"/>
                    <w:keepLines w:val="0"/>
                    <w:pageBreakBefore w:val="0"/>
                    <w:kinsoku/>
                    <w:wordWrap/>
                    <w:overflowPunct/>
                    <w:topLinePunct w:val="0"/>
                    <w:autoSpaceDE/>
                    <w:autoSpaceDN/>
                    <w:bidi w:val="0"/>
                    <w:adjustRightInd/>
                    <w:snapToGrid/>
                    <w:spacing w:line="320" w:lineRule="exact"/>
                    <w:ind w:firstLine="0" w:firstLineChars="0"/>
                    <w:rPr>
                      <w:rFonts w:hint="default" w:ascii="Times New Roman" w:hAnsi="Times New Roman" w:eastAsia="宋体"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180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13" w:type="pct"/>
                  <w:vMerge w:val="continue"/>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750" w:type="pct"/>
                  <w:vMerge w:val="continue"/>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62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bidi="ar"/>
                      <w14:textFill>
                        <w14:solidFill>
                          <w14:schemeClr w14:val="tx1"/>
                        </w14:solidFill>
                      </w14:textFill>
                    </w:rPr>
                    <w:t>SS</w:t>
                  </w:r>
                </w:p>
              </w:tc>
              <w:tc>
                <w:tcPr>
                  <w:tcW w:w="1890" w:type="pct"/>
                  <w:vMerge w:val="continue"/>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cyan"/>
                      <w14:textFill>
                        <w14:solidFill>
                          <w14:schemeClr w14:val="tx1"/>
                        </w14:solidFill>
                      </w14:textFill>
                    </w:rPr>
                  </w:pPr>
                </w:p>
              </w:tc>
              <w:tc>
                <w:tcPr>
                  <w:tcW w:w="1217" w:type="pct"/>
                  <w:noWrap w:val="0"/>
                  <w:vAlign w:val="center"/>
                </w:tcPr>
                <w:p>
                  <w:pPr>
                    <w:pStyle w:val="62"/>
                    <w:keepNext w:val="0"/>
                    <w:keepLines w:val="0"/>
                    <w:pageBreakBefore w:val="0"/>
                    <w:kinsoku/>
                    <w:wordWrap/>
                    <w:overflowPunct/>
                    <w:topLinePunct w:val="0"/>
                    <w:autoSpaceDE/>
                    <w:autoSpaceDN/>
                    <w:bidi w:val="0"/>
                    <w:adjustRightInd/>
                    <w:snapToGrid/>
                    <w:spacing w:line="320" w:lineRule="exact"/>
                    <w:ind w:firstLine="0" w:firstLineChars="0"/>
                    <w:rPr>
                      <w:rFonts w:hint="default" w:ascii="Times New Roman" w:hAnsi="Times New Roman" w:eastAsia="宋体"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59</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13" w:type="pct"/>
                  <w:vMerge w:val="continue"/>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750" w:type="pct"/>
                  <w:vMerge w:val="continue"/>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62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t>NH</w:t>
                  </w:r>
                  <w:r>
                    <w:rPr>
                      <w:rFonts w:hint="default" w:ascii="Times New Roman" w:hAnsi="Times New Roman" w:cs="Times New Roman"/>
                      <w:bCs/>
                      <w:color w:val="000000" w:themeColor="text1"/>
                      <w:sz w:val="18"/>
                      <w:szCs w:val="18"/>
                      <w:highlight w:val="none"/>
                      <w:vertAlign w:val="subscript"/>
                      <w:lang w:val="en-US" w:eastAsia="zh-CN"/>
                      <w14:textFill>
                        <w14:solidFill>
                          <w14:schemeClr w14:val="tx1"/>
                        </w14:solidFill>
                      </w14:textFill>
                    </w:rPr>
                    <w:t>3</w:t>
                  </w:r>
                  <w:r>
                    <w:rPr>
                      <w:rFonts w:hint="default" w:ascii="Times New Roman" w:hAnsi="Times New Roman" w:cs="Times New Roman"/>
                      <w:bCs/>
                      <w:color w:val="000000" w:themeColor="text1"/>
                      <w:sz w:val="18"/>
                      <w:szCs w:val="18"/>
                      <w:highlight w:val="none"/>
                      <w:lang w:val="en-US" w:eastAsia="zh-CN"/>
                      <w14:textFill>
                        <w14:solidFill>
                          <w14:schemeClr w14:val="tx1"/>
                        </w14:solidFill>
                      </w14:textFill>
                    </w:rPr>
                    <w:t>-N</w:t>
                  </w:r>
                </w:p>
              </w:tc>
              <w:tc>
                <w:tcPr>
                  <w:tcW w:w="1890" w:type="pct"/>
                  <w:vMerge w:val="continue"/>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cyan"/>
                      <w14:textFill>
                        <w14:solidFill>
                          <w14:schemeClr w14:val="tx1"/>
                        </w14:solidFill>
                      </w14:textFill>
                    </w:rPr>
                  </w:pPr>
                </w:p>
              </w:tc>
              <w:tc>
                <w:tcPr>
                  <w:tcW w:w="1217" w:type="pct"/>
                  <w:noWrap w:val="0"/>
                  <w:vAlign w:val="center"/>
                </w:tcPr>
                <w:p>
                  <w:pPr>
                    <w:pStyle w:val="62"/>
                    <w:keepNext w:val="0"/>
                    <w:keepLines w:val="0"/>
                    <w:pageBreakBefore w:val="0"/>
                    <w:kinsoku/>
                    <w:wordWrap/>
                    <w:overflowPunct/>
                    <w:topLinePunct w:val="0"/>
                    <w:autoSpaceDE/>
                    <w:autoSpaceDN/>
                    <w:bidi w:val="0"/>
                    <w:adjustRightInd/>
                    <w:snapToGrid/>
                    <w:spacing w:line="320" w:lineRule="exact"/>
                    <w:ind w:firstLine="0" w:firstLineChars="0"/>
                    <w:rPr>
                      <w:rFonts w:hint="default" w:ascii="Times New Roman" w:hAnsi="Times New Roman" w:eastAsia="宋体"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4</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13" w:type="pct"/>
                  <w:vMerge w:val="continue"/>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750" w:type="pct"/>
                  <w:vMerge w:val="continue"/>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62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bidi="ar"/>
                      <w14:textFill>
                        <w14:solidFill>
                          <w14:schemeClr w14:val="tx1"/>
                        </w14:solidFill>
                      </w14:textFill>
                    </w:rPr>
                    <w:t>TP</w:t>
                  </w:r>
                </w:p>
              </w:tc>
              <w:tc>
                <w:tcPr>
                  <w:tcW w:w="1890" w:type="pct"/>
                  <w:vMerge w:val="continue"/>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cyan"/>
                      <w14:textFill>
                        <w14:solidFill>
                          <w14:schemeClr w14:val="tx1"/>
                        </w14:solidFill>
                      </w14:textFill>
                    </w:rPr>
                  </w:pPr>
                </w:p>
              </w:tc>
              <w:tc>
                <w:tcPr>
                  <w:tcW w:w="1217" w:type="pct"/>
                  <w:noWrap w:val="0"/>
                  <w:vAlign w:val="center"/>
                </w:tcPr>
                <w:p>
                  <w:pPr>
                    <w:pStyle w:val="62"/>
                    <w:keepNext w:val="0"/>
                    <w:keepLines w:val="0"/>
                    <w:pageBreakBefore w:val="0"/>
                    <w:kinsoku/>
                    <w:wordWrap/>
                    <w:overflowPunct/>
                    <w:topLinePunct w:val="0"/>
                    <w:autoSpaceDE/>
                    <w:autoSpaceDN/>
                    <w:bidi w:val="0"/>
                    <w:adjustRightInd/>
                    <w:snapToGrid/>
                    <w:spacing w:line="320" w:lineRule="exact"/>
                    <w:ind w:firstLine="0" w:firstLineChars="0"/>
                    <w:rPr>
                      <w:rFonts w:hint="default" w:ascii="Times New Roman" w:hAnsi="Times New Roman" w:eastAsia="宋体"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70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13" w:type="pct"/>
                  <w:vMerge w:val="continue"/>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750" w:type="pct"/>
                  <w:vMerge w:val="continue"/>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62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COD</w:t>
                  </w:r>
                </w:p>
              </w:tc>
              <w:tc>
                <w:tcPr>
                  <w:tcW w:w="1890" w:type="pct"/>
                  <w:vMerge w:val="restart"/>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cya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t>《污水综合排放标准》（</w:t>
                  </w: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GB8978-1996</w:t>
                  </w:r>
                  <w:r>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t>）表</w:t>
                  </w: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4</w:t>
                  </w:r>
                  <w:r>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t>三级标准</w:t>
                  </w:r>
                </w:p>
              </w:tc>
              <w:tc>
                <w:tcPr>
                  <w:tcW w:w="121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500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13" w:type="pct"/>
                  <w:vMerge w:val="continue"/>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750" w:type="pct"/>
                  <w:vMerge w:val="continue"/>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62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BOD</w:t>
                  </w:r>
                  <w:r>
                    <w:rPr>
                      <w:rFonts w:hint="default" w:ascii="Times New Roman" w:hAnsi="Times New Roman" w:cs="Times New Roman"/>
                      <w:b w:val="0"/>
                      <w:bCs w:val="0"/>
                      <w:color w:val="000000" w:themeColor="text1"/>
                      <w:sz w:val="18"/>
                      <w:szCs w:val="18"/>
                      <w:highlight w:val="none"/>
                      <w:vertAlign w:val="subscript"/>
                      <w:lang w:val="en-US" w:eastAsia="zh-CN"/>
                      <w14:textFill>
                        <w14:solidFill>
                          <w14:schemeClr w14:val="tx1"/>
                        </w14:solidFill>
                      </w14:textFill>
                    </w:rPr>
                    <w:t>5</w:t>
                  </w:r>
                </w:p>
              </w:tc>
              <w:tc>
                <w:tcPr>
                  <w:tcW w:w="1890" w:type="pct"/>
                  <w:vMerge w:val="continue"/>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cyan"/>
                      <w14:textFill>
                        <w14:solidFill>
                          <w14:schemeClr w14:val="tx1"/>
                        </w14:solidFill>
                      </w14:textFill>
                    </w:rPr>
                  </w:pPr>
                </w:p>
              </w:tc>
              <w:tc>
                <w:tcPr>
                  <w:tcW w:w="121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300</w:t>
                  </w:r>
                </w:p>
              </w:tc>
            </w:tr>
            <w:tr>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513" w:type="pct"/>
                  <w:vMerge w:val="continue"/>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750" w:type="pct"/>
                  <w:vMerge w:val="continue"/>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none"/>
                      <w14:textFill>
                        <w14:solidFill>
                          <w14:schemeClr w14:val="tx1"/>
                        </w14:solidFill>
                      </w14:textFill>
                    </w:rPr>
                  </w:pPr>
                </w:p>
              </w:tc>
              <w:tc>
                <w:tcPr>
                  <w:tcW w:w="62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SS</w:t>
                  </w:r>
                </w:p>
              </w:tc>
              <w:tc>
                <w:tcPr>
                  <w:tcW w:w="1890" w:type="pct"/>
                  <w:vMerge w:val="continue"/>
                  <w:noWrap w:val="0"/>
                  <w:vAlign w:val="center"/>
                </w:tcPr>
                <w:p>
                  <w:pPr>
                    <w:pStyle w:val="67"/>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color w:val="000000" w:themeColor="text1"/>
                      <w:sz w:val="18"/>
                      <w:szCs w:val="18"/>
                      <w:highlight w:val="cyan"/>
                      <w14:textFill>
                        <w14:solidFill>
                          <w14:schemeClr w14:val="tx1"/>
                        </w14:solidFill>
                      </w14:textFill>
                    </w:rPr>
                  </w:pPr>
                </w:p>
              </w:tc>
              <w:tc>
                <w:tcPr>
                  <w:tcW w:w="1217"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18"/>
                      <w:szCs w:val="18"/>
                      <w:highlight w:val="cyan"/>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400</w:t>
                  </w:r>
                </w:p>
              </w:tc>
            </w:tr>
          </w:tbl>
          <w:p>
            <w:pPr>
              <w:pStyle w:val="3"/>
              <w:keepNext w:val="0"/>
              <w:keepLines w:val="0"/>
              <w:pageBreakBefore w:val="0"/>
              <w:widowControl w:val="0"/>
              <w:numPr>
                <w:ilvl w:val="2"/>
                <w:numId w:val="0"/>
              </w:numPr>
              <w:kinsoku/>
              <w:wordWrap/>
              <w:overflowPunct/>
              <w:topLinePunct w:val="0"/>
              <w:autoSpaceDE/>
              <w:autoSpaceDN/>
              <w:bidi w:val="0"/>
              <w:adjustRightInd/>
              <w:snapToGrid/>
              <w:spacing w:before="0" w:after="0" w:line="360" w:lineRule="auto"/>
              <w:ind w:leftChars="0" w:right="0" w:rightChars="0" w:firstLine="406" w:firstLineChars="200"/>
              <w:textAlignment w:val="auto"/>
              <w:rPr>
                <w:rFonts w:hint="default" w:ascii="Times New Roman" w:hAnsi="Times New Roman" w:cs="Times New Roman"/>
                <w:b/>
                <w:bCs w:val="0"/>
                <w:color w:val="000000" w:themeColor="text1"/>
                <w:spacing w:val="-4"/>
                <w:sz w:val="21"/>
                <w:szCs w:val="21"/>
                <w:highlight w:val="none"/>
                <w:lang w:eastAsia="zh-CN"/>
                <w14:textFill>
                  <w14:solidFill>
                    <w14:schemeClr w14:val="tx1"/>
                  </w14:solidFill>
                </w14:textFill>
              </w:rPr>
            </w:pPr>
            <w:r>
              <w:rPr>
                <w:rFonts w:hint="default" w:ascii="Times New Roman" w:hAnsi="Times New Roman" w:cs="Times New Roman"/>
                <w:b/>
                <w:bCs w:val="0"/>
                <w:color w:val="000000" w:themeColor="text1"/>
                <w:spacing w:val="-4"/>
                <w:sz w:val="21"/>
                <w:szCs w:val="21"/>
                <w:highlight w:val="none"/>
                <w:lang w:eastAsia="zh-CN"/>
                <w14:textFill>
                  <w14:solidFill>
                    <w14:schemeClr w14:val="tx1"/>
                  </w14:solidFill>
                </w14:textFill>
              </w:rPr>
              <w:t>（</w:t>
            </w:r>
            <w:r>
              <w:rPr>
                <w:rFonts w:hint="default" w:ascii="Times New Roman" w:hAnsi="Times New Roman" w:cs="Times New Roman"/>
                <w:b/>
                <w:bCs w:val="0"/>
                <w:color w:val="000000" w:themeColor="text1"/>
                <w:spacing w:val="-4"/>
                <w:sz w:val="21"/>
                <w:szCs w:val="21"/>
                <w:highlight w:val="none"/>
                <w:lang w:val="en-US" w:eastAsia="zh-CN"/>
                <w14:textFill>
                  <w14:solidFill>
                    <w14:schemeClr w14:val="tx1"/>
                  </w14:solidFill>
                </w14:textFill>
              </w:rPr>
              <w:t>5</w:t>
            </w:r>
            <w:r>
              <w:rPr>
                <w:rFonts w:hint="default" w:ascii="Times New Roman" w:hAnsi="Times New Roman" w:cs="Times New Roman"/>
                <w:b/>
                <w:bCs w:val="0"/>
                <w:color w:val="000000" w:themeColor="text1"/>
                <w:spacing w:val="-4"/>
                <w:sz w:val="21"/>
                <w:szCs w:val="21"/>
                <w:highlight w:val="none"/>
                <w:lang w:eastAsia="zh-CN"/>
                <w14:textFill>
                  <w14:solidFill>
                    <w14:schemeClr w14:val="tx1"/>
                  </w14:solidFill>
                </w14:textFill>
              </w:rPr>
              <w:t>）监测要求</w:t>
            </w:r>
          </w:p>
          <w:p>
            <w:pPr>
              <w:pStyle w:val="3"/>
              <w:keepNext w:val="0"/>
              <w:keepLines w:val="0"/>
              <w:pageBreakBefore w:val="0"/>
              <w:widowControl w:val="0"/>
              <w:numPr>
                <w:ilvl w:val="2"/>
                <w:numId w:val="0"/>
              </w:numPr>
              <w:kinsoku/>
              <w:wordWrap/>
              <w:overflowPunct/>
              <w:topLinePunct w:val="0"/>
              <w:autoSpaceDE/>
              <w:autoSpaceDN/>
              <w:bidi w:val="0"/>
              <w:adjustRightInd/>
              <w:snapToGrid/>
              <w:spacing w:before="0" w:after="0" w:line="360" w:lineRule="auto"/>
              <w:ind w:leftChars="0" w:right="0" w:rightChars="0" w:firstLine="420" w:firstLineChars="20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eastAsia="zh-CN"/>
                <w14:textFill>
                  <w14:solidFill>
                    <w14:schemeClr w14:val="tx1"/>
                  </w14:solidFill>
                </w14:textFill>
              </w:rPr>
              <w:t>参</w:t>
            </w:r>
            <w:r>
              <w:rPr>
                <w:rFonts w:hint="default" w:ascii="Times New Roman" w:hAnsi="Times New Roman" w:eastAsia="宋体" w:cs="Times New Roman"/>
                <w:b w:val="0"/>
                <w:bCs w:val="0"/>
                <w:color w:val="000000" w:themeColor="text1"/>
                <w:spacing w:val="4"/>
                <w:kern w:val="2"/>
                <w:sz w:val="21"/>
                <w:szCs w:val="21"/>
                <w:highlight w:val="none"/>
                <w:lang w:val="en-US" w:eastAsia="zh-CN" w:bidi="ar-SA"/>
                <w14:textFill>
                  <w14:solidFill>
                    <w14:schemeClr w14:val="tx1"/>
                  </w14:solidFill>
                </w14:textFill>
              </w:rPr>
              <w:t>考</w:t>
            </w: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《排污单位自行监测技术指南</w:t>
            </w: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总则》（HJ 819-2017）</w:t>
            </w:r>
            <w:r>
              <w:rPr>
                <w:rFonts w:hint="default" w:ascii="Times New Roman" w:hAnsi="Times New Roman" w:eastAsia="宋体" w:cs="Times New Roman"/>
                <w:b w:val="0"/>
                <w:bCs w:val="0"/>
                <w:color w:val="000000" w:themeColor="text1"/>
                <w:spacing w:val="4"/>
                <w:kern w:val="2"/>
                <w:sz w:val="21"/>
                <w:szCs w:val="21"/>
                <w:highlight w:val="none"/>
                <w:lang w:val="en-US" w:eastAsia="zh-CN" w:bidi="ar-SA"/>
                <w14:textFill>
                  <w14:solidFill>
                    <w14:schemeClr w14:val="tx1"/>
                  </w14:solidFill>
                </w14:textFill>
              </w:rPr>
              <w:t>相</w:t>
            </w:r>
            <w:r>
              <w:rPr>
                <w:rFonts w:hint="default" w:ascii="Times New Roman" w:hAnsi="Times New Roman" w:eastAsia="宋体" w:cs="Times New Roman"/>
                <w:b w:val="0"/>
                <w:bCs w:val="0"/>
                <w:color w:val="000000" w:themeColor="text1"/>
                <w:sz w:val="21"/>
                <w:szCs w:val="21"/>
                <w:highlight w:val="none"/>
                <w:vertAlign w:val="baseline"/>
                <w:lang w:eastAsia="zh-CN"/>
                <w14:textFill>
                  <w14:solidFill>
                    <w14:schemeClr w14:val="tx1"/>
                  </w14:solidFill>
                </w14:textFill>
              </w:rPr>
              <w:t>关要求，</w:t>
            </w:r>
            <w:r>
              <w:rPr>
                <w:rFonts w:hint="default" w:ascii="Times New Roman" w:hAnsi="Times New Roman" w:cs="Times New Roman"/>
                <w:b w:val="0"/>
                <w:bCs/>
                <w:color w:val="000000" w:themeColor="text1"/>
                <w:spacing w:val="-4"/>
                <w:sz w:val="21"/>
                <w:szCs w:val="21"/>
                <w:highlight w:val="none"/>
                <w:lang w:eastAsia="zh-CN"/>
                <w14:textFill>
                  <w14:solidFill>
                    <w14:schemeClr w14:val="tx1"/>
                  </w14:solidFill>
                </w14:textFill>
              </w:rPr>
              <w:t>项目废水监测要求如下：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废水监测计划表</w:t>
            </w:r>
          </w:p>
          <w:tbl>
            <w:tblPr>
              <w:tblStyle w:val="21"/>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29"/>
              <w:gridCol w:w="1796"/>
              <w:gridCol w:w="1892"/>
              <w:gridCol w:w="325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3"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监测内容</w:t>
                  </w:r>
                </w:p>
              </w:tc>
              <w:tc>
                <w:tcPr>
                  <w:tcW w:w="1086"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监测</w:t>
                  </w: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项目</w:t>
                  </w:r>
                </w:p>
              </w:tc>
              <w:tc>
                <w:tcPr>
                  <w:tcW w:w="1144"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监测频次</w:t>
                  </w:r>
                </w:p>
              </w:tc>
              <w:tc>
                <w:tcPr>
                  <w:tcW w:w="1965"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执行排放标准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3" w:type="pct"/>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pPr>
                  <w:r>
                    <w:rPr>
                      <w:rFonts w:hint="default" w:ascii="Times New Roman" w:hAnsi="Times New Roman" w:cs="Times New Roman"/>
                      <w:bCs/>
                      <w:color w:val="000000" w:themeColor="text1"/>
                      <w:sz w:val="18"/>
                      <w:szCs w:val="18"/>
                      <w:highlight w:val="none"/>
                      <w:lang w:eastAsia="zh-CN"/>
                      <w14:textFill>
                        <w14:solidFill>
                          <w14:schemeClr w14:val="tx1"/>
                        </w14:solidFill>
                      </w14:textFill>
                    </w:rPr>
                    <w:t>生活污水</w:t>
                  </w:r>
                </w:p>
              </w:tc>
              <w:tc>
                <w:tcPr>
                  <w:tcW w:w="1086"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COD、BOD</w:t>
                  </w:r>
                  <w:r>
                    <w:rPr>
                      <w:rFonts w:hint="default" w:ascii="Times New Roman" w:hAnsi="Times New Roman" w:cs="Times New Roman"/>
                      <w:color w:val="000000" w:themeColor="text1"/>
                      <w:kern w:val="0"/>
                      <w:sz w:val="18"/>
                      <w:szCs w:val="18"/>
                      <w:highlight w:val="none"/>
                      <w:vertAlign w:val="subscript"/>
                      <w:lang w:val="en-US" w:eastAsia="zh-CN"/>
                      <w14:textFill>
                        <w14:solidFill>
                          <w14:schemeClr w14:val="tx1"/>
                        </w14:solidFill>
                      </w14:textFill>
                    </w:rPr>
                    <w:t>5</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、SS、NH</w:t>
                  </w:r>
                  <w:r>
                    <w:rPr>
                      <w:rFonts w:hint="default" w:ascii="Times New Roman" w:hAnsi="Times New Roman" w:cs="Times New Roman"/>
                      <w:color w:val="000000" w:themeColor="text1"/>
                      <w:kern w:val="0"/>
                      <w:sz w:val="18"/>
                      <w:szCs w:val="18"/>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-N、TP</w:t>
                  </w:r>
                </w:p>
              </w:tc>
              <w:tc>
                <w:tcPr>
                  <w:tcW w:w="1144" w:type="pct"/>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w:t>
                  </w: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次</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/半年</w:t>
                  </w:r>
                </w:p>
              </w:tc>
              <w:tc>
                <w:tcPr>
                  <w:tcW w:w="1965" w:type="pct"/>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sz w:val="18"/>
                      <w:szCs w:val="18"/>
                      <w:highlight w:val="none"/>
                      <w:lang w:val="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t>《污水综合排放标准》（</w:t>
                  </w: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GB8978-1996</w:t>
                  </w:r>
                  <w:r>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t>）表</w:t>
                  </w:r>
                  <w:r>
                    <w:rPr>
                      <w:rFonts w:hint="default" w:ascii="Times New Roman" w:hAnsi="Times New Roman" w:cs="Times New Roman"/>
                      <w:b w:val="0"/>
                      <w:bCs w:val="0"/>
                      <w:color w:val="000000" w:themeColor="text1"/>
                      <w:sz w:val="18"/>
                      <w:szCs w:val="18"/>
                      <w:highlight w:val="none"/>
                      <w:lang w:val="en-US" w:eastAsia="zh-CN"/>
                      <w14:textFill>
                        <w14:solidFill>
                          <w14:schemeClr w14:val="tx1"/>
                        </w14:solidFill>
                      </w14:textFill>
                    </w:rPr>
                    <w:t>4</w:t>
                  </w:r>
                  <w:r>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t>三级标准</w:t>
                  </w:r>
                  <w:r>
                    <w:rPr>
                      <w:rFonts w:hint="default" w:ascii="Times New Roman" w:hAnsi="Times New Roman" w:cs="Times New Roman"/>
                      <w:bCs/>
                      <w:color w:val="000000" w:themeColor="text1"/>
                      <w:sz w:val="18"/>
                      <w:szCs w:val="18"/>
                      <w:highlight w:val="none"/>
                      <w:lang w:val="zh-CN"/>
                      <w14:textFill>
                        <w14:solidFill>
                          <w14:schemeClr w14:val="tx1"/>
                        </w14:solidFill>
                      </w14:textFill>
                    </w:rPr>
                    <w:t>、新乡县综合污水处理厂收水标准</w:t>
                  </w:r>
                </w:p>
              </w:tc>
            </w:tr>
          </w:tbl>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
                <w:color w:val="000000" w:themeColor="text1"/>
                <w:kern w:val="0"/>
                <w:sz w:val="21"/>
                <w:szCs w:val="21"/>
                <w:highlight w:val="none"/>
                <w14:textFill>
                  <w14:solidFill>
                    <w14:schemeClr w14:val="tx1"/>
                  </w14:solidFill>
                </w14:textFill>
              </w:rPr>
            </w:pPr>
            <w:r>
              <w:rPr>
                <w:rFonts w:hint="default" w:ascii="Times New Roman" w:hAnsi="Times New Roman" w:cs="Times New Roman"/>
                <w:b/>
                <w:color w:val="000000" w:themeColor="text1"/>
                <w:kern w:val="0"/>
                <w:sz w:val="21"/>
                <w:szCs w:val="21"/>
                <w:highlight w:val="none"/>
                <w:lang w:val="en-US" w:eastAsia="zh-CN"/>
                <w14:textFill>
                  <w14:solidFill>
                    <w14:schemeClr w14:val="tx1"/>
                  </w14:solidFill>
                </w14:textFill>
              </w:rPr>
              <w:t>3、</w:t>
            </w:r>
            <w:r>
              <w:rPr>
                <w:rFonts w:hint="default" w:ascii="Times New Roman" w:hAnsi="Times New Roman" w:cs="Times New Roman"/>
                <w:b/>
                <w:color w:val="000000" w:themeColor="text1"/>
                <w:kern w:val="0"/>
                <w:sz w:val="21"/>
                <w:szCs w:val="21"/>
                <w:highlight w:val="none"/>
                <w14:textFill>
                  <w14:solidFill>
                    <w14:schemeClr w14:val="tx1"/>
                  </w14:solidFill>
                </w14:textFill>
              </w:rPr>
              <w:t>噪声</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22" w:firstLineChars="200"/>
              <w:textAlignment w:val="auto"/>
              <w:rPr>
                <w:rFonts w:hint="default" w:ascii="Times New Roman" w:hAnsi="Times New Roman" w:cs="Times New Roman"/>
                <w:bCs/>
                <w:color w:val="000000" w:themeColor="text1"/>
                <w:kern w:val="0"/>
                <w:szCs w:val="21"/>
                <w:highlight w:val="none"/>
                <w14:textFill>
                  <w14:solidFill>
                    <w14:schemeClr w14:val="tx1"/>
                  </w14:solidFill>
                </w14:textFill>
              </w:rPr>
            </w:pPr>
            <w:r>
              <w:rPr>
                <w:rFonts w:hint="default" w:ascii="Times New Roman" w:hAnsi="Times New Roman" w:cs="Times New Roman"/>
                <w:b/>
                <w:bCs/>
                <w:color w:val="000000" w:themeColor="text1"/>
                <w:kern w:val="0"/>
                <w:szCs w:val="21"/>
                <w:highlight w:val="none"/>
                <w14:textFill>
                  <w14:solidFill>
                    <w14:schemeClr w14:val="tx1"/>
                  </w14:solidFill>
                </w14:textFill>
              </w:rPr>
              <w:t>（1）噪声污染源及治理措施</w:t>
            </w:r>
          </w:p>
          <w:p>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kern w:val="0"/>
                <w:szCs w:val="21"/>
                <w:highlight w:val="none"/>
                <w14:textFill>
                  <w14:solidFill>
                    <w14:schemeClr w14:val="tx1"/>
                  </w14:solidFill>
                </w14:textFill>
              </w:rPr>
              <w:t>项目噪声主要来自生产过程中</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切割机、四柱式油压机、旋压机、起重机等</w:t>
            </w:r>
            <w:r>
              <w:rPr>
                <w:rFonts w:hint="default" w:ascii="Times New Roman" w:hAnsi="Times New Roman" w:cs="Times New Roman"/>
                <w:bCs/>
                <w:color w:val="000000" w:themeColor="text1"/>
                <w:kern w:val="0"/>
                <w:szCs w:val="21"/>
                <w:highlight w:val="none"/>
                <w14:textFill>
                  <w14:solidFill>
                    <w14:schemeClr w14:val="tx1"/>
                  </w14:solidFill>
                </w14:textFill>
              </w:rPr>
              <w:t>高噪声设备运行产生的</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机械</w:t>
            </w:r>
            <w:r>
              <w:rPr>
                <w:rFonts w:hint="default" w:ascii="Times New Roman" w:hAnsi="Times New Roman" w:cs="Times New Roman"/>
                <w:bCs/>
                <w:color w:val="000000" w:themeColor="text1"/>
                <w:kern w:val="0"/>
                <w:szCs w:val="21"/>
                <w:highlight w:val="none"/>
                <w14:textFill>
                  <w14:solidFill>
                    <w14:schemeClr w14:val="tx1"/>
                  </w14:solidFill>
                </w14:textFill>
              </w:rPr>
              <w:t>噪声</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和空气压缩机工作产生的空气动力噪声</w:t>
            </w:r>
            <w:r>
              <w:rPr>
                <w:rFonts w:hint="default" w:ascii="Times New Roman" w:hAnsi="Times New Roman" w:cs="Times New Roman"/>
                <w:bCs/>
                <w:color w:val="000000" w:themeColor="text1"/>
                <w:kern w:val="0"/>
                <w:szCs w:val="21"/>
                <w:highlight w:val="none"/>
                <w14:textFill>
                  <w14:solidFill>
                    <w14:schemeClr w14:val="tx1"/>
                  </w14:solidFill>
                </w14:textFill>
              </w:rPr>
              <w:t>。通过设置减振基础</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bCs/>
                <w:color w:val="000000" w:themeColor="text1"/>
                <w:kern w:val="0"/>
                <w:szCs w:val="21"/>
                <w:highlight w:val="none"/>
                <w14:textFill>
                  <w14:solidFill>
                    <w14:schemeClr w14:val="tx1"/>
                  </w14:solidFill>
                </w14:textFill>
              </w:rPr>
              <w:t>厂房隔声</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、安装隔声罩</w:t>
            </w:r>
            <w:r>
              <w:rPr>
                <w:rFonts w:hint="default" w:ascii="Times New Roman" w:hAnsi="Times New Roman" w:cs="Times New Roman"/>
                <w:bCs/>
                <w:color w:val="000000" w:themeColor="text1"/>
                <w:kern w:val="0"/>
                <w:szCs w:val="21"/>
                <w:highlight w:val="none"/>
                <w14:textFill>
                  <w14:solidFill>
                    <w14:schemeClr w14:val="tx1"/>
                  </w14:solidFill>
                </w14:textFill>
              </w:rPr>
              <w:t>等措施。本次工程主要设备的噪声值及经过降噪措施处理后的噪声值见下表。</w:t>
            </w:r>
          </w:p>
          <w:p>
            <w:pPr>
              <w:ind w:left="0" w:leftChars="0" w:firstLine="0" w:firstLineChars="0"/>
              <w:rPr>
                <w:rFonts w:hint="default" w:ascii="Times New Roman" w:hAnsi="Times New Roman" w:cs="Times New Roman"/>
                <w:color w:val="000000" w:themeColor="text1"/>
                <w:vertAlign w:val="baseline"/>
                <w14:textFill>
                  <w14:solidFill>
                    <w14:schemeClr w14:val="tx1"/>
                  </w14:solidFill>
                </w14:textFill>
              </w:rPr>
            </w:pPr>
            <w:r>
              <w:rPr>
                <w:rFonts w:hint="default" w:ascii="Times New Roman" w:hAnsi="Times New Roman" w:cs="Times New Roman"/>
                <w:color w:val="000000" w:themeColor="text1"/>
                <w:vertAlign w:val="baseline"/>
                <w14:textFill>
                  <w14:solidFill>
                    <w14:schemeClr w14:val="tx1"/>
                  </w14:solidFill>
                </w14:textFill>
              </w:rPr>
              <w:br w:type="textWrapping"/>
            </w:r>
            <w:r>
              <w:rPr>
                <w:rFonts w:hint="default" w:ascii="Times New Roman" w:hAnsi="Times New Roman" w:cs="Times New Roman"/>
                <w:color w:val="000000" w:themeColor="text1"/>
                <w:vertAlign w:val="baseline"/>
                <w14:textFill>
                  <w14:solidFill>
                    <w14:schemeClr w14:val="tx1"/>
                  </w14:solidFill>
                </w14:textFill>
              </w:rPr>
              <w:br w:type="textWrapping"/>
            </w:r>
            <w:r>
              <w:rPr>
                <w:rFonts w:hint="default" w:ascii="Times New Roman" w:hAnsi="Times New Roman" w:cs="Times New Roman"/>
                <w:color w:val="000000" w:themeColor="text1"/>
                <w:vertAlign w:val="baseline"/>
                <w14:textFill>
                  <w14:solidFill>
                    <w14:schemeClr w14:val="tx1"/>
                  </w14:solidFill>
                </w14:textFill>
              </w:rPr>
              <w:br w:type="textWrapping"/>
            </w:r>
            <w:r>
              <w:rPr>
                <w:rFonts w:hint="default" w:ascii="Times New Roman" w:hAnsi="Times New Roman" w:cs="Times New Roman"/>
                <w:color w:val="000000" w:themeColor="text1"/>
                <w:vertAlign w:val="baseline"/>
                <w14:textFill>
                  <w14:solidFill>
                    <w14:schemeClr w14:val="tx1"/>
                  </w14:solidFill>
                </w14:textFill>
              </w:rPr>
              <w:br w:type="textWrapping"/>
            </w:r>
            <w:r>
              <w:rPr>
                <w:rFonts w:hint="default" w:ascii="Times New Roman" w:hAnsi="Times New Roman" w:cs="Times New Roman"/>
                <w:color w:val="000000" w:themeColor="text1"/>
                <w:vertAlign w:val="baseline"/>
                <w14:textFill>
                  <w14:solidFill>
                    <w14:schemeClr w14:val="tx1"/>
                  </w14:solidFill>
                </w14:textFill>
              </w:rPr>
              <w:br w:type="textWrapping"/>
            </w:r>
            <w:r>
              <w:rPr>
                <w:rFonts w:hint="default" w:ascii="Times New Roman" w:hAnsi="Times New Roman" w:cs="Times New Roman"/>
                <w:color w:val="000000" w:themeColor="text1"/>
                <w:vertAlign w:val="baseline"/>
                <w14:textFill>
                  <w14:solidFill>
                    <w14:schemeClr w14:val="tx1"/>
                  </w14:solidFill>
                </w14:textFill>
              </w:rPr>
              <w:br w:type="textWrapping"/>
            </w:r>
            <w:r>
              <w:rPr>
                <w:rFonts w:hint="default" w:ascii="Times New Roman" w:hAnsi="Times New Roman" w:cs="Times New Roman"/>
                <w:color w:val="000000" w:themeColor="text1"/>
                <w:vertAlign w:val="baseline"/>
                <w14:textFill>
                  <w14:solidFill>
                    <w14:schemeClr w14:val="tx1"/>
                  </w14:solidFill>
                </w14:textFill>
              </w:rPr>
              <w:br w:type="textWrapping"/>
            </w:r>
            <w:r>
              <w:rPr>
                <w:rFonts w:hint="default" w:ascii="Times New Roman" w:hAnsi="Times New Roman" w:cs="Times New Roman"/>
                <w:color w:val="000000" w:themeColor="text1"/>
                <w:vertAlign w:val="baseline"/>
                <w14:textFill>
                  <w14:solidFill>
                    <w14:schemeClr w14:val="tx1"/>
                  </w14:solidFill>
                </w14:textFill>
              </w:rPr>
              <w:br w:type="textWrapping"/>
            </w:r>
            <w:r>
              <w:rPr>
                <w:rFonts w:hint="default" w:ascii="Times New Roman" w:hAnsi="Times New Roman" w:cs="Times New Roman"/>
                <w:color w:val="000000" w:themeColor="text1"/>
                <w:vertAlign w:val="baseline"/>
                <w14:textFill>
                  <w14:solidFill>
                    <w14:schemeClr w14:val="tx1"/>
                  </w14:solidFill>
                </w14:textFill>
              </w:rPr>
              <w:br w:type="textWrapping"/>
            </w:r>
            <w:r>
              <w:rPr>
                <w:rFonts w:hint="default" w:ascii="Times New Roman" w:hAnsi="Times New Roman" w:cs="Times New Roman"/>
                <w:color w:val="000000" w:themeColor="text1"/>
                <w:vertAlign w:val="baseline"/>
                <w14:textFill>
                  <w14:solidFill>
                    <w14:schemeClr w14:val="tx1"/>
                  </w14:solidFill>
                </w14:textFill>
              </w:rPr>
              <w:br w:type="textWrapping"/>
            </w:r>
            <w:r>
              <w:rPr>
                <w:rFonts w:hint="default" w:ascii="Times New Roman" w:hAnsi="Times New Roman" w:cs="Times New Roman"/>
                <w:color w:val="000000" w:themeColor="text1"/>
                <w:vertAlign w:val="baseline"/>
                <w14:textFill>
                  <w14:solidFill>
                    <w14:schemeClr w14:val="tx1"/>
                  </w14:solidFill>
                </w14:textFill>
              </w:rPr>
              <w:br w:type="textWrapping"/>
            </w:r>
            <w:r>
              <w:rPr>
                <w:rFonts w:hint="default" w:ascii="Times New Roman" w:hAnsi="Times New Roman" w:cs="Times New Roman"/>
                <w:color w:val="000000" w:themeColor="text1"/>
                <w:vertAlign w:val="baseline"/>
                <w14:textFill>
                  <w14:solidFill>
                    <w14:schemeClr w14:val="tx1"/>
                  </w14:solidFill>
                </w14:textFill>
              </w:rPr>
              <w:br w:type="textWrapping"/>
            </w:r>
          </w:p>
        </w:tc>
      </w:tr>
    </w:tbl>
    <w:p>
      <w:pPr>
        <w:rPr>
          <w:rFonts w:hint="default" w:ascii="Times New Roman" w:hAnsi="Times New Roman" w:cs="Times New Roman"/>
          <w:color w:val="000000" w:themeColor="text1"/>
          <w14:textFill>
            <w14:solidFill>
              <w14:schemeClr w14:val="tx1"/>
            </w14:solidFill>
          </w14:textFill>
        </w:rPr>
        <w:sectPr>
          <w:pgSz w:w="11907" w:h="16840"/>
          <w:pgMar w:top="1803" w:right="1440" w:bottom="1803" w:left="1440"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6" w:type="dxa"/>
          </w:tcPr>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主要噪声源强及治理情况一览表</w:t>
            </w:r>
          </w:p>
          <w:tbl>
            <w:tblPr>
              <w:tblStyle w:val="22"/>
              <w:tblW w:w="4994"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398"/>
              <w:gridCol w:w="520"/>
              <w:gridCol w:w="1516"/>
              <w:gridCol w:w="1572"/>
              <w:gridCol w:w="1202"/>
              <w:gridCol w:w="1230"/>
              <w:gridCol w:w="864"/>
              <w:gridCol w:w="864"/>
              <w:gridCol w:w="864"/>
              <w:gridCol w:w="746"/>
              <w:gridCol w:w="746"/>
              <w:gridCol w:w="1148"/>
              <w:gridCol w:w="649"/>
              <w:gridCol w:w="615"/>
              <w:gridCol w:w="101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restar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t>序号</w:t>
                  </w:r>
                </w:p>
              </w:tc>
              <w:tc>
                <w:tcPr>
                  <w:tcW w:w="186" w:type="pct"/>
                  <w:vMerge w:val="restar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t>建筑物名称</w:t>
                  </w:r>
                </w:p>
              </w:tc>
              <w:tc>
                <w:tcPr>
                  <w:tcW w:w="543" w:type="pct"/>
                  <w:vMerge w:val="restar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t>声源名称</w:t>
                  </w:r>
                </w:p>
              </w:tc>
              <w:tc>
                <w:tcPr>
                  <w:tcW w:w="563" w:type="pct"/>
                  <w:vMerge w:val="restar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t>型号</w:t>
                  </w:r>
                </w:p>
              </w:tc>
              <w:tc>
                <w:tcPr>
                  <w:tcW w:w="430" w:type="pct"/>
                  <w:vMerge w:val="restar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t>声功率级</w:t>
                  </w:r>
                  <w:r>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/dB（A）</w:t>
                  </w:r>
                </w:p>
              </w:tc>
              <w:tc>
                <w:tcPr>
                  <w:tcW w:w="440" w:type="pct"/>
                  <w:vMerge w:val="restar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t>声源控制措施</w:t>
                  </w:r>
                </w:p>
              </w:tc>
              <w:tc>
                <w:tcPr>
                  <w:tcW w:w="929" w:type="pct"/>
                  <w:gridSpan w:val="3"/>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t>空间相对位置</w:t>
                  </w:r>
                  <w:r>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/m</w:t>
                  </w:r>
                </w:p>
              </w:tc>
              <w:tc>
                <w:tcPr>
                  <w:tcW w:w="267" w:type="pct"/>
                  <w:vMerge w:val="restar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t>距室内边界距离</w:t>
                  </w:r>
                  <w:r>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/m</w:t>
                  </w:r>
                </w:p>
              </w:tc>
              <w:tc>
                <w:tcPr>
                  <w:tcW w:w="267" w:type="pct"/>
                  <w:vMerge w:val="restar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t>室内边界声级</w:t>
                  </w:r>
                  <w:r>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/dB（A）</w:t>
                  </w:r>
                </w:p>
              </w:tc>
              <w:tc>
                <w:tcPr>
                  <w:tcW w:w="411" w:type="pct"/>
                  <w:vMerge w:val="restar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t>运行时段</w:t>
                  </w:r>
                </w:p>
              </w:tc>
              <w:tc>
                <w:tcPr>
                  <w:tcW w:w="232" w:type="pct"/>
                  <w:vMerge w:val="restar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t>建筑物插入损失</w:t>
                  </w:r>
                  <w:r>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/dB（A）</w:t>
                  </w:r>
                </w:p>
              </w:tc>
              <w:tc>
                <w:tcPr>
                  <w:tcW w:w="583" w:type="pct"/>
                  <w:gridSpan w:val="2"/>
                  <w:tcBorders>
                    <w:bottom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t>建筑物外噪声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pPr>
                </w:p>
              </w:tc>
              <w:tc>
                <w:tcPr>
                  <w:tcW w:w="543"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pPr>
                </w:p>
              </w:tc>
              <w:tc>
                <w:tcPr>
                  <w:tcW w:w="563"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pPr>
                </w:p>
              </w:tc>
              <w:tc>
                <w:tcPr>
                  <w:tcW w:w="430"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pPr>
                </w:p>
              </w:tc>
              <w:tc>
                <w:tcPr>
                  <w:tcW w:w="440"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pPr>
                </w:p>
              </w:tc>
              <w:tc>
                <w:tcPr>
                  <w:tcW w:w="309"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X</w:t>
                  </w:r>
                </w:p>
              </w:tc>
              <w:tc>
                <w:tcPr>
                  <w:tcW w:w="309"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lang w:val="en-US" w:eastAsia="zh-CN"/>
                      <w14:textFill>
                        <w14:solidFill>
                          <w14:schemeClr w14:val="tx1"/>
                        </w14:solidFill>
                      </w14:textFill>
                    </w:rPr>
                    <w:t>Y</w:t>
                  </w:r>
                </w:p>
              </w:tc>
              <w:tc>
                <w:tcPr>
                  <w:tcW w:w="309"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lang w:val="en-US" w:eastAsia="zh-CN"/>
                      <w14:textFill>
                        <w14:solidFill>
                          <w14:schemeClr w14:val="tx1"/>
                        </w14:solidFill>
                      </w14:textFill>
                    </w:rPr>
                    <w:t>Z</w:t>
                  </w:r>
                </w:p>
              </w:tc>
              <w:tc>
                <w:tcPr>
                  <w:tcW w:w="267"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pPr>
                </w:p>
              </w:tc>
              <w:tc>
                <w:tcPr>
                  <w:tcW w:w="267"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pPr>
                </w:p>
              </w:tc>
              <w:tc>
                <w:tcPr>
                  <w:tcW w:w="411"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pPr>
                </w:p>
              </w:tc>
              <w:tc>
                <w:tcPr>
                  <w:tcW w:w="23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pPr>
                </w:p>
              </w:tc>
              <w:tc>
                <w:tcPr>
                  <w:tcW w:w="220" w:type="pct"/>
                  <w:tcBorders>
                    <w:top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vertAlign w:val="baseline"/>
                      <w:lang w:eastAsia="zh-CN"/>
                      <w14:textFill>
                        <w14:solidFill>
                          <w14:schemeClr w14:val="tx1"/>
                        </w14:solidFill>
                      </w14:textFill>
                    </w:rPr>
                    <w:t>声压级</w:t>
                  </w:r>
                  <w:r>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/dB（A）</w:t>
                  </w:r>
                </w:p>
              </w:tc>
              <w:tc>
                <w:tcPr>
                  <w:tcW w:w="362" w:type="pct"/>
                  <w:tcBorders>
                    <w:top w:val="single" w:color="000000" w:sz="4" w:space="0"/>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建筑物外距离/m</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restar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1</w:t>
                  </w:r>
                </w:p>
              </w:tc>
              <w:tc>
                <w:tcPr>
                  <w:tcW w:w="186" w:type="pct"/>
                  <w:vMerge w:val="restar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w:t>
                  </w:r>
                  <w:r>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#生产</w:t>
                  </w:r>
                </w:p>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车间</w:t>
                  </w:r>
                </w:p>
              </w:tc>
              <w:tc>
                <w:tcPr>
                  <w:tcW w:w="543" w:type="pct"/>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四柱式油压机</w:t>
                  </w:r>
                </w:p>
              </w:tc>
              <w:tc>
                <w:tcPr>
                  <w:tcW w:w="563" w:type="pct"/>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30000T</w:t>
                  </w:r>
                </w:p>
              </w:tc>
              <w:tc>
                <w:tcPr>
                  <w:tcW w:w="43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Cs/>
                      <w:color w:val="000000" w:themeColor="text1"/>
                      <w:kern w:val="2"/>
                      <w:sz w:val="18"/>
                      <w:szCs w:val="18"/>
                      <w:lang w:val="en-US" w:eastAsia="zh-CN" w:bidi="ar-SA"/>
                      <w14:textFill>
                        <w14:solidFill>
                          <w14:schemeClr w14:val="tx1"/>
                        </w14:solidFill>
                      </w14:textFill>
                    </w:rPr>
                  </w:pPr>
                  <w:r>
                    <w:rPr>
                      <w:bCs/>
                      <w:color w:val="000000" w:themeColor="text1"/>
                      <w:sz w:val="18"/>
                      <w:szCs w:val="18"/>
                      <w14:textFill>
                        <w14:solidFill>
                          <w14:schemeClr w14:val="tx1"/>
                        </w14:solidFill>
                      </w14:textFill>
                    </w:rPr>
                    <w:t>85</w:t>
                  </w:r>
                </w:p>
              </w:tc>
              <w:tc>
                <w:tcPr>
                  <w:tcW w:w="440" w:type="pct"/>
                  <w:vMerge w:val="restart"/>
                  <w:tcBorders>
                    <w:tl2br w:val="nil"/>
                    <w:tr2bl w:val="nil"/>
                  </w:tcBorders>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vertAlign w:val="baseline"/>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t>室内布置、</w:t>
                  </w:r>
                  <w:r>
                    <w:rPr>
                      <w:rFonts w:hint="default" w:ascii="Times New Roman" w:hAnsi="Times New Roman" w:cs="Times New Roman"/>
                      <w:b w:val="0"/>
                      <w:bCs w:val="0"/>
                      <w:color w:val="000000" w:themeColor="text1"/>
                      <w:sz w:val="18"/>
                      <w:szCs w:val="18"/>
                      <w:highlight w:val="none"/>
                      <w14:textFill>
                        <w14:solidFill>
                          <w14:schemeClr w14:val="tx1"/>
                        </w14:solidFill>
                      </w14:textFill>
                    </w:rPr>
                    <w:t>基础减振、厂房隔声</w:t>
                  </w: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10</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5</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3</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170</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40.4</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restar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15</w:t>
                  </w:r>
                </w:p>
              </w:tc>
              <w:tc>
                <w:tcPr>
                  <w:tcW w:w="220" w:type="pct"/>
                  <w:vMerge w:val="restar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69.2</w:t>
                  </w:r>
                </w:p>
              </w:tc>
              <w:tc>
                <w:tcPr>
                  <w:tcW w:w="362" w:type="pct"/>
                  <w:vMerge w:val="restar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西侧：35</w:t>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br w:type="textWrapping"/>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北侧：32</w:t>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br w:type="textWrapping"/>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东侧：250</w:t>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br w:type="textWrapping"/>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南侧：121</w:t>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br w:type="textWrapping"/>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color w:val="000000" w:themeColor="text1"/>
                      <w:kern w:val="0"/>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0"/>
                      <w:sz w:val="18"/>
                      <w:szCs w:val="18"/>
                      <w:highlight w:val="none"/>
                      <w:lang w:val="zh-CN" w:eastAsia="en-US"/>
                      <w14:textFill>
                        <w14:solidFill>
                          <w14:schemeClr w14:val="tx1"/>
                        </w14:solidFill>
                      </w14:textFill>
                    </w:rPr>
                    <w:t>四柱式冷压机</w:t>
                  </w:r>
                </w:p>
              </w:tc>
              <w:tc>
                <w:tcPr>
                  <w:tcW w:w="563" w:type="pct"/>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left="0" w:leftChars="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4000T</w:t>
                  </w:r>
                </w:p>
              </w:tc>
              <w:tc>
                <w:tcPr>
                  <w:tcW w:w="43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Cs/>
                      <w:color w:val="000000" w:themeColor="text1"/>
                      <w:kern w:val="2"/>
                      <w:sz w:val="18"/>
                      <w:szCs w:val="18"/>
                      <w:lang w:val="en-US" w:eastAsia="zh-CN" w:bidi="ar-SA"/>
                      <w14:textFill>
                        <w14:solidFill>
                          <w14:schemeClr w14:val="tx1"/>
                        </w14:solidFill>
                      </w14:textFill>
                    </w:rPr>
                  </w:pPr>
                  <w:r>
                    <w:rPr>
                      <w:bCs/>
                      <w:color w:val="000000" w:themeColor="text1"/>
                      <w:sz w:val="18"/>
                      <w:szCs w:val="18"/>
                      <w14:textFill>
                        <w14:solidFill>
                          <w14:schemeClr w14:val="tx1"/>
                        </w14:solidFill>
                      </w14:textFill>
                    </w:rPr>
                    <w:t>8</w:t>
                  </w:r>
                  <w:r>
                    <w:rPr>
                      <w:rFonts w:hint="eastAsia"/>
                      <w:bCs/>
                      <w:color w:val="000000" w:themeColor="text1"/>
                      <w:sz w:val="18"/>
                      <w:szCs w:val="18"/>
                      <w14:textFill>
                        <w14:solidFill>
                          <w14:schemeClr w14:val="tx1"/>
                        </w14:solidFill>
                      </w14:textFill>
                    </w:rPr>
                    <w:t>5</w:t>
                  </w:r>
                </w:p>
              </w:tc>
              <w:tc>
                <w:tcPr>
                  <w:tcW w:w="440"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14:textFill>
                        <w14:solidFill>
                          <w14:schemeClr w14:val="tx1"/>
                        </w14:solidFill>
                      </w14:textFill>
                    </w:rPr>
                  </w:pP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11</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10</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3</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169</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40.4</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220" w:type="pct"/>
                  <w:vMerge w:val="continue"/>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vMerge w:val="continue"/>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切割机</w:t>
                  </w:r>
                </w:p>
              </w:tc>
              <w:tc>
                <w:tcPr>
                  <w:tcW w:w="563"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t>/</w:t>
                  </w:r>
                </w:p>
              </w:tc>
              <w:tc>
                <w:tcPr>
                  <w:tcW w:w="43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Cs/>
                      <w:color w:val="000000" w:themeColor="text1"/>
                      <w:kern w:val="2"/>
                      <w:sz w:val="18"/>
                      <w:szCs w:val="18"/>
                      <w:lang w:val="en-US" w:eastAsia="zh-CN" w:bidi="ar-SA"/>
                      <w14:textFill>
                        <w14:solidFill>
                          <w14:schemeClr w14:val="tx1"/>
                        </w14:solidFill>
                      </w14:textFill>
                    </w:rPr>
                  </w:pPr>
                  <w:r>
                    <w:rPr>
                      <w:rFonts w:hint="eastAsia"/>
                      <w:bCs/>
                      <w:color w:val="000000" w:themeColor="text1"/>
                      <w:sz w:val="18"/>
                      <w:szCs w:val="18"/>
                      <w:lang w:val="en-US" w:eastAsia="zh-CN"/>
                      <w14:textFill>
                        <w14:solidFill>
                          <w14:schemeClr w14:val="tx1"/>
                        </w14:solidFill>
                      </w14:textFill>
                    </w:rPr>
                    <w:t>95</w:t>
                  </w:r>
                </w:p>
              </w:tc>
              <w:tc>
                <w:tcPr>
                  <w:tcW w:w="440"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14:textFill>
                        <w14:solidFill>
                          <w14:schemeClr w14:val="tx1"/>
                        </w14:solidFill>
                      </w14:textFill>
                    </w:rPr>
                  </w:pP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50</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3</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0.3</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130</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52.7</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220" w:type="pct"/>
                  <w:vMerge w:val="continue"/>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vMerge w:val="continue"/>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等离子切割机</w:t>
                  </w:r>
                </w:p>
              </w:tc>
              <w:tc>
                <w:tcPr>
                  <w:tcW w:w="563"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t>/</w:t>
                  </w:r>
                </w:p>
              </w:tc>
              <w:tc>
                <w:tcPr>
                  <w:tcW w:w="43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Cs/>
                      <w:color w:val="000000" w:themeColor="text1"/>
                      <w:kern w:val="2"/>
                      <w:sz w:val="18"/>
                      <w:szCs w:val="18"/>
                      <w:lang w:val="en-US" w:eastAsia="zh-CN" w:bidi="ar-SA"/>
                      <w14:textFill>
                        <w14:solidFill>
                          <w14:schemeClr w14:val="tx1"/>
                        </w14:solidFill>
                      </w14:textFill>
                    </w:rPr>
                  </w:pPr>
                  <w:r>
                    <w:rPr>
                      <w:rFonts w:hint="eastAsia"/>
                      <w:bCs/>
                      <w:color w:val="000000" w:themeColor="text1"/>
                      <w:sz w:val="18"/>
                      <w:szCs w:val="18"/>
                      <w14:textFill>
                        <w14:solidFill>
                          <w14:schemeClr w14:val="tx1"/>
                        </w14:solidFill>
                      </w14:textFill>
                    </w:rPr>
                    <w:t>90</w:t>
                  </w:r>
                </w:p>
              </w:tc>
              <w:tc>
                <w:tcPr>
                  <w:tcW w:w="440"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14:textFill>
                        <w14:solidFill>
                          <w14:schemeClr w14:val="tx1"/>
                        </w14:solidFill>
                      </w14:textFill>
                    </w:rPr>
                  </w:pP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50</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8</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0.5</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130</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47.7</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220" w:type="pct"/>
                  <w:vMerge w:val="continue"/>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vMerge w:val="continue"/>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磁力切割机</w:t>
                  </w:r>
                </w:p>
              </w:tc>
              <w:tc>
                <w:tcPr>
                  <w:tcW w:w="56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b w:val="0"/>
                      <w:bCs w:val="0"/>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t>/</w:t>
                  </w:r>
                </w:p>
              </w:tc>
              <w:tc>
                <w:tcPr>
                  <w:tcW w:w="430"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18"/>
                      <w:szCs w:val="18"/>
                      <w:highlight w:val="none"/>
                      <w:vertAlign w:val="baseline"/>
                      <w:lang w:val="en-US" w:eastAsia="zh-CN"/>
                      <w14:textFill>
                        <w14:solidFill>
                          <w14:schemeClr w14:val="tx1"/>
                        </w14:solidFill>
                      </w14:textFill>
                    </w:rPr>
                    <w:t>95</w:t>
                  </w:r>
                </w:p>
              </w:tc>
              <w:tc>
                <w:tcPr>
                  <w:tcW w:w="440"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14:textFill>
                        <w14:solidFill>
                          <w14:schemeClr w14:val="tx1"/>
                        </w14:solidFill>
                      </w14:textFill>
                    </w:rPr>
                  </w:pP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50</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14</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0.5</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130</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52.7</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220" w:type="pct"/>
                  <w:vMerge w:val="continue"/>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vMerge w:val="continue"/>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kern w:val="2"/>
                      <w:sz w:val="18"/>
                      <w:szCs w:val="18"/>
                      <w:lang w:val="zh-CN" w:eastAsia="en-US" w:bidi="ar-SA"/>
                      <w14:textFill>
                        <w14:solidFill>
                          <w14:schemeClr w14:val="tx1"/>
                        </w14:solidFill>
                      </w14:textFill>
                    </w:rPr>
                  </w:pPr>
                  <w:r>
                    <w:rPr>
                      <w:rFonts w:hint="eastAsia"/>
                      <w:color w:val="000000" w:themeColor="text1"/>
                      <w:sz w:val="18"/>
                      <w:szCs w:val="18"/>
                      <w:lang w:val="zh-CN" w:eastAsia="en-US"/>
                      <w14:textFill>
                        <w14:solidFill>
                          <w14:schemeClr w14:val="tx1"/>
                        </w14:solidFill>
                      </w14:textFill>
                    </w:rPr>
                    <w:t>桥式起重机</w:t>
                  </w:r>
                </w:p>
              </w:tc>
              <w:tc>
                <w:tcPr>
                  <w:tcW w:w="563"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t>/</w:t>
                  </w:r>
                </w:p>
              </w:tc>
              <w:tc>
                <w:tcPr>
                  <w:tcW w:w="430"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val="0"/>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18"/>
                      <w:szCs w:val="18"/>
                      <w:highlight w:val="none"/>
                      <w:vertAlign w:val="baseline"/>
                      <w:lang w:val="en-US" w:eastAsia="zh-CN"/>
                      <w14:textFill>
                        <w14:solidFill>
                          <w14:schemeClr w14:val="tx1"/>
                        </w14:solidFill>
                      </w14:textFill>
                    </w:rPr>
                    <w:t>90</w:t>
                  </w:r>
                </w:p>
              </w:tc>
              <w:tc>
                <w:tcPr>
                  <w:tcW w:w="440"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14:textFill>
                        <w14:solidFill>
                          <w14:schemeClr w14:val="tx1"/>
                        </w14:solidFill>
                      </w14:textFill>
                    </w:rPr>
                  </w:pP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3</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3</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12</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177</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45.0</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220" w:type="pct"/>
                  <w:vMerge w:val="continue"/>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vMerge w:val="continue"/>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kern w:val="2"/>
                      <w:sz w:val="18"/>
                      <w:szCs w:val="18"/>
                      <w:lang w:val="zh-CN" w:eastAsia="en-US" w:bidi="ar-SA"/>
                      <w14:textFill>
                        <w14:solidFill>
                          <w14:schemeClr w14:val="tx1"/>
                        </w14:solidFill>
                      </w14:textFill>
                    </w:rPr>
                  </w:pPr>
                  <w:r>
                    <w:rPr>
                      <w:rFonts w:hint="eastAsia"/>
                      <w:color w:val="000000" w:themeColor="text1"/>
                      <w:sz w:val="18"/>
                      <w:szCs w:val="18"/>
                      <w:lang w:val="zh-CN" w:eastAsia="en-US"/>
                      <w14:textFill>
                        <w14:solidFill>
                          <w14:schemeClr w14:val="tx1"/>
                        </w14:solidFill>
                      </w14:textFill>
                    </w:rPr>
                    <w:t>门桥式起重机</w:t>
                  </w:r>
                </w:p>
              </w:tc>
              <w:tc>
                <w:tcPr>
                  <w:tcW w:w="56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t>/</w:t>
                  </w:r>
                </w:p>
              </w:tc>
              <w:tc>
                <w:tcPr>
                  <w:tcW w:w="430"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val="0"/>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18"/>
                      <w:szCs w:val="18"/>
                      <w:highlight w:val="none"/>
                      <w:vertAlign w:val="baseline"/>
                      <w:lang w:val="en-US" w:eastAsia="zh-CN"/>
                      <w14:textFill>
                        <w14:solidFill>
                          <w14:schemeClr w14:val="tx1"/>
                        </w14:solidFill>
                      </w14:textFill>
                    </w:rPr>
                    <w:t>90</w:t>
                  </w:r>
                </w:p>
              </w:tc>
              <w:tc>
                <w:tcPr>
                  <w:tcW w:w="440"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14:textFill>
                        <w14:solidFill>
                          <w14:schemeClr w14:val="tx1"/>
                        </w14:solidFill>
                      </w14:textFill>
                    </w:rPr>
                  </w:pP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10</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15</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8</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170</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45.4</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220" w:type="pct"/>
                  <w:vMerge w:val="continue"/>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vMerge w:val="continue"/>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卷板机</w:t>
                  </w:r>
                </w:p>
              </w:tc>
              <w:tc>
                <w:tcPr>
                  <w:tcW w:w="56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b w:val="0"/>
                      <w:bCs w:val="0"/>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50</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200/50</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5000</w:t>
                  </w:r>
                </w:p>
              </w:tc>
              <w:tc>
                <w:tcPr>
                  <w:tcW w:w="430"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18"/>
                      <w:szCs w:val="18"/>
                      <w:highlight w:val="none"/>
                      <w:vertAlign w:val="baseline"/>
                      <w:lang w:val="en-US" w:eastAsia="zh-CN"/>
                      <w14:textFill>
                        <w14:solidFill>
                          <w14:schemeClr w14:val="tx1"/>
                        </w14:solidFill>
                      </w14:textFill>
                    </w:rPr>
                    <w:t>95</w:t>
                  </w:r>
                </w:p>
              </w:tc>
              <w:tc>
                <w:tcPr>
                  <w:tcW w:w="440"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14:textFill>
                        <w14:solidFill>
                          <w14:schemeClr w14:val="tx1"/>
                        </w14:solidFill>
                      </w14:textFill>
                    </w:rPr>
                  </w:pP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50</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22</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1.2</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130</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52.7</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220" w:type="pct"/>
                  <w:vMerge w:val="continue"/>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vMerge w:val="continue"/>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打片机</w:t>
                  </w:r>
                </w:p>
              </w:tc>
              <w:tc>
                <w:tcPr>
                  <w:tcW w:w="56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b w:val="0"/>
                      <w:bCs w:val="0"/>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3000t</w:t>
                  </w:r>
                </w:p>
              </w:tc>
              <w:tc>
                <w:tcPr>
                  <w:tcW w:w="43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Cs/>
                      <w:color w:val="000000" w:themeColor="text1"/>
                      <w:kern w:val="2"/>
                      <w:sz w:val="18"/>
                      <w:szCs w:val="18"/>
                      <w:lang w:val="en-US" w:eastAsia="zh-CN" w:bidi="ar-SA"/>
                      <w14:textFill>
                        <w14:solidFill>
                          <w14:schemeClr w14:val="tx1"/>
                        </w14:solidFill>
                      </w14:textFill>
                    </w:rPr>
                  </w:pPr>
                  <w:r>
                    <w:rPr>
                      <w:rFonts w:hint="eastAsia"/>
                      <w:bCs/>
                      <w:color w:val="000000" w:themeColor="text1"/>
                      <w:sz w:val="18"/>
                      <w:szCs w:val="18"/>
                      <w14:textFill>
                        <w14:solidFill>
                          <w14:schemeClr w14:val="tx1"/>
                        </w14:solidFill>
                      </w14:textFill>
                    </w:rPr>
                    <w:t>95</w:t>
                  </w:r>
                </w:p>
              </w:tc>
              <w:tc>
                <w:tcPr>
                  <w:tcW w:w="440"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14:textFill>
                        <w14:solidFill>
                          <w14:schemeClr w14:val="tx1"/>
                        </w14:solidFill>
                      </w14:textFill>
                    </w:rPr>
                  </w:pP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56</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25</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1.1</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124</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53.1</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220" w:type="pct"/>
                  <w:vMerge w:val="continue"/>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vMerge w:val="continue"/>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压片机</w:t>
                  </w:r>
                </w:p>
              </w:tc>
              <w:tc>
                <w:tcPr>
                  <w:tcW w:w="56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b w:val="0"/>
                      <w:bCs w:val="0"/>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b w:val="0"/>
                      <w:bCs w:val="0"/>
                      <w:color w:val="000000" w:themeColor="text1"/>
                      <w:kern w:val="2"/>
                      <w:sz w:val="18"/>
                      <w:szCs w:val="18"/>
                      <w:highlight w:val="none"/>
                      <w:lang w:val="en-US" w:eastAsia="zh-CN" w:bidi="ar-SA"/>
                      <w14:textFill>
                        <w14:solidFill>
                          <w14:schemeClr w14:val="tx1"/>
                        </w14:solidFill>
                      </w14:textFill>
                    </w:rPr>
                    <w:t>1000t</w:t>
                  </w:r>
                </w:p>
              </w:tc>
              <w:tc>
                <w:tcPr>
                  <w:tcW w:w="43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Cs/>
                      <w:color w:val="000000" w:themeColor="text1"/>
                      <w:kern w:val="2"/>
                      <w:sz w:val="18"/>
                      <w:szCs w:val="18"/>
                      <w:lang w:val="en-US" w:eastAsia="zh-CN" w:bidi="ar-SA"/>
                      <w14:textFill>
                        <w14:solidFill>
                          <w14:schemeClr w14:val="tx1"/>
                        </w14:solidFill>
                      </w14:textFill>
                    </w:rPr>
                  </w:pPr>
                  <w:r>
                    <w:rPr>
                      <w:rFonts w:hint="eastAsia"/>
                      <w:bCs/>
                      <w:color w:val="000000" w:themeColor="text1"/>
                      <w:sz w:val="18"/>
                      <w:szCs w:val="18"/>
                      <w:lang w:val="en-US" w:eastAsia="zh-CN"/>
                      <w14:textFill>
                        <w14:solidFill>
                          <w14:schemeClr w14:val="tx1"/>
                        </w14:solidFill>
                      </w14:textFill>
                    </w:rPr>
                    <w:t>90</w:t>
                  </w:r>
                </w:p>
              </w:tc>
              <w:tc>
                <w:tcPr>
                  <w:tcW w:w="440"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14:textFill>
                        <w14:solidFill>
                          <w14:schemeClr w14:val="tx1"/>
                        </w14:solidFill>
                      </w14:textFill>
                    </w:rPr>
                  </w:pP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80</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25</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1.5</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100</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50.0</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220" w:type="pct"/>
                  <w:vMerge w:val="continue"/>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vMerge w:val="continue"/>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旋压机</w:t>
                  </w:r>
                </w:p>
              </w:tc>
              <w:tc>
                <w:tcPr>
                  <w:tcW w:w="563" w:type="pct"/>
                  <w:tcBorders>
                    <w:tl2br w:val="nil"/>
                    <w:tr2bl w:val="nil"/>
                  </w:tcBorders>
                  <w:vAlign w:val="top"/>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vertAlign w:val="baseline"/>
                      <w:lang w:val="en-US" w:eastAsia="zh-CN" w:bidi="ar-SA"/>
                      <w14:textFill>
                        <w14:solidFill>
                          <w14:schemeClr w14:val="tx1"/>
                        </w14:solidFill>
                      </w14:textFill>
                    </w:rPr>
                  </w:pPr>
                  <w:r>
                    <w:rPr>
                      <w:rFonts w:hint="default" w:ascii="Times New Roman" w:hAnsi="Times New Roman" w:cs="Times New Roman"/>
                      <w:b w:val="0"/>
                      <w:bCs w:val="0"/>
                      <w:color w:val="000000" w:themeColor="text1"/>
                      <w:kern w:val="2"/>
                      <w:sz w:val="18"/>
                      <w:szCs w:val="18"/>
                      <w:highlight w:val="none"/>
                      <w:lang w:val="en-US" w:eastAsia="zh-CN" w:bidi="ar-SA"/>
                      <w14:textFill>
                        <w14:solidFill>
                          <w14:schemeClr w14:val="tx1"/>
                        </w14:solidFill>
                      </w14:textFill>
                    </w:rPr>
                    <w:t>WT4500-32</w:t>
                  </w:r>
                  <w:r>
                    <w:rPr>
                      <w:rFonts w:hint="eastAsia" w:ascii="Times New Roman" w:hAnsi="Times New Roman" w:cs="Times New Roman"/>
                      <w:b w:val="0"/>
                      <w:bCs w:val="0"/>
                      <w:color w:val="000000" w:themeColor="text1"/>
                      <w:kern w:val="2"/>
                      <w:sz w:val="18"/>
                      <w:szCs w:val="18"/>
                      <w:highlight w:val="none"/>
                      <w:lang w:val="en-US" w:eastAsia="zh-CN" w:bidi="ar-SA"/>
                      <w14:textFill>
                        <w14:solidFill>
                          <w14:schemeClr w14:val="tx1"/>
                        </w14:solidFill>
                      </w14:textFill>
                    </w:rPr>
                    <w:t>/</w:t>
                  </w:r>
                  <w:r>
                    <w:rPr>
                      <w:rFonts w:hint="default" w:ascii="Times New Roman" w:hAnsi="Times New Roman" w:cs="Times New Roman"/>
                      <w:b w:val="0"/>
                      <w:bCs w:val="0"/>
                      <w:color w:val="000000" w:themeColor="text1"/>
                      <w:kern w:val="2"/>
                      <w:sz w:val="18"/>
                      <w:szCs w:val="18"/>
                      <w:highlight w:val="none"/>
                      <w:lang w:val="en-US" w:eastAsia="zh-CN" w:bidi="ar-SA"/>
                      <w14:textFill>
                        <w14:solidFill>
                          <w14:schemeClr w14:val="tx1"/>
                        </w14:solidFill>
                      </w14:textFill>
                    </w:rPr>
                    <w:t>WT10000-32</w:t>
                  </w:r>
                  <w:r>
                    <w:rPr>
                      <w:rFonts w:hint="eastAsia" w:ascii="Times New Roman" w:hAnsi="Times New Roman" w:cs="Times New Roman"/>
                      <w:b w:val="0"/>
                      <w:bCs w:val="0"/>
                      <w:color w:val="000000" w:themeColor="text1"/>
                      <w:kern w:val="2"/>
                      <w:sz w:val="18"/>
                      <w:szCs w:val="18"/>
                      <w:highlight w:val="none"/>
                      <w:lang w:val="en-US" w:eastAsia="zh-CN" w:bidi="ar-SA"/>
                      <w14:textFill>
                        <w14:solidFill>
                          <w14:schemeClr w14:val="tx1"/>
                        </w14:solidFill>
                      </w14:textFill>
                    </w:rPr>
                    <w:t>/</w:t>
                  </w:r>
                  <w:r>
                    <w:rPr>
                      <w:rFonts w:hint="default" w:ascii="Times New Roman" w:hAnsi="Times New Roman" w:cs="Times New Roman"/>
                      <w:b w:val="0"/>
                      <w:bCs w:val="0"/>
                      <w:color w:val="000000" w:themeColor="text1"/>
                      <w:kern w:val="2"/>
                      <w:sz w:val="18"/>
                      <w:szCs w:val="18"/>
                      <w:highlight w:val="none"/>
                      <w:lang w:val="en-US" w:eastAsia="zh-CN" w:bidi="ar-SA"/>
                      <w14:textFill>
                        <w14:solidFill>
                          <w14:schemeClr w14:val="tx1"/>
                        </w14:solidFill>
                      </w14:textFill>
                    </w:rPr>
                    <w:t>ZT3000-20</w:t>
                  </w:r>
                </w:p>
              </w:tc>
              <w:tc>
                <w:tcPr>
                  <w:tcW w:w="43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Cs/>
                      <w:color w:val="000000" w:themeColor="text1"/>
                      <w:kern w:val="2"/>
                      <w:sz w:val="18"/>
                      <w:szCs w:val="18"/>
                      <w:lang w:val="en-US" w:eastAsia="zh-CN" w:bidi="ar-SA"/>
                      <w14:textFill>
                        <w14:solidFill>
                          <w14:schemeClr w14:val="tx1"/>
                        </w14:solidFill>
                      </w14:textFill>
                    </w:rPr>
                  </w:pPr>
                  <w:r>
                    <w:rPr>
                      <w:rFonts w:hint="eastAsia"/>
                      <w:bCs/>
                      <w:color w:val="000000" w:themeColor="text1"/>
                      <w:sz w:val="18"/>
                      <w:szCs w:val="18"/>
                      <w:lang w:val="en-US" w:eastAsia="zh-CN"/>
                      <w14:textFill>
                        <w14:solidFill>
                          <w14:schemeClr w14:val="tx1"/>
                        </w14:solidFill>
                      </w14:textFill>
                    </w:rPr>
                    <w:t>90</w:t>
                  </w:r>
                </w:p>
              </w:tc>
              <w:tc>
                <w:tcPr>
                  <w:tcW w:w="440"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14:textFill>
                        <w14:solidFill>
                          <w14:schemeClr w14:val="tx1"/>
                        </w14:solidFill>
                      </w14:textFill>
                    </w:rPr>
                  </w:pP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85</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23</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0.8</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95</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50.4</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220" w:type="pct"/>
                  <w:vMerge w:val="continue"/>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vMerge w:val="continue"/>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pPr>
                  <w:r>
                    <w:rPr>
                      <w:rFonts w:hint="eastAsia" w:ascii="Times New Roman" w:hAnsi="Times New Roman" w:cs="Times New Roman"/>
                      <w:color w:val="000000" w:themeColor="text1"/>
                      <w:kern w:val="2"/>
                      <w:sz w:val="18"/>
                      <w:szCs w:val="18"/>
                      <w:highlight w:val="none"/>
                      <w:lang w:val="en-US" w:eastAsia="zh-CN" w:bidi="ar-SA"/>
                      <w14:textFill>
                        <w14:solidFill>
                          <w14:schemeClr w14:val="tx1"/>
                        </w14:solidFill>
                      </w14:textFill>
                    </w:rPr>
                    <w:t>空气压缩机</w:t>
                  </w:r>
                </w:p>
              </w:tc>
              <w:tc>
                <w:tcPr>
                  <w:tcW w:w="56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cs="Times New Roman"/>
                      <w:b w:val="0"/>
                      <w:bCs w:val="0"/>
                      <w:color w:val="000000" w:themeColor="text1"/>
                      <w:kern w:val="2"/>
                      <w:sz w:val="18"/>
                      <w:szCs w:val="18"/>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t>/</w:t>
                  </w:r>
                </w:p>
              </w:tc>
              <w:tc>
                <w:tcPr>
                  <w:tcW w:w="43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eastAsia"/>
                      <w:bCs/>
                      <w:color w:val="000000" w:themeColor="text1"/>
                      <w:sz w:val="18"/>
                      <w:szCs w:val="18"/>
                      <w:lang w:val="en-US" w:eastAsia="zh-CN"/>
                      <w14:textFill>
                        <w14:solidFill>
                          <w14:schemeClr w14:val="tx1"/>
                        </w14:solidFill>
                      </w14:textFill>
                    </w:rPr>
                  </w:pPr>
                  <w:r>
                    <w:rPr>
                      <w:rFonts w:hint="eastAsia" w:ascii="Times New Roman" w:hAnsi="Times New Roman" w:cs="Times New Roman"/>
                      <w:bCs/>
                      <w:color w:val="000000" w:themeColor="text1"/>
                      <w:kern w:val="2"/>
                      <w:sz w:val="18"/>
                      <w:szCs w:val="18"/>
                      <w:highlight w:val="none"/>
                      <w:lang w:val="en-US" w:eastAsia="zh-CN" w:bidi="ar-SA"/>
                      <w14:textFill>
                        <w14:solidFill>
                          <w14:schemeClr w14:val="tx1"/>
                        </w14:solidFill>
                      </w14:textFill>
                    </w:rPr>
                    <w:t>95</w:t>
                  </w:r>
                </w:p>
              </w:tc>
              <w:tc>
                <w:tcPr>
                  <w:tcW w:w="440" w:type="pct"/>
                  <w:vMerge w:val="restar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eastAsia" w:ascii="Times New Roman" w:hAnsi="Times New Roman" w:eastAsia="宋体" w:cs="Times New Roman"/>
                      <w:b w:val="0"/>
                      <w:bCs w:val="0"/>
                      <w:color w:val="000000" w:themeColor="text1"/>
                      <w:kern w:val="0"/>
                      <w:sz w:val="18"/>
                      <w:szCs w:val="18"/>
                      <w:highlight w:val="none"/>
                      <w:lang w:eastAsia="zh-CN"/>
                      <w14:textFill>
                        <w14:solidFill>
                          <w14:schemeClr w14:val="tx1"/>
                        </w14:solidFill>
                      </w14:textFill>
                    </w:rPr>
                  </w:pPr>
                  <w:r>
                    <w:rPr>
                      <w:rFonts w:hint="eastAsia" w:cs="Times New Roman"/>
                      <w:b w:val="0"/>
                      <w:bCs w:val="0"/>
                      <w:color w:val="000000" w:themeColor="text1"/>
                      <w:kern w:val="0"/>
                      <w:sz w:val="18"/>
                      <w:szCs w:val="18"/>
                      <w:highlight w:val="none"/>
                      <w:lang w:eastAsia="zh-CN"/>
                      <w14:textFill>
                        <w14:solidFill>
                          <w14:schemeClr w14:val="tx1"/>
                        </w14:solidFill>
                      </w14:textFill>
                    </w:rPr>
                    <w:t>室内布置，安装隔声装置</w:t>
                  </w: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56</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25</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0.1</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124</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53.1</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220" w:type="pct"/>
                  <w:vMerge w:val="continue"/>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vMerge w:val="continue"/>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压鼓机</w:t>
                  </w:r>
                </w:p>
              </w:tc>
              <w:tc>
                <w:tcPr>
                  <w:tcW w:w="563" w:type="pct"/>
                  <w:tcBorders>
                    <w:tl2br w:val="nil"/>
                    <w:tr2bl w:val="nil"/>
                  </w:tcBorders>
                  <w:vAlign w:val="top"/>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t>/</w:t>
                  </w:r>
                </w:p>
              </w:tc>
              <w:tc>
                <w:tcPr>
                  <w:tcW w:w="430" w:type="pct"/>
                  <w:tcBorders>
                    <w:tl2br w:val="nil"/>
                    <w:tr2bl w:val="nil"/>
                  </w:tcBorders>
                  <w:vAlign w:val="top"/>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Cs/>
                      <w:color w:val="000000" w:themeColor="text1"/>
                      <w:kern w:val="2"/>
                      <w:sz w:val="18"/>
                      <w:szCs w:val="18"/>
                      <w:lang w:val="en-US" w:eastAsia="zh-CN" w:bidi="ar-SA"/>
                      <w14:textFill>
                        <w14:solidFill>
                          <w14:schemeClr w14:val="tx1"/>
                        </w14:solidFill>
                      </w14:textFill>
                    </w:rPr>
                  </w:pPr>
                  <w:r>
                    <w:rPr>
                      <w:rFonts w:hint="eastAsia"/>
                      <w:bCs/>
                      <w:color w:val="000000" w:themeColor="text1"/>
                      <w:sz w:val="18"/>
                      <w:szCs w:val="18"/>
                      <w14:textFill>
                        <w14:solidFill>
                          <w14:schemeClr w14:val="tx1"/>
                        </w14:solidFill>
                      </w14:textFill>
                    </w:rPr>
                    <w:t>95</w:t>
                  </w:r>
                </w:p>
              </w:tc>
              <w:tc>
                <w:tcPr>
                  <w:tcW w:w="440"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14:textFill>
                        <w14:solidFill>
                          <w14:schemeClr w14:val="tx1"/>
                        </w14:solidFill>
                      </w14:textFill>
                    </w:rPr>
                  </w:pP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56</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25</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0.1</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124</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53.1</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continue"/>
                  <w:tcBorders>
                    <w:bottom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220" w:type="pct"/>
                  <w:vMerge w:val="continue"/>
                  <w:tcBorders>
                    <w:bottom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vMerge w:val="continue"/>
                  <w:tcBorders>
                    <w:left w:val="single" w:color="000000" w:sz="4" w:space="0"/>
                    <w:bottom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continue"/>
                  <w:tcBorders>
                    <w:bottom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bottom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pPr>
                  <w:r>
                    <w:rPr>
                      <w:rFonts w:hint="eastAsia" w:cs="Times New Roman"/>
                      <w:color w:val="000000" w:themeColor="text1"/>
                      <w:kern w:val="2"/>
                      <w:sz w:val="18"/>
                      <w:szCs w:val="18"/>
                      <w:highlight w:val="none"/>
                      <w:lang w:val="zh-CN" w:eastAsia="en-US" w:bidi="ar-SA"/>
                      <w14:textFill>
                        <w14:solidFill>
                          <w14:schemeClr w14:val="tx1"/>
                        </w14:solidFill>
                      </w14:textFill>
                    </w:rPr>
                    <w:t>风机</w:t>
                  </w:r>
                </w:p>
              </w:tc>
              <w:tc>
                <w:tcPr>
                  <w:tcW w:w="563" w:type="pct"/>
                  <w:tcBorders>
                    <w:tl2br w:val="nil"/>
                    <w:tr2bl w:val="nil"/>
                  </w:tcBorders>
                  <w:vAlign w:val="top"/>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18"/>
                      <w:szCs w:val="18"/>
                      <w:highlight w:val="none"/>
                      <w:vertAlign w:val="baseline"/>
                      <w:lang w:val="en-US" w:eastAsia="zh-CN"/>
                      <w14:textFill>
                        <w14:solidFill>
                          <w14:schemeClr w14:val="tx1"/>
                        </w14:solidFill>
                      </w14:textFill>
                    </w:rPr>
                    <w:t>/</w:t>
                  </w:r>
                </w:p>
              </w:tc>
              <w:tc>
                <w:tcPr>
                  <w:tcW w:w="430" w:type="pct"/>
                  <w:tcBorders>
                    <w:tl2br w:val="nil"/>
                    <w:tr2bl w:val="nil"/>
                  </w:tcBorders>
                  <w:vAlign w:val="top"/>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eastAsia="宋体"/>
                      <w:bCs/>
                      <w:color w:val="000000" w:themeColor="text1"/>
                      <w:sz w:val="18"/>
                      <w:szCs w:val="18"/>
                      <w:lang w:val="en-US" w:eastAsia="zh-CN"/>
                      <w14:textFill>
                        <w14:solidFill>
                          <w14:schemeClr w14:val="tx1"/>
                        </w14:solidFill>
                      </w14:textFill>
                    </w:rPr>
                  </w:pPr>
                  <w:r>
                    <w:rPr>
                      <w:rFonts w:hint="eastAsia"/>
                      <w:bCs/>
                      <w:color w:val="000000" w:themeColor="text1"/>
                      <w:sz w:val="18"/>
                      <w:szCs w:val="18"/>
                      <w:lang w:val="en-US" w:eastAsia="zh-CN"/>
                      <w14:textFill>
                        <w14:solidFill>
                          <w14:schemeClr w14:val="tx1"/>
                        </w14:solidFill>
                      </w14:textFill>
                    </w:rPr>
                    <w:t>95</w:t>
                  </w:r>
                </w:p>
              </w:tc>
              <w:tc>
                <w:tcPr>
                  <w:tcW w:w="440" w:type="pct"/>
                  <w:vMerge w:val="continue"/>
                  <w:tcBorders>
                    <w:bottom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eastAsia" w:ascii="Times New Roman" w:hAnsi="Times New Roman" w:eastAsia="宋体" w:cs="Times New Roman"/>
                      <w:b w:val="0"/>
                      <w:bCs w:val="0"/>
                      <w:color w:val="000000" w:themeColor="text1"/>
                      <w:kern w:val="0"/>
                      <w:sz w:val="18"/>
                      <w:szCs w:val="18"/>
                      <w:highlight w:val="none"/>
                      <w:lang w:eastAsia="zh-CN"/>
                      <w14:textFill>
                        <w14:solidFill>
                          <w14:schemeClr w14:val="tx1"/>
                        </w14:solidFill>
                      </w14:textFill>
                    </w:rPr>
                  </w:pP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56</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cs="Times New Roman"/>
                      <w:b w:val="0"/>
                      <w:bCs/>
                      <w:color w:val="000000" w:themeColor="text1"/>
                      <w:kern w:val="0"/>
                      <w:sz w:val="18"/>
                      <w:szCs w:val="18"/>
                      <w:highlight w:val="none"/>
                      <w:vertAlign w:val="baseline"/>
                      <w:lang w:val="en-US" w:eastAsia="zh-CN"/>
                      <w14:textFill>
                        <w14:solidFill>
                          <w14:schemeClr w14:val="tx1"/>
                        </w14:solidFill>
                      </w14:textFill>
                    </w:rPr>
                    <w:t>0.5</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cs="Times New Roman"/>
                      <w:b w:val="0"/>
                      <w:bCs/>
                      <w:color w:val="000000" w:themeColor="text1"/>
                      <w:kern w:val="0"/>
                      <w:sz w:val="18"/>
                      <w:szCs w:val="18"/>
                      <w:highlight w:val="none"/>
                      <w:vertAlign w:val="baseline"/>
                      <w:lang w:val="en-US" w:eastAsia="zh-CN"/>
                      <w14:textFill>
                        <w14:solidFill>
                          <w14:schemeClr w14:val="tx1"/>
                        </w14:solidFill>
                      </w14:textFill>
                    </w:rPr>
                    <w:t>1</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124</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cs="Times New Roman"/>
                      <w:b w:val="0"/>
                      <w:bCs/>
                      <w:color w:val="000000" w:themeColor="text1"/>
                      <w:kern w:val="0"/>
                      <w:sz w:val="18"/>
                      <w:szCs w:val="18"/>
                      <w:highlight w:val="none"/>
                      <w:vertAlign w:val="baseline"/>
                      <w:lang w:val="en-US" w:eastAsia="zh-CN"/>
                      <w14:textFill>
                        <w14:solidFill>
                          <w14:schemeClr w14:val="tx1"/>
                        </w14:solidFill>
                      </w14:textFill>
                    </w:rPr>
                    <w:t>78</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tcBorders>
                    <w:bottom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220" w:type="pct"/>
                  <w:tcBorders>
                    <w:bottom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tcBorders>
                    <w:left w:val="single" w:color="000000" w:sz="4" w:space="0"/>
                    <w:bottom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restart"/>
                  <w:tcBorders>
                    <w:top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w:t>
                  </w:r>
                </w:p>
              </w:tc>
              <w:tc>
                <w:tcPr>
                  <w:tcW w:w="186" w:type="pct"/>
                  <w:vMerge w:val="restart"/>
                  <w:tcBorders>
                    <w:top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2#生产车间</w:t>
                  </w: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kern w:val="2"/>
                      <w:sz w:val="18"/>
                      <w:szCs w:val="18"/>
                      <w:lang w:val="zh-CN" w:eastAsia="en-US" w:bidi="ar-SA"/>
                      <w14:textFill>
                        <w14:solidFill>
                          <w14:schemeClr w14:val="tx1"/>
                        </w14:solidFill>
                      </w14:textFill>
                    </w:rPr>
                  </w:pPr>
                  <w:r>
                    <w:rPr>
                      <w:rFonts w:hint="eastAsia"/>
                      <w:color w:val="000000" w:themeColor="text1"/>
                      <w:sz w:val="18"/>
                      <w:szCs w:val="18"/>
                      <w:lang w:val="zh-CN" w:eastAsia="en-US"/>
                      <w14:textFill>
                        <w14:solidFill>
                          <w14:schemeClr w14:val="tx1"/>
                        </w14:solidFill>
                      </w14:textFill>
                    </w:rPr>
                    <w:t>桥式起重机</w:t>
                  </w:r>
                </w:p>
              </w:tc>
              <w:tc>
                <w:tcPr>
                  <w:tcW w:w="563"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t>/</w:t>
                  </w:r>
                </w:p>
              </w:tc>
              <w:tc>
                <w:tcPr>
                  <w:tcW w:w="430"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18"/>
                      <w:szCs w:val="18"/>
                      <w:highlight w:val="none"/>
                      <w:vertAlign w:val="baseline"/>
                      <w:lang w:val="en-US" w:eastAsia="zh-CN"/>
                      <w14:textFill>
                        <w14:solidFill>
                          <w14:schemeClr w14:val="tx1"/>
                        </w14:solidFill>
                      </w14:textFill>
                    </w:rPr>
                    <w:t>90</w:t>
                  </w:r>
                </w:p>
              </w:tc>
              <w:tc>
                <w:tcPr>
                  <w:tcW w:w="440" w:type="pct"/>
                  <w:vMerge w:val="restart"/>
                  <w:tcBorders>
                    <w:top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14:textFill>
                        <w14:solidFill>
                          <w14:schemeClr w14:val="tx1"/>
                        </w14:solidFill>
                      </w14:textFill>
                    </w:rPr>
                  </w:pPr>
                  <w:r>
                    <w:rPr>
                      <w:rFonts w:hint="default" w:ascii="Times New Roman" w:hAnsi="Times New Roman" w:cs="Times New Roman"/>
                      <w:b w:val="0"/>
                      <w:bCs w:val="0"/>
                      <w:color w:val="000000" w:themeColor="text1"/>
                      <w:sz w:val="18"/>
                      <w:szCs w:val="18"/>
                      <w:highlight w:val="none"/>
                      <w:lang w:eastAsia="zh-CN"/>
                      <w14:textFill>
                        <w14:solidFill>
                          <w14:schemeClr w14:val="tx1"/>
                        </w14:solidFill>
                      </w14:textFill>
                    </w:rPr>
                    <w:t>室内布置、</w:t>
                  </w:r>
                  <w:r>
                    <w:rPr>
                      <w:rFonts w:hint="default" w:ascii="Times New Roman" w:hAnsi="Times New Roman" w:cs="Times New Roman"/>
                      <w:b w:val="0"/>
                      <w:bCs w:val="0"/>
                      <w:color w:val="000000" w:themeColor="text1"/>
                      <w:sz w:val="18"/>
                      <w:szCs w:val="18"/>
                      <w:highlight w:val="none"/>
                      <w14:textFill>
                        <w14:solidFill>
                          <w14:schemeClr w14:val="tx1"/>
                        </w14:solidFill>
                      </w14:textFill>
                    </w:rPr>
                    <w:t>基础减振、厂房隔声</w:t>
                  </w: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3</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3</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12</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3</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80.5</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restart"/>
                  <w:tcBorders>
                    <w:top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15</w:t>
                  </w:r>
                </w:p>
              </w:tc>
              <w:tc>
                <w:tcPr>
                  <w:tcW w:w="220" w:type="pct"/>
                  <w:vMerge w:val="restart"/>
                  <w:tcBorders>
                    <w:top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59.8</w:t>
                  </w:r>
                </w:p>
              </w:tc>
              <w:tc>
                <w:tcPr>
                  <w:tcW w:w="362" w:type="pct"/>
                  <w:vMerge w:val="restart"/>
                  <w:tcBorders>
                    <w:top w:val="single" w:color="000000" w:sz="4" w:space="0"/>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西侧：30</w:t>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br w:type="textWrapping"/>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北侧：125</w:t>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br w:type="textWrapping"/>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东侧：100</w:t>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br w:type="textWrapping"/>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南侧：260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color w:val="000000" w:themeColor="text1"/>
                      <w:kern w:val="2"/>
                      <w:sz w:val="18"/>
                      <w:szCs w:val="18"/>
                      <w:lang w:val="zh-CN" w:eastAsia="en-US" w:bidi="ar-SA"/>
                      <w14:textFill>
                        <w14:solidFill>
                          <w14:schemeClr w14:val="tx1"/>
                        </w14:solidFill>
                      </w14:textFill>
                    </w:rPr>
                  </w:pPr>
                  <w:r>
                    <w:rPr>
                      <w:rFonts w:hint="eastAsia"/>
                      <w:color w:val="000000" w:themeColor="text1"/>
                      <w:sz w:val="18"/>
                      <w:szCs w:val="18"/>
                      <w:lang w:val="zh-CN" w:eastAsia="en-US"/>
                      <w14:textFill>
                        <w14:solidFill>
                          <w14:schemeClr w14:val="tx1"/>
                        </w14:solidFill>
                      </w14:textFill>
                    </w:rPr>
                    <w:t>门桥式起重机</w:t>
                  </w:r>
                </w:p>
              </w:tc>
              <w:tc>
                <w:tcPr>
                  <w:tcW w:w="56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eastAsia" w:ascii="Times New Roman" w:hAnsi="Times New Roman" w:eastAsia="宋体" w:cs="Times New Roman"/>
                      <w:b w:val="0"/>
                      <w:bCs w:val="0"/>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t>/</w:t>
                  </w:r>
                </w:p>
              </w:tc>
              <w:tc>
                <w:tcPr>
                  <w:tcW w:w="430"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val="0"/>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18"/>
                      <w:szCs w:val="18"/>
                      <w:highlight w:val="none"/>
                      <w:vertAlign w:val="baseline"/>
                      <w:lang w:val="en-US" w:eastAsia="zh-CN"/>
                      <w14:textFill>
                        <w14:solidFill>
                          <w14:schemeClr w14:val="tx1"/>
                        </w14:solidFill>
                      </w14:textFill>
                    </w:rPr>
                    <w:t>90</w:t>
                  </w:r>
                </w:p>
              </w:tc>
              <w:tc>
                <w:tcPr>
                  <w:tcW w:w="440"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14:textFill>
                        <w14:solidFill>
                          <w14:schemeClr w14:val="tx1"/>
                        </w14:solidFill>
                      </w14:textFill>
                    </w:rPr>
                  </w:pP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12</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6</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8</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12</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68.4</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220" w:type="pct"/>
                  <w:vMerge w:val="continue"/>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vMerge w:val="continue"/>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埋弧焊机</w:t>
                  </w:r>
                </w:p>
              </w:tc>
              <w:tc>
                <w:tcPr>
                  <w:tcW w:w="563"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val="0"/>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t>/</w:t>
                  </w:r>
                </w:p>
              </w:tc>
              <w:tc>
                <w:tcPr>
                  <w:tcW w:w="430" w:type="pct"/>
                  <w:tcBorders>
                    <w:tl2br w:val="nil"/>
                    <w:tr2bl w:val="nil"/>
                  </w:tcBorders>
                  <w:vAlign w:val="top"/>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Cs/>
                      <w:color w:val="000000" w:themeColor="text1"/>
                      <w:kern w:val="2"/>
                      <w:sz w:val="18"/>
                      <w:szCs w:val="18"/>
                      <w:lang w:val="en-US" w:eastAsia="zh-CN" w:bidi="ar-SA"/>
                      <w14:textFill>
                        <w14:solidFill>
                          <w14:schemeClr w14:val="tx1"/>
                        </w14:solidFill>
                      </w14:textFill>
                    </w:rPr>
                  </w:pPr>
                  <w:r>
                    <w:rPr>
                      <w:rFonts w:hint="eastAsia" w:eastAsia="宋体"/>
                      <w:bCs/>
                      <w:color w:val="000000" w:themeColor="text1"/>
                      <w:sz w:val="18"/>
                      <w:szCs w:val="18"/>
                      <w:lang w:val="en-US" w:eastAsia="zh-CN"/>
                      <w14:textFill>
                        <w14:solidFill>
                          <w14:schemeClr w14:val="tx1"/>
                        </w14:solidFill>
                      </w14:textFill>
                    </w:rPr>
                    <w:t>90</w:t>
                  </w:r>
                </w:p>
              </w:tc>
              <w:tc>
                <w:tcPr>
                  <w:tcW w:w="440"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14:textFill>
                        <w14:solidFill>
                          <w14:schemeClr w14:val="tx1"/>
                        </w14:solidFill>
                      </w14:textFill>
                    </w:rPr>
                  </w:pP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50</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26</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0.2</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50</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56.0</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220" w:type="pct"/>
                  <w:vMerge w:val="continue"/>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vMerge w:val="continue"/>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pPr>
                  <w:r>
                    <w:rPr>
                      <w:rFonts w:hint="eastAsia"/>
                      <w:color w:val="000000" w:themeColor="text1"/>
                      <w:sz w:val="18"/>
                      <w:szCs w:val="18"/>
                      <w:lang w:val="zh-CN" w:eastAsia="en-US"/>
                      <w14:textFill>
                        <w14:solidFill>
                          <w14:schemeClr w14:val="tx1"/>
                        </w14:solidFill>
                      </w14:textFill>
                    </w:rPr>
                    <w:t>二氧化碳保护焊机</w:t>
                  </w:r>
                </w:p>
              </w:tc>
              <w:tc>
                <w:tcPr>
                  <w:tcW w:w="563"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18"/>
                      <w:szCs w:val="18"/>
                      <w:highlight w:val="none"/>
                      <w:vertAlign w:val="baseline"/>
                      <w:lang w:val="en-US" w:eastAsia="zh-CN"/>
                      <w14:textFill>
                        <w14:solidFill>
                          <w14:schemeClr w14:val="tx1"/>
                        </w14:solidFill>
                      </w14:textFill>
                    </w:rPr>
                    <w:t>/</w:t>
                  </w:r>
                </w:p>
              </w:tc>
              <w:tc>
                <w:tcPr>
                  <w:tcW w:w="430" w:type="pct"/>
                  <w:tcBorders>
                    <w:tl2br w:val="nil"/>
                    <w:tr2bl w:val="nil"/>
                  </w:tcBorders>
                  <w:vAlign w:val="top"/>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eastAsia="宋体"/>
                      <w:bCs/>
                      <w:color w:val="000000" w:themeColor="text1"/>
                      <w:sz w:val="18"/>
                      <w:szCs w:val="18"/>
                      <w:lang w:val="en-US" w:eastAsia="zh-CN"/>
                      <w14:textFill>
                        <w14:solidFill>
                          <w14:schemeClr w14:val="tx1"/>
                        </w14:solidFill>
                      </w14:textFill>
                    </w:rPr>
                  </w:pPr>
                  <w:r>
                    <w:rPr>
                      <w:rFonts w:hint="eastAsia"/>
                      <w:bCs/>
                      <w:color w:val="000000" w:themeColor="text1"/>
                      <w:sz w:val="18"/>
                      <w:szCs w:val="18"/>
                      <w:lang w:val="en-US" w:eastAsia="zh-CN"/>
                      <w14:textFill>
                        <w14:solidFill>
                          <w14:schemeClr w14:val="tx1"/>
                        </w14:solidFill>
                      </w14:textFill>
                    </w:rPr>
                    <w:t>95</w:t>
                  </w:r>
                </w:p>
              </w:tc>
              <w:tc>
                <w:tcPr>
                  <w:tcW w:w="440"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14:textFill>
                        <w14:solidFill>
                          <w14:schemeClr w14:val="tx1"/>
                        </w14:solidFill>
                      </w14:textFill>
                    </w:rPr>
                  </w:pP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50</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26</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0.2</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50</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61.0</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220" w:type="pct"/>
                  <w:vMerge w:val="continue"/>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vMerge w:val="continue"/>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Times New Roman" w:hAnsi="Times New Roman" w:eastAsia="宋体" w:cs="Times New Roman"/>
                      <w:color w:val="000000" w:themeColor="text1"/>
                      <w:kern w:val="2"/>
                      <w:sz w:val="18"/>
                      <w:szCs w:val="18"/>
                      <w:highlight w:val="none"/>
                      <w:lang w:val="zh-CN" w:eastAsia="en-US"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磨边机</w:t>
                  </w:r>
                </w:p>
              </w:tc>
              <w:tc>
                <w:tcPr>
                  <w:tcW w:w="563"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val="0"/>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t>/</w:t>
                  </w:r>
                </w:p>
              </w:tc>
              <w:tc>
                <w:tcPr>
                  <w:tcW w:w="430" w:type="pct"/>
                  <w:tcBorders>
                    <w:tl2br w:val="nil"/>
                    <w:tr2bl w:val="nil"/>
                  </w:tcBorders>
                  <w:vAlign w:val="top"/>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bCs/>
                      <w:color w:val="000000" w:themeColor="text1"/>
                      <w:kern w:val="2"/>
                      <w:sz w:val="18"/>
                      <w:szCs w:val="18"/>
                      <w:lang w:val="en-US" w:eastAsia="zh-CN" w:bidi="ar-SA"/>
                      <w14:textFill>
                        <w14:solidFill>
                          <w14:schemeClr w14:val="tx1"/>
                        </w14:solidFill>
                      </w14:textFill>
                    </w:rPr>
                  </w:pPr>
                  <w:r>
                    <w:rPr>
                      <w:rFonts w:hint="eastAsia"/>
                      <w:bCs/>
                      <w:color w:val="000000" w:themeColor="text1"/>
                      <w:sz w:val="18"/>
                      <w:szCs w:val="18"/>
                      <w14:textFill>
                        <w14:solidFill>
                          <w14:schemeClr w14:val="tx1"/>
                        </w14:solidFill>
                      </w14:textFill>
                    </w:rPr>
                    <w:t>90</w:t>
                  </w:r>
                </w:p>
              </w:tc>
              <w:tc>
                <w:tcPr>
                  <w:tcW w:w="440"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lang w:val="en-US" w:eastAsia="zh-CN" w:bidi="ar-SA"/>
                      <w14:textFill>
                        <w14:solidFill>
                          <w14:schemeClr w14:val="tx1"/>
                        </w14:solidFill>
                      </w14:textFill>
                    </w:rPr>
                  </w:pP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25</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8</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0.5</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25</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62.0</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220" w:type="pct"/>
                  <w:vMerge w:val="continue"/>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vMerge w:val="continue"/>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cs="Times New Roman"/>
                      <w:color w:val="000000" w:themeColor="text1"/>
                      <w:kern w:val="2"/>
                      <w:sz w:val="18"/>
                      <w:szCs w:val="18"/>
                      <w:highlight w:val="none"/>
                      <w:lang w:val="zh-CN" w:eastAsia="en-US" w:bidi="ar-SA"/>
                      <w14:textFill>
                        <w14:solidFill>
                          <w14:schemeClr w14:val="tx1"/>
                        </w14:solidFill>
                      </w14:textFill>
                    </w:rPr>
                    <w:t>风机</w:t>
                  </w:r>
                </w:p>
              </w:tc>
              <w:tc>
                <w:tcPr>
                  <w:tcW w:w="563"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val="0"/>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t>/</w:t>
                  </w:r>
                </w:p>
              </w:tc>
              <w:tc>
                <w:tcPr>
                  <w:tcW w:w="43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Cs/>
                      <w:color w:val="000000" w:themeColor="text1"/>
                      <w:kern w:val="2"/>
                      <w:sz w:val="18"/>
                      <w:szCs w:val="18"/>
                      <w:lang w:val="en-US" w:eastAsia="zh-CN" w:bidi="ar-SA"/>
                      <w14:textFill>
                        <w14:solidFill>
                          <w14:schemeClr w14:val="tx1"/>
                        </w14:solidFill>
                      </w14:textFill>
                    </w:rPr>
                  </w:pPr>
                  <w:r>
                    <w:rPr>
                      <w:rFonts w:hint="eastAsia"/>
                      <w:bCs/>
                      <w:color w:val="000000" w:themeColor="text1"/>
                      <w:sz w:val="18"/>
                      <w:szCs w:val="18"/>
                      <w:lang w:val="en-US" w:eastAsia="zh-CN"/>
                      <w14:textFill>
                        <w14:solidFill>
                          <w14:schemeClr w14:val="tx1"/>
                        </w14:solidFill>
                      </w14:textFill>
                    </w:rPr>
                    <w:t>95</w:t>
                  </w:r>
                </w:p>
              </w:tc>
              <w:tc>
                <w:tcPr>
                  <w:tcW w:w="440"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lang w:val="en-US"/>
                      <w14:textFill>
                        <w14:solidFill>
                          <w14:schemeClr w14:val="tx1"/>
                        </w14:solidFill>
                      </w14:textFill>
                    </w:rPr>
                  </w:pPr>
                  <w:r>
                    <w:rPr>
                      <w:rFonts w:hint="eastAsia" w:cs="Times New Roman"/>
                      <w:b w:val="0"/>
                      <w:bCs w:val="0"/>
                      <w:color w:val="000000" w:themeColor="text1"/>
                      <w:kern w:val="0"/>
                      <w:sz w:val="18"/>
                      <w:szCs w:val="18"/>
                      <w:highlight w:val="none"/>
                      <w:lang w:eastAsia="zh-CN"/>
                      <w14:textFill>
                        <w14:solidFill>
                          <w14:schemeClr w14:val="tx1"/>
                        </w14:solidFill>
                      </w14:textFill>
                    </w:rPr>
                    <w:t>室内布置，安装隔声装置</w:t>
                  </w: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cs="Times New Roman"/>
                      <w:b w:val="0"/>
                      <w:bCs/>
                      <w:color w:val="000000" w:themeColor="text1"/>
                      <w:kern w:val="0"/>
                      <w:sz w:val="18"/>
                      <w:szCs w:val="18"/>
                      <w:highlight w:val="none"/>
                      <w:vertAlign w:val="baseline"/>
                      <w:lang w:val="en-US" w:eastAsia="zh-CN"/>
                      <w14:textFill>
                        <w14:solidFill>
                          <w14:schemeClr w14:val="tx1"/>
                        </w14:solidFill>
                      </w14:textFill>
                    </w:rPr>
                    <w:t>23</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cs="Times New Roman"/>
                      <w:b w:val="0"/>
                      <w:bCs/>
                      <w:color w:val="000000" w:themeColor="text1"/>
                      <w:kern w:val="0"/>
                      <w:sz w:val="18"/>
                      <w:szCs w:val="18"/>
                      <w:highlight w:val="none"/>
                      <w:vertAlign w:val="baseline"/>
                      <w:lang w:val="en-US" w:eastAsia="zh-CN"/>
                      <w14:textFill>
                        <w14:solidFill>
                          <w14:schemeClr w14:val="tx1"/>
                        </w14:solidFill>
                      </w14:textFill>
                    </w:rPr>
                    <w:t>0.5</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0.5</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cs="Times New Roman"/>
                      <w:b w:val="0"/>
                      <w:bCs/>
                      <w:color w:val="000000" w:themeColor="text1"/>
                      <w:kern w:val="0"/>
                      <w:sz w:val="18"/>
                      <w:szCs w:val="18"/>
                      <w:highlight w:val="none"/>
                      <w:vertAlign w:val="baseline"/>
                      <w:lang w:val="en-US" w:eastAsia="zh-CN"/>
                      <w14:textFill>
                        <w14:solidFill>
                          <w14:schemeClr w14:val="tx1"/>
                        </w14:solidFill>
                      </w14:textFill>
                    </w:rPr>
                    <w:t>1.5</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cs="Times New Roman"/>
                      <w:b w:val="0"/>
                      <w:bCs/>
                      <w:color w:val="000000" w:themeColor="text1"/>
                      <w:kern w:val="0"/>
                      <w:sz w:val="18"/>
                      <w:szCs w:val="18"/>
                      <w:highlight w:val="none"/>
                      <w:vertAlign w:val="baseline"/>
                      <w:lang w:val="en-US" w:eastAsia="zh-CN"/>
                      <w14:textFill>
                        <w14:solidFill>
                          <w14:schemeClr w14:val="tx1"/>
                        </w14:solidFill>
                      </w14:textFill>
                    </w:rPr>
                    <w:t>60</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220" w:type="pct"/>
                  <w:vMerge w:val="continue"/>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vMerge w:val="continue"/>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restar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3</w:t>
                  </w:r>
                </w:p>
              </w:tc>
              <w:tc>
                <w:tcPr>
                  <w:tcW w:w="186" w:type="pct"/>
                  <w:vMerge w:val="restar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3#生产车间</w:t>
                  </w: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t>埋弧焊机</w:t>
                  </w:r>
                </w:p>
              </w:tc>
              <w:tc>
                <w:tcPr>
                  <w:tcW w:w="56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18"/>
                      <w:szCs w:val="18"/>
                      <w:highlight w:val="none"/>
                      <w:vertAlign w:val="baseline"/>
                      <w:lang w:val="en-US" w:eastAsia="zh-CN"/>
                      <w14:textFill>
                        <w14:solidFill>
                          <w14:schemeClr w14:val="tx1"/>
                        </w14:solidFill>
                      </w14:textFill>
                    </w:rPr>
                    <w:t>/</w:t>
                  </w:r>
                </w:p>
              </w:tc>
              <w:tc>
                <w:tcPr>
                  <w:tcW w:w="43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bCs/>
                      <w:color w:val="000000" w:themeColor="text1"/>
                      <w:kern w:val="2"/>
                      <w:sz w:val="18"/>
                      <w:szCs w:val="18"/>
                      <w:highlight w:val="none"/>
                      <w:lang w:val="en-US" w:eastAsia="zh-CN" w:bidi="ar-SA"/>
                      <w14:textFill>
                        <w14:solidFill>
                          <w14:schemeClr w14:val="tx1"/>
                        </w14:solidFill>
                      </w14:textFill>
                    </w:rPr>
                  </w:pPr>
                  <w:r>
                    <w:rPr>
                      <w:rFonts w:hint="eastAsia" w:ascii="Times New Roman" w:hAnsi="Times New Roman" w:cs="Times New Roman"/>
                      <w:bCs/>
                      <w:color w:val="000000" w:themeColor="text1"/>
                      <w:kern w:val="2"/>
                      <w:sz w:val="18"/>
                      <w:szCs w:val="18"/>
                      <w:highlight w:val="none"/>
                      <w:lang w:val="en-US" w:eastAsia="zh-CN" w:bidi="ar-SA"/>
                      <w14:textFill>
                        <w14:solidFill>
                          <w14:schemeClr w14:val="tx1"/>
                        </w14:solidFill>
                      </w14:textFill>
                    </w:rPr>
                    <w:t>90</w:t>
                  </w:r>
                </w:p>
              </w:tc>
              <w:tc>
                <w:tcPr>
                  <w:tcW w:w="440" w:type="pct"/>
                  <w:vMerge w:val="restart"/>
                  <w:tcBorders>
                    <w:top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eastAsia" w:ascii="Times New Roman" w:hAnsi="Times New Roman" w:cs="Times New Roman"/>
                      <w:b w:val="0"/>
                      <w:bCs/>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b w:val="0"/>
                      <w:bCs/>
                      <w:color w:val="000000" w:themeColor="text1"/>
                      <w:sz w:val="18"/>
                      <w:szCs w:val="18"/>
                      <w:highlight w:val="none"/>
                      <w:lang w:eastAsia="zh-CN"/>
                      <w14:textFill>
                        <w14:solidFill>
                          <w14:schemeClr w14:val="tx1"/>
                        </w14:solidFill>
                      </w14:textFill>
                    </w:rPr>
                    <w:t>室内布置、</w:t>
                  </w:r>
                  <w:r>
                    <w:rPr>
                      <w:rFonts w:hint="default" w:ascii="Times New Roman" w:hAnsi="Times New Roman" w:cs="Times New Roman"/>
                      <w:b w:val="0"/>
                      <w:bCs/>
                      <w:color w:val="000000" w:themeColor="text1"/>
                      <w:sz w:val="18"/>
                      <w:szCs w:val="18"/>
                      <w:highlight w:val="none"/>
                      <w14:textFill>
                        <w14:solidFill>
                          <w14:schemeClr w14:val="tx1"/>
                        </w14:solidFill>
                      </w14:textFill>
                    </w:rPr>
                    <w:t>基础减振、厂房隔声</w:t>
                  </w: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10</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10</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0.2</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10</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70.0</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restar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15</w:t>
                  </w:r>
                </w:p>
              </w:tc>
              <w:tc>
                <w:tcPr>
                  <w:tcW w:w="220" w:type="pct"/>
                  <w:vMerge w:val="restar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52.8</w:t>
                  </w:r>
                </w:p>
              </w:tc>
              <w:tc>
                <w:tcPr>
                  <w:tcW w:w="362" w:type="pct"/>
                  <w:vMerge w:val="restar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西侧：30</w:t>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br w:type="textWrapping"/>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北侧：160</w:t>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br w:type="textWrapping"/>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东侧：75</w:t>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br w:type="textWrapping"/>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南侧：215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8"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Times New Roman" w:hAnsi="Times New Roman" w:cs="Times New Roman"/>
                      <w:color w:val="000000" w:themeColor="text1"/>
                      <w:kern w:val="2"/>
                      <w:sz w:val="18"/>
                      <w:szCs w:val="18"/>
                      <w:highlight w:val="none"/>
                      <w:lang w:val="en-US" w:eastAsia="zh-CN" w:bidi="ar-SA"/>
                      <w14:textFill>
                        <w14:solidFill>
                          <w14:schemeClr w14:val="tx1"/>
                        </w14:solidFill>
                      </w14:textFill>
                    </w:rPr>
                  </w:pPr>
                  <w:r>
                    <w:rPr>
                      <w:rFonts w:hint="eastAsia"/>
                      <w:color w:val="000000" w:themeColor="text1"/>
                      <w:sz w:val="18"/>
                      <w:szCs w:val="18"/>
                      <w:lang w:val="zh-CN" w:eastAsia="en-US"/>
                      <w14:textFill>
                        <w14:solidFill>
                          <w14:schemeClr w14:val="tx1"/>
                        </w14:solidFill>
                      </w14:textFill>
                    </w:rPr>
                    <w:t>二氧化碳保护焊机</w:t>
                  </w:r>
                </w:p>
              </w:tc>
              <w:tc>
                <w:tcPr>
                  <w:tcW w:w="56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pPr>
                  <w:r>
                    <w:rPr>
                      <w:rFonts w:hint="eastAsia" w:cs="Times New Roman"/>
                      <w:b w:val="0"/>
                      <w:bCs w:val="0"/>
                      <w:color w:val="000000" w:themeColor="text1"/>
                      <w:kern w:val="0"/>
                      <w:sz w:val="18"/>
                      <w:szCs w:val="18"/>
                      <w:highlight w:val="none"/>
                      <w:vertAlign w:val="baseline"/>
                      <w:lang w:val="en-US" w:eastAsia="zh-CN"/>
                      <w14:textFill>
                        <w14:solidFill>
                          <w14:schemeClr w14:val="tx1"/>
                        </w14:solidFill>
                      </w14:textFill>
                    </w:rPr>
                    <w:t>/</w:t>
                  </w:r>
                </w:p>
              </w:tc>
              <w:tc>
                <w:tcPr>
                  <w:tcW w:w="43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bCs/>
                      <w:color w:val="000000" w:themeColor="text1"/>
                      <w:kern w:val="2"/>
                      <w:sz w:val="18"/>
                      <w:szCs w:val="18"/>
                      <w:highlight w:val="none"/>
                      <w:lang w:val="en-US" w:eastAsia="zh-CN" w:bidi="ar-SA"/>
                      <w14:textFill>
                        <w14:solidFill>
                          <w14:schemeClr w14:val="tx1"/>
                        </w14:solidFill>
                      </w14:textFill>
                    </w:rPr>
                  </w:pPr>
                  <w:r>
                    <w:rPr>
                      <w:rFonts w:hint="eastAsia" w:ascii="Times New Roman" w:hAnsi="Times New Roman" w:cs="Times New Roman"/>
                      <w:bCs/>
                      <w:color w:val="000000" w:themeColor="text1"/>
                      <w:kern w:val="2"/>
                      <w:sz w:val="18"/>
                      <w:szCs w:val="18"/>
                      <w:highlight w:val="none"/>
                      <w:lang w:val="en-US" w:eastAsia="zh-CN" w:bidi="ar-SA"/>
                      <w14:textFill>
                        <w14:solidFill>
                          <w14:schemeClr w14:val="tx1"/>
                        </w14:solidFill>
                      </w14:textFill>
                    </w:rPr>
                    <w:t>95</w:t>
                  </w:r>
                </w:p>
              </w:tc>
              <w:tc>
                <w:tcPr>
                  <w:tcW w:w="440"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eastAsia" w:ascii="Times New Roman" w:hAnsi="Times New Roman" w:cs="Times New Roman"/>
                      <w:b w:val="0"/>
                      <w:bCs/>
                      <w:color w:val="000000" w:themeColor="text1"/>
                      <w:kern w:val="0"/>
                      <w:sz w:val="18"/>
                      <w:szCs w:val="18"/>
                      <w:highlight w:val="none"/>
                      <w:lang w:eastAsia="zh-CN"/>
                      <w14:textFill>
                        <w14:solidFill>
                          <w14:schemeClr w14:val="tx1"/>
                        </w14:solidFill>
                      </w14:textFill>
                    </w:rPr>
                  </w:pP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15</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10</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0.2</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15</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71.5</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220" w:type="pct"/>
                  <w:vMerge w:val="continue"/>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vMerge w:val="continue"/>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48"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Times New Roman" w:hAnsi="Times New Roman" w:eastAsia="宋体" w:cs="Times New Roman"/>
                      <w:color w:val="000000" w:themeColor="text1"/>
                      <w:kern w:val="2"/>
                      <w:sz w:val="18"/>
                      <w:szCs w:val="18"/>
                      <w:highlight w:val="none"/>
                      <w:lang w:val="zh-CN" w:eastAsia="en-US" w:bidi="ar-SA"/>
                      <w14:textFill>
                        <w14:solidFill>
                          <w14:schemeClr w14:val="tx1"/>
                        </w14:solidFill>
                      </w14:textFill>
                    </w:rPr>
                  </w:pPr>
                  <w:r>
                    <w:rPr>
                      <w:rFonts w:hint="eastAsia" w:cs="Times New Roman"/>
                      <w:color w:val="000000" w:themeColor="text1"/>
                      <w:kern w:val="2"/>
                      <w:sz w:val="18"/>
                      <w:szCs w:val="18"/>
                      <w:highlight w:val="none"/>
                      <w:lang w:val="zh-CN" w:eastAsia="en-US" w:bidi="ar-SA"/>
                      <w14:textFill>
                        <w14:solidFill>
                          <w14:schemeClr w14:val="tx1"/>
                        </w14:solidFill>
                      </w14:textFill>
                    </w:rPr>
                    <w:t>风机</w:t>
                  </w:r>
                </w:p>
              </w:tc>
              <w:tc>
                <w:tcPr>
                  <w:tcW w:w="563"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val="0"/>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t>/</w:t>
                  </w:r>
                </w:p>
              </w:tc>
              <w:tc>
                <w:tcPr>
                  <w:tcW w:w="43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bCs/>
                      <w:color w:val="000000" w:themeColor="text1"/>
                      <w:kern w:val="2"/>
                      <w:sz w:val="18"/>
                      <w:szCs w:val="18"/>
                      <w:lang w:val="en-US" w:eastAsia="zh-CN" w:bidi="ar-SA"/>
                      <w14:textFill>
                        <w14:solidFill>
                          <w14:schemeClr w14:val="tx1"/>
                        </w14:solidFill>
                      </w14:textFill>
                    </w:rPr>
                  </w:pPr>
                  <w:r>
                    <w:rPr>
                      <w:rFonts w:hint="eastAsia"/>
                      <w:bCs/>
                      <w:color w:val="000000" w:themeColor="text1"/>
                      <w:sz w:val="18"/>
                      <w:szCs w:val="18"/>
                      <w:lang w:val="en-US" w:eastAsia="zh-CN"/>
                      <w14:textFill>
                        <w14:solidFill>
                          <w14:schemeClr w14:val="tx1"/>
                        </w14:solidFill>
                      </w14:textFill>
                    </w:rPr>
                    <w:t>95</w:t>
                  </w:r>
                </w:p>
              </w:tc>
              <w:tc>
                <w:tcPr>
                  <w:tcW w:w="440"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color w:val="000000" w:themeColor="text1"/>
                      <w:kern w:val="0"/>
                      <w:sz w:val="18"/>
                      <w:szCs w:val="18"/>
                      <w:highlight w:val="none"/>
                      <w:lang w:val="en-US" w:eastAsia="zh-CN" w:bidi="ar-SA"/>
                      <w14:textFill>
                        <w14:solidFill>
                          <w14:schemeClr w14:val="tx1"/>
                        </w14:solidFill>
                      </w14:textFill>
                    </w:rPr>
                  </w:pPr>
                  <w:r>
                    <w:rPr>
                      <w:rFonts w:hint="eastAsia" w:cs="Times New Roman"/>
                      <w:b w:val="0"/>
                      <w:bCs w:val="0"/>
                      <w:color w:val="000000" w:themeColor="text1"/>
                      <w:kern w:val="0"/>
                      <w:sz w:val="18"/>
                      <w:szCs w:val="18"/>
                      <w:highlight w:val="none"/>
                      <w:lang w:eastAsia="zh-CN"/>
                      <w14:textFill>
                        <w14:solidFill>
                          <w14:schemeClr w14:val="tx1"/>
                        </w14:solidFill>
                      </w14:textFill>
                    </w:rPr>
                    <w:t>室内布置，安装隔声装置</w:t>
                  </w: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cs="Times New Roman"/>
                      <w:b w:val="0"/>
                      <w:bCs/>
                      <w:color w:val="000000" w:themeColor="text1"/>
                      <w:kern w:val="0"/>
                      <w:sz w:val="18"/>
                      <w:szCs w:val="18"/>
                      <w:highlight w:val="none"/>
                      <w:vertAlign w:val="baseline"/>
                      <w:lang w:val="en-US" w:eastAsia="zh-CN"/>
                      <w14:textFill>
                        <w14:solidFill>
                          <w14:schemeClr w14:val="tx1"/>
                        </w14:solidFill>
                      </w14:textFill>
                    </w:rPr>
                    <w:t>10</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cs="Times New Roman"/>
                      <w:b w:val="0"/>
                      <w:bCs/>
                      <w:color w:val="000000" w:themeColor="text1"/>
                      <w:kern w:val="0"/>
                      <w:sz w:val="18"/>
                      <w:szCs w:val="18"/>
                      <w:highlight w:val="none"/>
                      <w:vertAlign w:val="baseline"/>
                      <w:lang w:val="en-US" w:eastAsia="zh-CN"/>
                      <w14:textFill>
                        <w14:solidFill>
                          <w14:schemeClr w14:val="tx1"/>
                        </w14:solidFill>
                      </w14:textFill>
                    </w:rPr>
                    <w:t>0.5</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0.5</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25</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cs="Times New Roman"/>
                      <w:b w:val="0"/>
                      <w:bCs/>
                      <w:color w:val="000000" w:themeColor="text1"/>
                      <w:kern w:val="0"/>
                      <w:sz w:val="18"/>
                      <w:szCs w:val="18"/>
                      <w:highlight w:val="none"/>
                      <w:vertAlign w:val="baseline"/>
                      <w:lang w:val="en-US" w:eastAsia="zh-CN"/>
                      <w14:textFill>
                        <w14:solidFill>
                          <w14:schemeClr w14:val="tx1"/>
                        </w14:solidFill>
                      </w14:textFill>
                    </w:rPr>
                    <w:t>65</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220" w:type="pct"/>
                  <w:vMerge w:val="continue"/>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vMerge w:val="continue"/>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2" w:type="pct"/>
                  <w:vMerge w:val="restar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4</w:t>
                  </w:r>
                </w:p>
              </w:tc>
              <w:tc>
                <w:tcPr>
                  <w:tcW w:w="186" w:type="pct"/>
                  <w:vMerge w:val="restar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4#酸洗车间</w:t>
                  </w: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cs="Times New Roman"/>
                      <w:color w:val="000000" w:themeColor="text1"/>
                      <w:kern w:val="2"/>
                      <w:sz w:val="18"/>
                      <w:szCs w:val="18"/>
                      <w:highlight w:val="none"/>
                      <w:lang w:val="zh-CN" w:eastAsia="en-US" w:bidi="ar-SA"/>
                      <w14:textFill>
                        <w14:solidFill>
                          <w14:schemeClr w14:val="tx1"/>
                        </w14:solidFill>
                      </w14:textFill>
                    </w:rPr>
                  </w:pPr>
                  <w:r>
                    <w:rPr>
                      <w:rFonts w:hint="eastAsia"/>
                      <w:color w:val="000000" w:themeColor="text1"/>
                      <w:sz w:val="18"/>
                      <w:szCs w:val="18"/>
                      <w:lang w:val="zh-CN" w:eastAsia="en-US"/>
                      <w14:textFill>
                        <w14:solidFill>
                          <w14:schemeClr w14:val="tx1"/>
                        </w14:solidFill>
                      </w14:textFill>
                    </w:rPr>
                    <w:t>桥式起重机</w:t>
                  </w:r>
                </w:p>
              </w:tc>
              <w:tc>
                <w:tcPr>
                  <w:tcW w:w="563"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t>/</w:t>
                  </w:r>
                </w:p>
              </w:tc>
              <w:tc>
                <w:tcPr>
                  <w:tcW w:w="430"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18"/>
                      <w:szCs w:val="18"/>
                      <w:highlight w:val="none"/>
                      <w:vertAlign w:val="baseline"/>
                      <w:lang w:val="en-US" w:eastAsia="zh-CN"/>
                      <w14:textFill>
                        <w14:solidFill>
                          <w14:schemeClr w14:val="tx1"/>
                        </w14:solidFill>
                      </w14:textFill>
                    </w:rPr>
                    <w:t>90</w:t>
                  </w:r>
                </w:p>
              </w:tc>
              <w:tc>
                <w:tcPr>
                  <w:tcW w:w="440"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eastAsia" w:ascii="Times New Roman" w:hAnsi="Times New Roman" w:eastAsia="宋体" w:cs="Times New Roman"/>
                      <w:b w:val="0"/>
                      <w:bCs/>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b w:val="0"/>
                      <w:bCs/>
                      <w:color w:val="000000" w:themeColor="text1"/>
                      <w:sz w:val="18"/>
                      <w:szCs w:val="18"/>
                      <w:highlight w:val="none"/>
                      <w:lang w:eastAsia="zh-CN"/>
                      <w14:textFill>
                        <w14:solidFill>
                          <w14:schemeClr w14:val="tx1"/>
                        </w14:solidFill>
                      </w14:textFill>
                    </w:rPr>
                    <w:t>室内布置、</w:t>
                  </w:r>
                  <w:r>
                    <w:rPr>
                      <w:rFonts w:hint="default" w:ascii="Times New Roman" w:hAnsi="Times New Roman" w:cs="Times New Roman"/>
                      <w:b w:val="0"/>
                      <w:bCs/>
                      <w:color w:val="000000" w:themeColor="text1"/>
                      <w:sz w:val="18"/>
                      <w:szCs w:val="18"/>
                      <w:highlight w:val="none"/>
                      <w14:textFill>
                        <w14:solidFill>
                          <w14:schemeClr w14:val="tx1"/>
                        </w14:solidFill>
                      </w14:textFill>
                    </w:rPr>
                    <w:t>基础减振、厂房隔声</w:t>
                  </w: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3</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3</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12</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3</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80.5</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restar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15</w:t>
                  </w:r>
                </w:p>
              </w:tc>
              <w:tc>
                <w:tcPr>
                  <w:tcW w:w="220" w:type="pct"/>
                  <w:vMerge w:val="restar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68.6</w:t>
                  </w:r>
                </w:p>
              </w:tc>
              <w:tc>
                <w:tcPr>
                  <w:tcW w:w="362" w:type="pct"/>
                  <w:vMerge w:val="restar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left"/>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西侧：80</w:t>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br w:type="textWrapping"/>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北侧：5</w:t>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br w:type="textWrapping"/>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东侧：80</w:t>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br w:type="textWrapping"/>
                  </w: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南侧：380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3"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Times New Roman" w:hAnsi="Times New Roman" w:cs="Times New Roman"/>
                      <w:color w:val="000000" w:themeColor="text1"/>
                      <w:kern w:val="2"/>
                      <w:sz w:val="18"/>
                      <w:szCs w:val="18"/>
                      <w:highlight w:val="none"/>
                      <w:lang w:val="zh-CN" w:eastAsia="en-US" w:bidi="ar-SA"/>
                      <w14:textFill>
                        <w14:solidFill>
                          <w14:schemeClr w14:val="tx1"/>
                        </w14:solidFill>
                      </w14:textFill>
                    </w:rPr>
                  </w:pPr>
                  <w:r>
                    <w:rPr>
                      <w:rFonts w:hint="eastAsia" w:ascii="Times New Roman" w:hAnsi="Times New Roman" w:cs="Times New Roman"/>
                      <w:color w:val="000000" w:themeColor="text1"/>
                      <w:kern w:val="2"/>
                      <w:sz w:val="18"/>
                      <w:szCs w:val="18"/>
                      <w:highlight w:val="none"/>
                      <w:lang w:val="zh-CN" w:eastAsia="en-US" w:bidi="ar-SA"/>
                      <w14:textFill>
                        <w14:solidFill>
                          <w14:schemeClr w14:val="tx1"/>
                        </w14:solidFill>
                      </w14:textFill>
                    </w:rPr>
                    <w:t>水泵</w:t>
                  </w:r>
                </w:p>
              </w:tc>
              <w:tc>
                <w:tcPr>
                  <w:tcW w:w="56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t>/</w:t>
                  </w:r>
                </w:p>
              </w:tc>
              <w:tc>
                <w:tcPr>
                  <w:tcW w:w="43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Cs/>
                      <w:color w:val="000000" w:themeColor="text1"/>
                      <w:kern w:val="2"/>
                      <w:sz w:val="18"/>
                      <w:szCs w:val="18"/>
                      <w:highlight w:val="none"/>
                      <w:lang w:val="en-US" w:eastAsia="zh-CN" w:bidi="ar-SA"/>
                      <w14:textFill>
                        <w14:solidFill>
                          <w14:schemeClr w14:val="tx1"/>
                        </w14:solidFill>
                      </w14:textFill>
                    </w:rPr>
                  </w:pPr>
                  <w:r>
                    <w:rPr>
                      <w:rFonts w:hint="eastAsia" w:ascii="Times New Roman" w:hAnsi="Times New Roman" w:cs="Times New Roman"/>
                      <w:bCs/>
                      <w:color w:val="000000" w:themeColor="text1"/>
                      <w:kern w:val="2"/>
                      <w:sz w:val="18"/>
                      <w:szCs w:val="18"/>
                      <w:highlight w:val="none"/>
                      <w:lang w:val="en-US" w:eastAsia="zh-CN" w:bidi="ar-SA"/>
                      <w14:textFill>
                        <w14:solidFill>
                          <w14:schemeClr w14:val="tx1"/>
                        </w14:solidFill>
                      </w14:textFill>
                    </w:rPr>
                    <w:t>95</w:t>
                  </w:r>
                </w:p>
              </w:tc>
              <w:tc>
                <w:tcPr>
                  <w:tcW w:w="440"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cs="Times New Roman"/>
                      <w:b w:val="0"/>
                      <w:bCs/>
                      <w:color w:val="000000" w:themeColor="text1"/>
                      <w:kern w:val="0"/>
                      <w:sz w:val="18"/>
                      <w:szCs w:val="18"/>
                      <w:highlight w:val="no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lang w:eastAsia="zh-CN"/>
                      <w14:textFill>
                        <w14:solidFill>
                          <w14:schemeClr w14:val="tx1"/>
                        </w14:solidFill>
                      </w14:textFill>
                    </w:rPr>
                    <w:t>安装隔声罩</w:t>
                  </w:r>
                  <w:r>
                    <w:rPr>
                      <w:rFonts w:hint="eastAsia" w:ascii="Times New Roman" w:hAnsi="Times New Roman" w:cs="Times New Roman"/>
                      <w:b w:val="0"/>
                      <w:bCs/>
                      <w:color w:val="000000" w:themeColor="text1"/>
                      <w:kern w:val="0"/>
                      <w:sz w:val="18"/>
                      <w:szCs w:val="18"/>
                      <w:highlight w:val="none"/>
                      <w:lang w:val="en-US" w:eastAsia="zh-CN"/>
                      <w14:textFill>
                        <w14:solidFill>
                          <w14:schemeClr w14:val="tx1"/>
                        </w14:solidFill>
                      </w14:textFill>
                    </w:rPr>
                    <w:t>,</w:t>
                  </w:r>
                  <w:r>
                    <w:rPr>
                      <w:b w:val="0"/>
                      <w:bCs/>
                      <w:color w:val="000000" w:themeColor="text1"/>
                      <w:sz w:val="18"/>
                      <w:szCs w:val="18"/>
                      <w14:textFill>
                        <w14:solidFill>
                          <w14:schemeClr w14:val="tx1"/>
                        </w14:solidFill>
                      </w14:textFill>
                    </w:rPr>
                    <w:t>厂房隔声</w:t>
                  </w: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10</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0.2</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2</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t>89.0</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220" w:type="pct"/>
                  <w:vMerge w:val="continue"/>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vMerge w:val="continue"/>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7" w:hRule="atLeast"/>
                <w:jc w:val="center"/>
              </w:trPr>
              <w:tc>
                <w:tcPr>
                  <w:tcW w:w="14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186"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pPr>
                </w:p>
              </w:tc>
              <w:tc>
                <w:tcPr>
                  <w:tcW w:w="543"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Times New Roman" w:hAnsi="Times New Roman" w:eastAsia="宋体" w:cs="Times New Roman"/>
                      <w:color w:val="000000" w:themeColor="text1"/>
                      <w:kern w:val="2"/>
                      <w:sz w:val="18"/>
                      <w:szCs w:val="18"/>
                      <w:highlight w:val="none"/>
                      <w:lang w:val="zh-CN" w:eastAsia="en-US" w:bidi="ar-SA"/>
                      <w14:textFill>
                        <w14:solidFill>
                          <w14:schemeClr w14:val="tx1"/>
                        </w14:solidFill>
                      </w14:textFill>
                    </w:rPr>
                  </w:pPr>
                  <w:r>
                    <w:rPr>
                      <w:rFonts w:hint="eastAsia" w:cs="Times New Roman"/>
                      <w:color w:val="000000" w:themeColor="text1"/>
                      <w:kern w:val="2"/>
                      <w:sz w:val="18"/>
                      <w:szCs w:val="18"/>
                      <w:highlight w:val="none"/>
                      <w:lang w:val="zh-CN" w:eastAsia="en-US" w:bidi="ar-SA"/>
                      <w14:textFill>
                        <w14:solidFill>
                          <w14:schemeClr w14:val="tx1"/>
                        </w14:solidFill>
                      </w14:textFill>
                    </w:rPr>
                    <w:t>风机</w:t>
                  </w:r>
                </w:p>
              </w:tc>
              <w:tc>
                <w:tcPr>
                  <w:tcW w:w="563"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val="0"/>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val="0"/>
                      <w:color w:val="000000" w:themeColor="text1"/>
                      <w:kern w:val="0"/>
                      <w:sz w:val="18"/>
                      <w:szCs w:val="18"/>
                      <w:highlight w:val="none"/>
                      <w:vertAlign w:val="baseline"/>
                      <w:lang w:val="en-US" w:eastAsia="zh-CN"/>
                      <w14:textFill>
                        <w14:solidFill>
                          <w14:schemeClr w14:val="tx1"/>
                        </w14:solidFill>
                      </w14:textFill>
                    </w:rPr>
                    <w:t>/</w:t>
                  </w:r>
                </w:p>
              </w:tc>
              <w:tc>
                <w:tcPr>
                  <w:tcW w:w="430"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bCs/>
                      <w:color w:val="000000" w:themeColor="text1"/>
                      <w:kern w:val="2"/>
                      <w:sz w:val="18"/>
                      <w:szCs w:val="18"/>
                      <w:lang w:val="en-US" w:eastAsia="zh-CN" w:bidi="ar-SA"/>
                      <w14:textFill>
                        <w14:solidFill>
                          <w14:schemeClr w14:val="tx1"/>
                        </w14:solidFill>
                      </w14:textFill>
                    </w:rPr>
                  </w:pPr>
                  <w:r>
                    <w:rPr>
                      <w:rFonts w:hint="eastAsia"/>
                      <w:bCs/>
                      <w:color w:val="000000" w:themeColor="text1"/>
                      <w:sz w:val="18"/>
                      <w:szCs w:val="18"/>
                      <w:lang w:val="en-US" w:eastAsia="zh-CN"/>
                      <w14:textFill>
                        <w14:solidFill>
                          <w14:schemeClr w14:val="tx1"/>
                        </w14:solidFill>
                      </w14:textFill>
                    </w:rPr>
                    <w:t>95</w:t>
                  </w:r>
                </w:p>
              </w:tc>
              <w:tc>
                <w:tcPr>
                  <w:tcW w:w="440"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color w:val="000000" w:themeColor="text1"/>
                      <w:kern w:val="0"/>
                      <w:sz w:val="18"/>
                      <w:szCs w:val="18"/>
                      <w:highlight w:val="none"/>
                      <w:lang w:val="en-US" w:eastAsia="zh-CN" w:bidi="ar-SA"/>
                      <w14:textFill>
                        <w14:solidFill>
                          <w14:schemeClr w14:val="tx1"/>
                        </w14:solidFill>
                      </w14:textFill>
                    </w:rPr>
                  </w:pPr>
                  <w:r>
                    <w:rPr>
                      <w:rFonts w:hint="eastAsia" w:cs="Times New Roman"/>
                      <w:b w:val="0"/>
                      <w:bCs w:val="0"/>
                      <w:color w:val="000000" w:themeColor="text1"/>
                      <w:kern w:val="0"/>
                      <w:sz w:val="18"/>
                      <w:szCs w:val="18"/>
                      <w:highlight w:val="none"/>
                      <w:lang w:eastAsia="zh-CN"/>
                      <w14:textFill>
                        <w14:solidFill>
                          <w14:schemeClr w14:val="tx1"/>
                        </w14:solidFill>
                      </w14:textFill>
                    </w:rPr>
                    <w:t>室内布置，安装隔声装置</w:t>
                  </w:r>
                </w:p>
              </w:tc>
              <w:tc>
                <w:tcPr>
                  <w:tcW w:w="309" w:type="pct"/>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cs="Times New Roman"/>
                      <w:b w:val="0"/>
                      <w:bCs/>
                      <w:color w:val="000000" w:themeColor="text1"/>
                      <w:kern w:val="0"/>
                      <w:sz w:val="18"/>
                      <w:szCs w:val="18"/>
                      <w:highlight w:val="none"/>
                      <w:vertAlign w:val="baseline"/>
                      <w:lang w:val="en-US" w:eastAsia="zh-CN"/>
                      <w14:textFill>
                        <w14:solidFill>
                          <w14:schemeClr w14:val="tx1"/>
                        </w14:solidFill>
                      </w14:textFill>
                    </w:rPr>
                    <w:t>8</w:t>
                  </w:r>
                </w:p>
              </w:tc>
              <w:tc>
                <w:tcPr>
                  <w:tcW w:w="309" w:type="pct"/>
                  <w:tcBorders>
                    <w:left w:val="single" w:color="000000" w:sz="4" w:space="0"/>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cs="Times New Roman"/>
                      <w:b w:val="0"/>
                      <w:bCs/>
                      <w:color w:val="000000" w:themeColor="text1"/>
                      <w:kern w:val="0"/>
                      <w:sz w:val="18"/>
                      <w:szCs w:val="18"/>
                      <w:highlight w:val="none"/>
                      <w:vertAlign w:val="baseline"/>
                      <w:lang w:val="en-US" w:eastAsia="zh-CN"/>
                      <w14:textFill>
                        <w14:solidFill>
                          <w14:schemeClr w14:val="tx1"/>
                        </w14:solidFill>
                      </w14:textFill>
                    </w:rPr>
                    <w:t>0.5</w:t>
                  </w:r>
                </w:p>
              </w:tc>
              <w:tc>
                <w:tcPr>
                  <w:tcW w:w="309" w:type="pct"/>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eastAsia"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ascii="Times New Roman" w:hAnsi="Times New Roman" w:cs="Times New Roman"/>
                      <w:b w:val="0"/>
                      <w:bCs/>
                      <w:color w:val="000000" w:themeColor="text1"/>
                      <w:kern w:val="0"/>
                      <w:sz w:val="18"/>
                      <w:szCs w:val="18"/>
                      <w:highlight w:val="none"/>
                      <w:vertAlign w:val="baseline"/>
                      <w:lang w:val="en-US" w:eastAsia="zh-CN"/>
                      <w14:textFill>
                        <w14:solidFill>
                          <w14:schemeClr w14:val="tx1"/>
                        </w14:solidFill>
                      </w14:textFill>
                    </w:rPr>
                    <w:t>0.5</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cs="Times New Roman"/>
                      <w:b w:val="0"/>
                      <w:bCs/>
                      <w:color w:val="000000" w:themeColor="text1"/>
                      <w:kern w:val="0"/>
                      <w:sz w:val="18"/>
                      <w:szCs w:val="18"/>
                      <w:highlight w:val="none"/>
                      <w:vertAlign w:val="baseline"/>
                      <w:lang w:val="en-US" w:eastAsia="zh-CN"/>
                      <w14:textFill>
                        <w14:solidFill>
                          <w14:schemeClr w14:val="tx1"/>
                        </w14:solidFill>
                      </w14:textFill>
                    </w:rPr>
                    <w:t>1.5</w:t>
                  </w:r>
                </w:p>
              </w:tc>
              <w:tc>
                <w:tcPr>
                  <w:tcW w:w="267" w:type="pct"/>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leftChars="0" w:firstLine="0" w:firstLineChars="0"/>
                    <w:jc w:val="center"/>
                    <w:textAlignment w:val="auto"/>
                    <w:rPr>
                      <w:rFonts w:hint="default" w:ascii="Times New Roman" w:hAnsi="Times New Roman" w:eastAsia="宋体" w:cs="Times New Roman"/>
                      <w:b w:val="0"/>
                      <w:bCs/>
                      <w:color w:val="000000" w:themeColor="text1"/>
                      <w:kern w:val="0"/>
                      <w:sz w:val="18"/>
                      <w:szCs w:val="18"/>
                      <w:highlight w:val="none"/>
                      <w:vertAlign w:val="baseline"/>
                      <w:lang w:val="en-US" w:eastAsia="zh-CN" w:bidi="ar-SA"/>
                      <w14:textFill>
                        <w14:solidFill>
                          <w14:schemeClr w14:val="tx1"/>
                        </w14:solidFill>
                      </w14:textFill>
                    </w:rPr>
                  </w:pPr>
                  <w:r>
                    <w:rPr>
                      <w:rFonts w:hint="eastAsia" w:cs="Times New Roman"/>
                      <w:b w:val="0"/>
                      <w:bCs/>
                      <w:color w:val="000000" w:themeColor="text1"/>
                      <w:kern w:val="0"/>
                      <w:sz w:val="18"/>
                      <w:szCs w:val="18"/>
                      <w:highlight w:val="none"/>
                      <w:vertAlign w:val="baseline"/>
                      <w:lang w:val="en-US" w:eastAsia="zh-CN"/>
                      <w14:textFill>
                        <w14:solidFill>
                          <w14:schemeClr w14:val="tx1"/>
                        </w14:solidFill>
                      </w14:textFill>
                    </w:rPr>
                    <w:t>87</w:t>
                  </w:r>
                </w:p>
              </w:tc>
              <w:tc>
                <w:tcPr>
                  <w:tcW w:w="411" w:type="pc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8:00~18:00</w:t>
                  </w:r>
                </w:p>
              </w:tc>
              <w:tc>
                <w:tcPr>
                  <w:tcW w:w="232" w:type="pct"/>
                  <w:vMerge w:val="continue"/>
                  <w:tcBorders>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220" w:type="pct"/>
                  <w:vMerge w:val="continue"/>
                  <w:tcBorders>
                    <w:righ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c>
                <w:tcPr>
                  <w:tcW w:w="362" w:type="pct"/>
                  <w:vMerge w:val="continue"/>
                  <w:tcBorders>
                    <w:left w:val="single" w:color="000000" w:sz="4" w:space="0"/>
                    <w:tl2br w:val="nil"/>
                    <w:tr2bl w:val="nil"/>
                  </w:tcBorders>
                  <w:vAlign w:val="center"/>
                </w:tcPr>
                <w:p>
                  <w:pPr>
                    <w:pStyle w:val="2"/>
                    <w:keepNext w:val="0"/>
                    <w:keepLines w:val="0"/>
                    <w:pageBreakBefore w:val="0"/>
                    <w:widowControl w:val="0"/>
                    <w:kinsoku/>
                    <w:wordWrap/>
                    <w:overflowPunct/>
                    <w:topLinePunct w:val="0"/>
                    <w:autoSpaceDE/>
                    <w:autoSpaceDN/>
                    <w:bidi w:val="0"/>
                    <w:adjustRightInd/>
                    <w:snapToGrid/>
                    <w:spacing w:before="0" w:after="0" w:line="320" w:lineRule="exact"/>
                    <w:ind w:left="0" w:firstLine="0" w:firstLineChars="0"/>
                    <w:jc w:val="center"/>
                    <w:textAlignment w:val="auto"/>
                    <w:rPr>
                      <w:rFonts w:hint="default" w:ascii="Times New Roman" w:hAnsi="Times New Roman" w:eastAsia="宋体" w:cs="Times New Roman"/>
                      <w:b w:val="0"/>
                      <w:bCs/>
                      <w:color w:val="000000" w:themeColor="text1"/>
                      <w:kern w:val="0"/>
                      <w:sz w:val="18"/>
                      <w:szCs w:val="18"/>
                      <w:highlight w:val="cyan"/>
                      <w:vertAlign w:val="baseline"/>
                      <w:lang w:val="en-US" w:eastAsia="zh-CN"/>
                      <w14:textFill>
                        <w14:solidFill>
                          <w14:schemeClr w14:val="tx1"/>
                        </w14:solidFill>
                      </w14:textFill>
                    </w:rPr>
                  </w:pPr>
                </w:p>
              </w:tc>
            </w:tr>
          </w:tbl>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vertAlign w:val="baseline"/>
                <w:lang w:eastAsia="zh-CN"/>
                <w14:textFill>
                  <w14:solidFill>
                    <w14:schemeClr w14:val="tx1"/>
                  </w14:solidFill>
                </w14:textFill>
              </w:rPr>
            </w:pPr>
            <w:r>
              <w:rPr>
                <w:rFonts w:hint="eastAsia" w:ascii="Times New Roman" w:hAnsi="Times New Roman" w:cs="Times New Roman"/>
                <w:color w:val="000000" w:themeColor="text1"/>
                <w:vertAlign w:val="baseline"/>
                <w:lang w:eastAsia="zh-CN"/>
                <w14:textFill>
                  <w14:solidFill>
                    <w14:schemeClr w14:val="tx1"/>
                  </w14:solidFill>
                </w14:textFill>
              </w:rPr>
              <w:t xml:space="preserve"> </w:t>
            </w:r>
            <w:r>
              <w:rPr>
                <w:rFonts w:hint="eastAsia" w:ascii="Times New Roman" w:hAnsi="Times New Roman" w:cs="Times New Roman"/>
                <w:color w:val="000000" w:themeColor="text1"/>
                <w:vertAlign w:val="baseline"/>
                <w:lang w:eastAsia="zh-CN"/>
                <w14:textFill>
                  <w14:solidFill>
                    <w14:schemeClr w14:val="tx1"/>
                  </w14:solidFill>
                </w14:textFill>
              </w:rPr>
              <w:br w:type="textWrapping"/>
            </w:r>
            <w:r>
              <w:rPr>
                <w:rFonts w:hint="eastAsia" w:ascii="Times New Roman" w:hAnsi="Times New Roman" w:cs="Times New Roman"/>
                <w:color w:val="000000" w:themeColor="text1"/>
                <w:vertAlign w:val="baseline"/>
                <w:lang w:eastAsia="zh-CN"/>
                <w14:textFill>
                  <w14:solidFill>
                    <w14:schemeClr w14:val="tx1"/>
                  </w14:solidFill>
                </w14:textFill>
              </w:rPr>
              <w:br w:type="textWrapping"/>
            </w:r>
            <w:r>
              <w:rPr>
                <w:rFonts w:hint="eastAsia" w:ascii="Times New Roman" w:hAnsi="Times New Roman" w:cs="Times New Roman"/>
                <w:color w:val="000000" w:themeColor="text1"/>
                <w:vertAlign w:val="baseline"/>
                <w:lang w:eastAsia="zh-CN"/>
                <w14:textFill>
                  <w14:solidFill>
                    <w14:schemeClr w14:val="tx1"/>
                  </w14:solidFill>
                </w14:textFill>
              </w:rPr>
              <w:br w:type="textWrapping"/>
            </w:r>
            <w:r>
              <w:rPr>
                <w:rFonts w:hint="eastAsia" w:ascii="Times New Roman" w:hAnsi="Times New Roman" w:cs="Times New Roman"/>
                <w:color w:val="000000" w:themeColor="text1"/>
                <w:vertAlign w:val="baseline"/>
                <w:lang w:eastAsia="zh-CN"/>
                <w14:textFill>
                  <w14:solidFill>
                    <w14:schemeClr w14:val="tx1"/>
                  </w14:solidFill>
                </w14:textFill>
              </w:rPr>
              <w:br w:type="textWrapping"/>
            </w:r>
            <w:r>
              <w:rPr>
                <w:rFonts w:hint="eastAsia" w:ascii="Times New Roman" w:hAnsi="Times New Roman" w:cs="Times New Roman"/>
                <w:color w:val="000000" w:themeColor="text1"/>
                <w:vertAlign w:val="baseline"/>
                <w:lang w:eastAsia="zh-CN"/>
                <w14:textFill>
                  <w14:solidFill>
                    <w14:schemeClr w14:val="tx1"/>
                  </w14:solidFill>
                </w14:textFill>
              </w:rPr>
              <w:br w:type="textWrapping"/>
            </w:r>
            <w:r>
              <w:rPr>
                <w:rFonts w:hint="eastAsia" w:ascii="Times New Roman" w:hAnsi="Times New Roman" w:cs="Times New Roman"/>
                <w:color w:val="000000" w:themeColor="text1"/>
                <w:vertAlign w:val="baseline"/>
                <w:lang w:eastAsia="zh-CN"/>
                <w14:textFill>
                  <w14:solidFill>
                    <w14:schemeClr w14:val="tx1"/>
                  </w14:solidFill>
                </w14:textFill>
              </w:rPr>
              <w:br w:type="textWrapping"/>
            </w:r>
            <w:r>
              <w:rPr>
                <w:rFonts w:hint="eastAsia" w:ascii="Times New Roman" w:hAnsi="Times New Roman" w:cs="Times New Roman"/>
                <w:color w:val="000000" w:themeColor="text1"/>
                <w:vertAlign w:val="baseline"/>
                <w:lang w:eastAsia="zh-CN"/>
                <w14:textFill>
                  <w14:solidFill>
                    <w14:schemeClr w14:val="tx1"/>
                  </w14:solidFill>
                </w14:textFill>
              </w:rPr>
              <w:br w:type="textWrapping"/>
            </w:r>
          </w:p>
        </w:tc>
      </w:tr>
    </w:tbl>
    <w:p>
      <w:pPr>
        <w:rPr>
          <w:rFonts w:hint="default" w:ascii="Times New Roman" w:hAnsi="Times New Roman" w:cs="Times New Roman"/>
          <w:color w:val="000000" w:themeColor="text1"/>
          <w14:textFill>
            <w14:solidFill>
              <w14:schemeClr w14:val="tx1"/>
            </w14:solidFill>
          </w14:textFill>
        </w:rPr>
        <w:sectPr>
          <w:pgSz w:w="16840" w:h="11907" w:orient="landscape"/>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85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运营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期环</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境影</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响和</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保护</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color w:val="000000" w:themeColor="text1"/>
                <w:vertAlign w:val="baseli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措施</w:t>
            </w:r>
          </w:p>
        </w:tc>
        <w:tc>
          <w:tcPr>
            <w:tcW w:w="8524" w:type="dxa"/>
          </w:tcPr>
          <w:p>
            <w:pPr>
              <w:keepNext w:val="0"/>
              <w:keepLines w:val="0"/>
              <w:pageBreakBefore w:val="0"/>
              <w:widowControl w:val="0"/>
              <w:kinsoku/>
              <w:wordWrap/>
              <w:overflowPunct/>
              <w:topLinePunct w:val="0"/>
              <w:autoSpaceDE w:val="0"/>
              <w:autoSpaceDN w:val="0"/>
              <w:bidi w:val="0"/>
              <w:adjustRightInd/>
              <w:snapToGrid/>
              <w:spacing w:line="360" w:lineRule="auto"/>
              <w:ind w:firstLine="382" w:firstLineChars="200"/>
              <w:rPr>
                <w:rFonts w:hint="default" w:ascii="Times New Roman" w:hAnsi="Times New Roman" w:cs="Times New Roman"/>
                <w:b/>
                <w:bCs/>
                <w:color w:val="000000" w:themeColor="text1"/>
                <w:spacing w:val="-10"/>
                <w:szCs w:val="21"/>
                <w:highlight w:val="none"/>
                <w14:textFill>
                  <w14:solidFill>
                    <w14:schemeClr w14:val="tx1"/>
                  </w14:solidFill>
                </w14:textFill>
              </w:rPr>
            </w:pPr>
            <w:r>
              <w:rPr>
                <w:rFonts w:hint="default" w:ascii="Times New Roman" w:hAnsi="Times New Roman" w:cs="Times New Roman"/>
                <w:b/>
                <w:bCs/>
                <w:color w:val="000000" w:themeColor="text1"/>
                <w:spacing w:val="-10"/>
                <w:szCs w:val="21"/>
                <w:highlight w:val="none"/>
                <w14:textFill>
                  <w14:solidFill>
                    <w14:schemeClr w14:val="tx1"/>
                  </w14:solidFill>
                </w14:textFill>
              </w:rPr>
              <w:t>（2）噪声环境影响分析</w:t>
            </w:r>
          </w:p>
          <w:p>
            <w:pPr>
              <w:keepNext w:val="0"/>
              <w:keepLines w:val="0"/>
              <w:pageBreakBefore w:val="0"/>
              <w:widowControl w:val="0"/>
              <w:kinsoku/>
              <w:wordWrap/>
              <w:overflowPunct/>
              <w:topLinePunct w:val="0"/>
              <w:autoSpaceDE w:val="0"/>
              <w:autoSpaceDN w:val="0"/>
              <w:bidi w:val="0"/>
              <w:adjustRightInd/>
              <w:snapToGrid/>
              <w:spacing w:line="360" w:lineRule="auto"/>
              <w:ind w:firstLine="382" w:firstLineChars="200"/>
              <w:rPr>
                <w:rFonts w:hint="default" w:ascii="Times New Roman" w:hAnsi="Times New Roman" w:cs="Times New Roman"/>
                <w:b/>
                <w:bCs/>
                <w:color w:val="000000" w:themeColor="text1"/>
                <w:spacing w:val="-10"/>
                <w:szCs w:val="21"/>
                <w:highlight w:val="none"/>
                <w14:textFill>
                  <w14:solidFill>
                    <w14:schemeClr w14:val="tx1"/>
                  </w14:solidFill>
                </w14:textFill>
              </w:rPr>
            </w:pPr>
            <w:r>
              <w:rPr>
                <w:rFonts w:hint="default" w:ascii="Times New Roman" w:hAnsi="Times New Roman" w:cs="Times New Roman"/>
                <w:b/>
                <w:bCs/>
                <w:color w:val="000000" w:themeColor="text1"/>
                <w:spacing w:val="-10"/>
                <w:szCs w:val="21"/>
                <w:highlight w:val="none"/>
                <w:lang w:val="en-US" w:eastAsia="zh-CN"/>
                <w14:textFill>
                  <w14:solidFill>
                    <w14:schemeClr w14:val="tx1"/>
                  </w14:solidFill>
                </w14:textFill>
              </w:rPr>
              <w:t>2.2</w:t>
            </w:r>
            <w:r>
              <w:rPr>
                <w:rFonts w:hint="default" w:ascii="Times New Roman" w:hAnsi="Times New Roman" w:cs="Times New Roman"/>
                <w:b/>
                <w:bCs/>
                <w:color w:val="000000" w:themeColor="text1"/>
                <w:spacing w:val="-10"/>
                <w:szCs w:val="21"/>
                <w:highlight w:val="none"/>
                <w14:textFill>
                  <w14:solidFill>
                    <w14:schemeClr w14:val="tx1"/>
                  </w14:solidFill>
                </w14:textFill>
              </w:rPr>
              <w:t>噪声环境影响分析</w:t>
            </w:r>
          </w:p>
          <w:p>
            <w:pPr>
              <w:pStyle w:val="71"/>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 xml:space="preserve">（1）预测范围及点位 </w:t>
            </w:r>
          </w:p>
          <w:p>
            <w:pPr>
              <w:pStyle w:val="71"/>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 xml:space="preserve">①噪声预测范围为：预测各厂界外1m及厂界外50m范围内声环境敏感点； </w:t>
            </w:r>
          </w:p>
          <w:p>
            <w:pPr>
              <w:pStyle w:val="71"/>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②预测点位：东、南、西、北四厂界噪声和</w:t>
            </w:r>
            <w:r>
              <w:rPr>
                <w:rFonts w:hint="default" w:ascii="Times New Roman" w:hAnsi="Times New Roman" w:cs="Times New Roman"/>
                <w:color w:val="000000" w:themeColor="text1"/>
                <w:sz w:val="21"/>
                <w:szCs w:val="21"/>
                <w:lang w:eastAsia="zh-CN"/>
                <w14:textFill>
                  <w14:solidFill>
                    <w14:schemeClr w14:val="tx1"/>
                  </w14:solidFill>
                </w14:textFill>
              </w:rPr>
              <w:t>南侧西街村</w:t>
            </w:r>
            <w:r>
              <w:rPr>
                <w:rFonts w:hint="default" w:ascii="Times New Roman" w:hAnsi="Times New Roman" w:cs="Times New Roman"/>
                <w:color w:val="000000" w:themeColor="text1"/>
                <w:sz w:val="21"/>
                <w:szCs w:val="21"/>
                <w14:textFill>
                  <w14:solidFill>
                    <w14:schemeClr w14:val="tx1"/>
                  </w14:solidFill>
                </w14:textFill>
              </w:rPr>
              <w:t>。</w:t>
            </w:r>
          </w:p>
          <w:p>
            <w:pPr>
              <w:pStyle w:val="71"/>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（2）预测因子</w:t>
            </w:r>
          </w:p>
          <w:p>
            <w:pPr>
              <w:pStyle w:val="71"/>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场界噪声预测因子：等效连续A声级。</w:t>
            </w:r>
          </w:p>
          <w:p>
            <w:pPr>
              <w:pStyle w:val="71"/>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（3）预测模式</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预测模式采用《环境影响评价技术导则——声环境》(HJ2.4-2021)中推荐的模型。噪声在传播过程中受到多种因素的干扰，使其产生衰减，根据建设项目噪声源和环境特征，预测过程中考虑了建筑物的屏障作用、空气吸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室内声源采用等效室外声源声功率级法进行计算，设靠近开口处（或窗户）室内、室外某倍频带的声压级或A声级分比为</w:t>
            </w:r>
            <w:r>
              <w:rPr>
                <w:rFonts w:hint="default" w:ascii="Times New Roman" w:hAnsi="Times New Roman" w:cs="Times New Roman"/>
                <w:i/>
                <w:iCs/>
                <w:color w:val="000000" w:themeColor="text1"/>
                <w:sz w:val="21"/>
                <w:szCs w:val="21"/>
                <w14:textFill>
                  <w14:solidFill>
                    <w14:schemeClr w14:val="tx1"/>
                  </w14:solidFill>
                </w14:textFill>
              </w:rPr>
              <w:t>L</w:t>
            </w:r>
            <w:r>
              <w:rPr>
                <w:rFonts w:hint="default" w:ascii="Times New Roman" w:hAnsi="Times New Roman" w:cs="Times New Roman"/>
                <w:i/>
                <w:iCs/>
                <w:color w:val="000000" w:themeColor="text1"/>
                <w:sz w:val="21"/>
                <w:szCs w:val="21"/>
                <w:vertAlign w:val="subscript"/>
                <w14:textFill>
                  <w14:solidFill>
                    <w14:schemeClr w14:val="tx1"/>
                  </w14:solidFill>
                </w14:textFill>
              </w:rPr>
              <w:t>p1</w:t>
            </w:r>
            <w:r>
              <w:rPr>
                <w:rFonts w:hint="default" w:ascii="Times New Roman" w:hAnsi="Times New Roman" w:cs="Times New Roman"/>
                <w:color w:val="000000" w:themeColor="text1"/>
                <w:sz w:val="21"/>
                <w:szCs w:val="21"/>
                <w14:textFill>
                  <w14:solidFill>
                    <w14:schemeClr w14:val="tx1"/>
                  </w14:solidFill>
                </w14:textFill>
              </w:rPr>
              <w:t>和</w:t>
            </w:r>
            <w:r>
              <w:rPr>
                <w:rFonts w:hint="default" w:ascii="Times New Roman" w:hAnsi="Times New Roman" w:cs="Times New Roman"/>
                <w:i/>
                <w:iCs/>
                <w:color w:val="000000" w:themeColor="text1"/>
                <w:sz w:val="21"/>
                <w:szCs w:val="21"/>
                <w14:textFill>
                  <w14:solidFill>
                    <w14:schemeClr w14:val="tx1"/>
                  </w14:solidFill>
                </w14:textFill>
              </w:rPr>
              <w:t>L</w:t>
            </w:r>
            <w:r>
              <w:rPr>
                <w:rFonts w:hint="default" w:ascii="Times New Roman" w:hAnsi="Times New Roman" w:cs="Times New Roman"/>
                <w:i/>
                <w:iCs/>
                <w:color w:val="000000" w:themeColor="text1"/>
                <w:sz w:val="21"/>
                <w:szCs w:val="21"/>
                <w:vertAlign w:val="subscript"/>
                <w14:textFill>
                  <w14:solidFill>
                    <w14:schemeClr w14:val="tx1"/>
                  </w14:solidFill>
                </w14:textFill>
              </w:rPr>
              <w:t>p2</w:t>
            </w:r>
            <w:r>
              <w:rPr>
                <w:rFonts w:hint="default" w:ascii="Times New Roman" w:hAnsi="Times New Roman" w:cs="Times New Roman"/>
                <w:color w:val="000000" w:themeColor="text1"/>
                <w:sz w:val="21"/>
                <w:szCs w:val="21"/>
                <w14:textFill>
                  <w14:solidFill>
                    <w14:schemeClr w14:val="tx1"/>
                  </w14:solidFill>
                </w14:textFill>
              </w:rPr>
              <w:t>。若声源所在室内声场为近似扩散声场，则室外的倍频带声压级可按下式近似求出：</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default" w:ascii="Times New Roman" w:hAnsi="Times New Roman" w:cs="Times New Roman"/>
                <w:i/>
                <w:iCs/>
                <w:color w:val="000000" w:themeColor="text1"/>
                <w:sz w:val="21"/>
                <w:szCs w:val="21"/>
                <w14:textFill>
                  <w14:solidFill>
                    <w14:schemeClr w14:val="tx1"/>
                  </w14:solidFill>
                </w14:textFill>
              </w:rPr>
            </w:pPr>
            <w:r>
              <w:rPr>
                <w:rFonts w:hint="default" w:ascii="Times New Roman" w:hAnsi="Times New Roman" w:cs="Times New Roman"/>
                <w:i/>
                <w:iCs/>
                <w:color w:val="000000" w:themeColor="text1"/>
                <w:sz w:val="21"/>
                <w:szCs w:val="21"/>
                <w14:textFill>
                  <w14:solidFill>
                    <w14:schemeClr w14:val="tx1"/>
                  </w14:solidFill>
                </w14:textFill>
              </w:rPr>
              <w:t>L</w:t>
            </w:r>
            <w:r>
              <w:rPr>
                <w:rFonts w:hint="default" w:ascii="Times New Roman" w:hAnsi="Times New Roman" w:cs="Times New Roman"/>
                <w:i/>
                <w:iCs/>
                <w:color w:val="000000" w:themeColor="text1"/>
                <w:sz w:val="21"/>
                <w:szCs w:val="21"/>
                <w:vertAlign w:val="subscript"/>
                <w14:textFill>
                  <w14:solidFill>
                    <w14:schemeClr w14:val="tx1"/>
                  </w14:solidFill>
                </w14:textFill>
              </w:rPr>
              <w:t>p2=</w:t>
            </w:r>
            <w:r>
              <w:rPr>
                <w:rFonts w:hint="default" w:ascii="Times New Roman" w:hAnsi="Times New Roman" w:cs="Times New Roman"/>
                <w:i/>
                <w:iCs/>
                <w:color w:val="000000" w:themeColor="text1"/>
                <w:sz w:val="21"/>
                <w:szCs w:val="21"/>
                <w14:textFill>
                  <w14:solidFill>
                    <w14:schemeClr w14:val="tx1"/>
                  </w14:solidFill>
                </w14:textFill>
              </w:rPr>
              <w:t xml:space="preserve"> L</w:t>
            </w:r>
            <w:r>
              <w:rPr>
                <w:rFonts w:hint="default" w:ascii="Times New Roman" w:hAnsi="Times New Roman" w:cs="Times New Roman"/>
                <w:i/>
                <w:iCs/>
                <w:color w:val="000000" w:themeColor="text1"/>
                <w:sz w:val="21"/>
                <w:szCs w:val="21"/>
                <w:vertAlign w:val="subscript"/>
                <w14:textFill>
                  <w14:solidFill>
                    <w14:schemeClr w14:val="tx1"/>
                  </w14:solidFill>
                </w14:textFill>
              </w:rPr>
              <w:t>p1</w:t>
            </w:r>
            <w:r>
              <w:rPr>
                <w:rFonts w:hint="default" w:ascii="Times New Roman" w:hAnsi="Times New Roman" w:cs="Times New Roman"/>
                <w:i/>
                <w:iCs/>
                <w:color w:val="000000" w:themeColor="text1"/>
                <w:sz w:val="21"/>
                <w:szCs w:val="21"/>
                <w14:textFill>
                  <w14:solidFill>
                    <w14:schemeClr w14:val="tx1"/>
                  </w14:solidFill>
                </w14:textFill>
              </w:rPr>
              <w:t>-（TL+6）</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式中：</w:t>
            </w:r>
            <w:r>
              <w:rPr>
                <w:rFonts w:hint="default" w:ascii="Times New Roman" w:hAnsi="Times New Roman" w:cs="Times New Roman"/>
                <w:i/>
                <w:iCs/>
                <w:color w:val="000000" w:themeColor="text1"/>
                <w:sz w:val="21"/>
                <w:szCs w:val="21"/>
                <w14:textFill>
                  <w14:solidFill>
                    <w14:schemeClr w14:val="tx1"/>
                  </w14:solidFill>
                </w14:textFill>
              </w:rPr>
              <w:t>L</w:t>
            </w:r>
            <w:r>
              <w:rPr>
                <w:rFonts w:hint="default" w:ascii="Times New Roman" w:hAnsi="Times New Roman" w:cs="Times New Roman"/>
                <w:i/>
                <w:iCs/>
                <w:color w:val="000000" w:themeColor="text1"/>
                <w:sz w:val="21"/>
                <w:szCs w:val="21"/>
                <w:vertAlign w:val="subscript"/>
                <w14:textFill>
                  <w14:solidFill>
                    <w14:schemeClr w14:val="tx1"/>
                  </w14:solidFill>
                </w14:textFill>
              </w:rPr>
              <w:t>p1</w:t>
            </w:r>
            <w:r>
              <w:rPr>
                <w:rFonts w:hint="default" w:ascii="Times New Roman" w:hAnsi="Times New Roman" w:cs="Times New Roman"/>
                <w:color w:val="000000" w:themeColor="text1"/>
                <w:sz w:val="21"/>
                <w:szCs w:val="21"/>
                <w14:textFill>
                  <w14:solidFill>
                    <w14:schemeClr w14:val="tx1"/>
                  </w14:solidFill>
                </w14:textFill>
              </w:rPr>
              <w:t>——靠近开口处（或窗户）室内某倍频带的声压级或A声级，dB；</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i/>
                <w:iCs/>
                <w:color w:val="000000" w:themeColor="text1"/>
                <w:sz w:val="21"/>
                <w:szCs w:val="21"/>
                <w14:textFill>
                  <w14:solidFill>
                    <w14:schemeClr w14:val="tx1"/>
                  </w14:solidFill>
                </w14:textFill>
              </w:rPr>
              <w:t>L</w:t>
            </w:r>
            <w:r>
              <w:rPr>
                <w:rFonts w:hint="default" w:ascii="Times New Roman" w:hAnsi="Times New Roman" w:cs="Times New Roman"/>
                <w:i/>
                <w:iCs/>
                <w:color w:val="000000" w:themeColor="text1"/>
                <w:sz w:val="21"/>
                <w:szCs w:val="21"/>
                <w:vertAlign w:val="subscript"/>
                <w14:textFill>
                  <w14:solidFill>
                    <w14:schemeClr w14:val="tx1"/>
                  </w14:solidFill>
                </w14:textFill>
              </w:rPr>
              <w:t>p2</w:t>
            </w:r>
            <w:r>
              <w:rPr>
                <w:rFonts w:hint="default" w:ascii="Times New Roman" w:hAnsi="Times New Roman" w:cs="Times New Roman"/>
                <w:color w:val="000000" w:themeColor="text1"/>
                <w:sz w:val="21"/>
                <w:szCs w:val="21"/>
                <w14:textFill>
                  <w14:solidFill>
                    <w14:schemeClr w14:val="tx1"/>
                  </w14:solidFill>
                </w14:textFill>
              </w:rPr>
              <w:t>——靠近开口处（或窗户）室外某倍频带的声压级或A声级，dB；</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i/>
                <w:iCs/>
                <w:color w:val="000000" w:themeColor="text1"/>
                <w:sz w:val="21"/>
                <w:szCs w:val="21"/>
                <w14:textFill>
                  <w14:solidFill>
                    <w14:schemeClr w14:val="tx1"/>
                  </w14:solidFill>
                </w14:textFill>
              </w:rPr>
              <w:t>TL</w:t>
            </w:r>
            <w:r>
              <w:rPr>
                <w:rFonts w:hint="default" w:ascii="Times New Roman" w:hAnsi="Times New Roman" w:cs="Times New Roman"/>
                <w:color w:val="000000" w:themeColor="text1"/>
                <w:sz w:val="21"/>
                <w:szCs w:val="21"/>
                <w14:textFill>
                  <w14:solidFill>
                    <w14:schemeClr w14:val="tx1"/>
                  </w14:solidFill>
                </w14:textFill>
              </w:rPr>
              <w:t>——隔墙（或窗户）倍频带或A声级的隔音量，dB。</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如下图所示。</w:t>
            </w:r>
          </w:p>
          <w:p>
            <w:pPr>
              <w:jc w:val="center"/>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drawing>
                <wp:inline distT="0" distB="0" distL="114300" distR="114300">
                  <wp:extent cx="2867025" cy="1409700"/>
                  <wp:effectExtent l="0" t="0" r="9525" b="0"/>
                  <wp:docPr id="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8"/>
                          <pic:cNvPicPr>
                            <a:picLocks noChangeAspect="1"/>
                          </pic:cNvPicPr>
                        </pic:nvPicPr>
                        <pic:blipFill>
                          <a:blip r:embed="rId27"/>
                          <a:stretch>
                            <a:fillRect/>
                          </a:stretch>
                        </pic:blipFill>
                        <pic:spPr>
                          <a:xfrm>
                            <a:off x="0" y="0"/>
                            <a:ext cx="2867025" cy="1409700"/>
                          </a:xfrm>
                          <a:prstGeom prst="rect">
                            <a:avLst/>
                          </a:prstGeom>
                          <a:noFill/>
                          <a:ln>
                            <a:noFill/>
                          </a:ln>
                        </pic:spPr>
                      </pic:pic>
                    </a:graphicData>
                  </a:graphic>
                </wp:inline>
              </w:drawing>
            </w:r>
          </w:p>
          <w:p>
            <w:pPr>
              <w:pStyle w:val="26"/>
              <w:keepNext w:val="0"/>
              <w:keepLines w:val="0"/>
              <w:pageBreakBefore w:val="0"/>
              <w:widowControl w:val="0"/>
              <w:numPr>
                <w:ilvl w:val="0"/>
                <w:numId w:val="9"/>
              </w:numPr>
              <w:kinsoku/>
              <w:wordWrap/>
              <w:overflowPunct/>
              <w:topLinePunct w:val="0"/>
              <w:bidi w:val="0"/>
              <w:adjustRightInd/>
              <w:snapToGrid/>
              <w:spacing w:line="360" w:lineRule="auto"/>
              <w:ind w:left="0" w:leftChars="0" w:hanging="420" w:firstLineChars="0"/>
              <w:textAlignment w:val="auto"/>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室内声源等效为室外声源图例</w:t>
            </w: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 xml:space="preserve">●室外点声源利用点源衰减公式 </w:t>
            </w: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cs="Times New Roman"/>
                <w:color w:val="000000" w:themeColor="text1"/>
                <w:kern w:val="0"/>
                <w:sz w:val="21"/>
                <w:szCs w:val="21"/>
                <w:lang w:val="it-IT"/>
                <w14:textFill>
                  <w14:solidFill>
                    <w14:schemeClr w14:val="tx1"/>
                  </w14:solidFill>
                </w14:textFill>
              </w:rPr>
            </w:pPr>
            <w:r>
              <w:rPr>
                <w:rFonts w:hint="default" w:ascii="Times New Roman" w:hAnsi="Times New Roman" w:cs="Times New Roman"/>
                <w:color w:val="000000" w:themeColor="text1"/>
                <w:kern w:val="0"/>
                <w:sz w:val="21"/>
                <w:szCs w:val="21"/>
                <w:lang w:val="it-IT"/>
                <w14:textFill>
                  <w14:solidFill>
                    <w14:schemeClr w14:val="tx1"/>
                  </w14:solidFill>
                </w14:textFill>
              </w:rPr>
              <w:t>LA（r）=LA(r</w:t>
            </w:r>
            <w:r>
              <w:rPr>
                <w:rFonts w:hint="default" w:ascii="Times New Roman" w:hAnsi="Times New Roman" w:cs="Times New Roman"/>
                <w:color w:val="000000" w:themeColor="text1"/>
                <w:kern w:val="0"/>
                <w:sz w:val="21"/>
                <w:szCs w:val="21"/>
                <w:vertAlign w:val="subscript"/>
                <w:lang w:val="it-IT"/>
                <w14:textFill>
                  <w14:solidFill>
                    <w14:schemeClr w14:val="tx1"/>
                  </w14:solidFill>
                </w14:textFill>
              </w:rPr>
              <w:t>0</w:t>
            </w:r>
            <w:r>
              <w:rPr>
                <w:rFonts w:hint="default" w:ascii="Times New Roman" w:hAnsi="Times New Roman" w:cs="Times New Roman"/>
                <w:color w:val="000000" w:themeColor="text1"/>
                <w:kern w:val="0"/>
                <w:sz w:val="21"/>
                <w:szCs w:val="21"/>
                <w:lang w:val="it-IT"/>
                <w14:textFill>
                  <w14:solidFill>
                    <w14:schemeClr w14:val="tx1"/>
                  </w14:solidFill>
                </w14:textFill>
              </w:rPr>
              <w:t>)</w:t>
            </w:r>
            <w:r>
              <w:rPr>
                <w:rFonts w:hint="default" w:ascii="Times New Roman" w:hAnsi="Times New Roman" w:cs="Times New Roman"/>
                <w:color w:val="000000" w:themeColor="text1"/>
                <w:kern w:val="0"/>
                <w:sz w:val="21"/>
                <w:szCs w:val="21"/>
                <w14:textFill>
                  <w14:solidFill>
                    <w14:schemeClr w14:val="tx1"/>
                  </w14:solidFill>
                </w14:textFill>
              </w:rPr>
              <w:sym w:font="Symbol" w:char="F02D"/>
            </w:r>
            <w:r>
              <w:rPr>
                <w:rFonts w:hint="default" w:ascii="Times New Roman" w:hAnsi="Times New Roman" w:cs="Times New Roman"/>
                <w:color w:val="000000" w:themeColor="text1"/>
                <w:kern w:val="0"/>
                <w:sz w:val="21"/>
                <w:szCs w:val="21"/>
                <w:lang w:val="it-IT"/>
                <w14:textFill>
                  <w14:solidFill>
                    <w14:schemeClr w14:val="tx1"/>
                  </w14:solidFill>
                </w14:textFill>
              </w:rPr>
              <w:t>20lgr/r</w:t>
            </w:r>
            <w:r>
              <w:rPr>
                <w:rFonts w:hint="default" w:ascii="Times New Roman" w:hAnsi="Times New Roman" w:cs="Times New Roman"/>
                <w:color w:val="000000" w:themeColor="text1"/>
                <w:kern w:val="0"/>
                <w:sz w:val="21"/>
                <w:szCs w:val="21"/>
                <w14:textFill>
                  <w14:solidFill>
                    <w14:schemeClr w14:val="tx1"/>
                  </w14:solidFill>
                </w14:textFill>
              </w:rPr>
              <w:sym w:font="Symbol" w:char="F02D"/>
            </w:r>
            <w:r>
              <w:rPr>
                <w:rFonts w:hint="default" w:ascii="Times New Roman" w:hAnsi="Times New Roman" w:cs="Times New Roman"/>
                <w:color w:val="000000" w:themeColor="text1"/>
                <w:kern w:val="0"/>
                <w:sz w:val="21"/>
                <w:szCs w:val="21"/>
                <w:lang w:val="it-IT"/>
                <w14:textFill>
                  <w14:solidFill>
                    <w14:schemeClr w14:val="tx1"/>
                  </w14:solidFill>
                </w14:textFill>
              </w:rPr>
              <w:t>8</w:t>
            </w: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式中LA(r)、LA(r</w:t>
            </w:r>
            <w:r>
              <w:rPr>
                <w:rFonts w:hint="default" w:ascii="Times New Roman" w:hAnsi="Times New Roman" w:cs="Times New Roman"/>
                <w:color w:val="000000" w:themeColor="text1"/>
                <w:kern w:val="0"/>
                <w:sz w:val="21"/>
                <w:szCs w:val="21"/>
                <w:vertAlign w:val="subscript"/>
                <w14:textFill>
                  <w14:solidFill>
                    <w14:schemeClr w14:val="tx1"/>
                  </w14:solidFill>
                </w14:textFill>
              </w:rPr>
              <w:t>0</w:t>
            </w:r>
            <w:r>
              <w:rPr>
                <w:rFonts w:hint="default" w:ascii="Times New Roman" w:hAnsi="Times New Roman" w:cs="Times New Roman"/>
                <w:color w:val="000000" w:themeColor="text1"/>
                <w:kern w:val="0"/>
                <w:sz w:val="21"/>
                <w:szCs w:val="21"/>
                <w14:textFill>
                  <w14:solidFill>
                    <w14:schemeClr w14:val="tx1"/>
                  </w14:solidFill>
                </w14:textFill>
              </w:rPr>
              <w:t>)分别是距声源、r</w:t>
            </w:r>
            <w:r>
              <w:rPr>
                <w:rFonts w:hint="default" w:ascii="Times New Roman" w:hAnsi="Times New Roman" w:cs="Times New Roman"/>
                <w:color w:val="000000" w:themeColor="text1"/>
                <w:kern w:val="0"/>
                <w:sz w:val="21"/>
                <w:szCs w:val="21"/>
                <w:vertAlign w:val="subscript"/>
                <w14:textFill>
                  <w14:solidFill>
                    <w14:schemeClr w14:val="tx1"/>
                  </w14:solidFill>
                </w14:textFill>
              </w:rPr>
              <w:t>0</w:t>
            </w:r>
            <w:r>
              <w:rPr>
                <w:rFonts w:hint="default" w:ascii="Times New Roman" w:hAnsi="Times New Roman" w:cs="Times New Roman"/>
                <w:color w:val="000000" w:themeColor="text1"/>
                <w:kern w:val="0"/>
                <w:sz w:val="21"/>
                <w:szCs w:val="21"/>
                <w14:textFill>
                  <w14:solidFill>
                    <w14:schemeClr w14:val="tx1"/>
                  </w14:solidFill>
                </w14:textFill>
              </w:rPr>
              <w:t>处的A声级值。</w:t>
            </w: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●户外建筑物的声屏障效应</w:t>
            </w: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声屏障的隔声效应与声源和接收点、屏障位置、屏障高度和屏障长度及结构性质有关，评价根据它们之间的距离、声音的频率（一般取500HZ）算出菲涅尔系数，然后再查表找出相对应的衰减值（dB）。菲涅尔系数的计算方法如下：</w:t>
            </w: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N=2（A+B+d）</w:t>
            </w:r>
            <w:r>
              <w:rPr>
                <w:rFonts w:hint="default" w:ascii="Times New Roman" w:hAnsi="Times New Roman" w:cs="Times New Roman"/>
                <w:color w:val="000000" w:themeColor="text1"/>
                <w:kern w:val="0"/>
                <w:sz w:val="21"/>
                <w:szCs w:val="21"/>
                <w14:textFill>
                  <w14:solidFill>
                    <w14:schemeClr w14:val="tx1"/>
                  </w14:solidFill>
                </w14:textFill>
              </w:rPr>
              <w:sym w:font="Symbol" w:char="F06C"/>
            </w: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式中：A—是声源与屏障顶端的距离；</w:t>
            </w: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B—是接收点与屏障顶端的距离；</w:t>
            </w: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d—是声源与接收点间的距离；</w:t>
            </w: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sym w:font="Symbol" w:char="F06C"/>
            </w:r>
            <w:r>
              <w:rPr>
                <w:rFonts w:hint="default" w:ascii="Times New Roman" w:hAnsi="Times New Roman" w:cs="Times New Roman"/>
                <w:color w:val="000000" w:themeColor="text1"/>
                <w:kern w:val="0"/>
                <w:sz w:val="21"/>
                <w:szCs w:val="21"/>
                <w14:textFill>
                  <w14:solidFill>
                    <w14:schemeClr w14:val="tx1"/>
                  </w14:solidFill>
                </w14:textFill>
              </w:rPr>
              <w:t>—波长。</w:t>
            </w: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●空气吸收引起的衰减（Aatm）</w:t>
            </w: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空气吸收引起的衰减按以下公式计算：</w:t>
            </w: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Aatm=a（r</w:t>
            </w:r>
            <w:r>
              <w:rPr>
                <w:rFonts w:hint="default" w:ascii="Times New Roman" w:hAnsi="Times New Roman" w:cs="Times New Roman"/>
                <w:color w:val="000000" w:themeColor="text1"/>
                <w:kern w:val="0"/>
                <w:sz w:val="21"/>
                <w:szCs w:val="21"/>
                <w14:textFill>
                  <w14:solidFill>
                    <w14:schemeClr w14:val="tx1"/>
                  </w14:solidFill>
                </w14:textFill>
              </w:rPr>
              <w:sym w:font="Symbol" w:char="F02D"/>
            </w:r>
            <w:r>
              <w:rPr>
                <w:rFonts w:hint="default" w:ascii="Times New Roman" w:hAnsi="Times New Roman" w:cs="Times New Roman"/>
                <w:color w:val="000000" w:themeColor="text1"/>
                <w:kern w:val="0"/>
                <w:sz w:val="21"/>
                <w:szCs w:val="21"/>
                <w14:textFill>
                  <w14:solidFill>
                    <w14:schemeClr w14:val="tx1"/>
                  </w14:solidFill>
                </w14:textFill>
              </w:rPr>
              <w:t xml:space="preserve"> r</w:t>
            </w:r>
            <w:r>
              <w:rPr>
                <w:rFonts w:hint="default" w:ascii="Times New Roman" w:hAnsi="Times New Roman" w:cs="Times New Roman"/>
                <w:color w:val="000000" w:themeColor="text1"/>
                <w:kern w:val="0"/>
                <w:sz w:val="21"/>
                <w:szCs w:val="21"/>
                <w:vertAlign w:val="subscript"/>
                <w14:textFill>
                  <w14:solidFill>
                    <w14:schemeClr w14:val="tx1"/>
                  </w14:solidFill>
                </w14:textFill>
              </w:rPr>
              <w:t>0</w:t>
            </w:r>
            <w:r>
              <w:rPr>
                <w:rFonts w:hint="default" w:ascii="Times New Roman" w:hAnsi="Times New Roman" w:cs="Times New Roman"/>
                <w:color w:val="000000" w:themeColor="text1"/>
                <w:kern w:val="0"/>
                <w:sz w:val="21"/>
                <w:szCs w:val="21"/>
                <w14:textFill>
                  <w14:solidFill>
                    <w14:schemeClr w14:val="tx1"/>
                  </w14:solidFill>
                </w14:textFill>
              </w:rPr>
              <w:t>）1000</w:t>
            </w: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式中：a为温度、湿度和声波频率的函数，预测计算中一般根据建设项目所处区域常年平均气温和湿度选择相应的空气吸收系数</w:t>
            </w:r>
            <w:r>
              <w:rPr>
                <w:rFonts w:hint="default" w:ascii="Times New Roman" w:hAnsi="Times New Roman" w:cs="Times New Roman"/>
                <w:color w:val="000000" w:themeColor="text1"/>
                <w:kern w:val="0"/>
                <w:sz w:val="21"/>
                <w:szCs w:val="21"/>
                <w:lang w:eastAsia="zh-CN"/>
                <w14:textFill>
                  <w14:solidFill>
                    <w14:schemeClr w14:val="tx1"/>
                  </w14:solidFill>
                </w14:textFill>
              </w:rPr>
              <w:t>，见下表</w:t>
            </w:r>
            <w:r>
              <w:rPr>
                <w:rFonts w:hint="default" w:ascii="Times New Roman" w:hAnsi="Times New Roman" w:cs="Times New Roman"/>
                <w:color w:val="000000" w:themeColor="text1"/>
                <w:kern w:val="0"/>
                <w:sz w:val="21"/>
                <w:szCs w:val="21"/>
                <w14:textFill>
                  <w14:solidFill>
                    <w14:schemeClr w14:val="tx1"/>
                  </w14:solidFill>
                </w14:textFill>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倍频带噪声的大气吸收衰减系数</w:t>
            </w:r>
          </w:p>
          <w:tbl>
            <w:tblPr>
              <w:tblStyle w:val="21"/>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81"/>
              <w:gridCol w:w="1110"/>
              <w:gridCol w:w="1059"/>
              <w:gridCol w:w="1022"/>
              <w:gridCol w:w="1115"/>
              <w:gridCol w:w="1022"/>
              <w:gridCol w:w="1024"/>
              <w:gridCol w:w="97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0"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温度</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668"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相对湿度</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w:t>
                  </w:r>
                </w:p>
              </w:tc>
              <w:tc>
                <w:tcPr>
                  <w:tcW w:w="3740" w:type="pct"/>
                  <w:gridSpan w:val="6"/>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大气吸收衰减系数a，dB/km，倍频带中心频率Hz</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0"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668"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p>
              </w:tc>
              <w:tc>
                <w:tcPr>
                  <w:tcW w:w="6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63</w:t>
                  </w:r>
                </w:p>
              </w:tc>
              <w:tc>
                <w:tcPr>
                  <w:tcW w:w="61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125</w:t>
                  </w:r>
                </w:p>
              </w:tc>
              <w:tc>
                <w:tcPr>
                  <w:tcW w:w="67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250</w:t>
                  </w:r>
                </w:p>
              </w:tc>
              <w:tc>
                <w:tcPr>
                  <w:tcW w:w="61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500</w:t>
                  </w:r>
                </w:p>
              </w:tc>
              <w:tc>
                <w:tcPr>
                  <w:tcW w:w="61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1000</w:t>
                  </w:r>
                </w:p>
              </w:tc>
              <w:tc>
                <w:tcPr>
                  <w:tcW w:w="58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2000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10</w:t>
                  </w:r>
                </w:p>
              </w:tc>
              <w:tc>
                <w:tcPr>
                  <w:tcW w:w="66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70</w:t>
                  </w:r>
                </w:p>
              </w:tc>
              <w:tc>
                <w:tcPr>
                  <w:tcW w:w="6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0.1</w:t>
                  </w:r>
                </w:p>
              </w:tc>
              <w:tc>
                <w:tcPr>
                  <w:tcW w:w="61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0.4</w:t>
                  </w:r>
                </w:p>
              </w:tc>
              <w:tc>
                <w:tcPr>
                  <w:tcW w:w="67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1.0</w:t>
                  </w:r>
                </w:p>
              </w:tc>
              <w:tc>
                <w:tcPr>
                  <w:tcW w:w="61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1.9</w:t>
                  </w:r>
                </w:p>
              </w:tc>
              <w:tc>
                <w:tcPr>
                  <w:tcW w:w="61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3.7</w:t>
                  </w:r>
                </w:p>
              </w:tc>
              <w:tc>
                <w:tcPr>
                  <w:tcW w:w="58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9.7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20</w:t>
                  </w:r>
                </w:p>
              </w:tc>
              <w:tc>
                <w:tcPr>
                  <w:tcW w:w="66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70</w:t>
                  </w:r>
                </w:p>
              </w:tc>
              <w:tc>
                <w:tcPr>
                  <w:tcW w:w="6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0.1</w:t>
                  </w:r>
                </w:p>
              </w:tc>
              <w:tc>
                <w:tcPr>
                  <w:tcW w:w="61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0.3</w:t>
                  </w:r>
                </w:p>
              </w:tc>
              <w:tc>
                <w:tcPr>
                  <w:tcW w:w="67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1.1</w:t>
                  </w:r>
                </w:p>
              </w:tc>
              <w:tc>
                <w:tcPr>
                  <w:tcW w:w="61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2.8</w:t>
                  </w:r>
                </w:p>
              </w:tc>
              <w:tc>
                <w:tcPr>
                  <w:tcW w:w="61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5.0</w:t>
                  </w:r>
                </w:p>
              </w:tc>
              <w:tc>
                <w:tcPr>
                  <w:tcW w:w="58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9.0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30</w:t>
                  </w:r>
                </w:p>
              </w:tc>
              <w:tc>
                <w:tcPr>
                  <w:tcW w:w="66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70</w:t>
                  </w:r>
                </w:p>
              </w:tc>
              <w:tc>
                <w:tcPr>
                  <w:tcW w:w="6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0.1</w:t>
                  </w:r>
                </w:p>
              </w:tc>
              <w:tc>
                <w:tcPr>
                  <w:tcW w:w="61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0.3</w:t>
                  </w:r>
                </w:p>
              </w:tc>
              <w:tc>
                <w:tcPr>
                  <w:tcW w:w="67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1.1</w:t>
                  </w:r>
                </w:p>
              </w:tc>
              <w:tc>
                <w:tcPr>
                  <w:tcW w:w="61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3.1</w:t>
                  </w:r>
                </w:p>
              </w:tc>
              <w:tc>
                <w:tcPr>
                  <w:tcW w:w="61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7.4</w:t>
                  </w:r>
                </w:p>
              </w:tc>
              <w:tc>
                <w:tcPr>
                  <w:tcW w:w="58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12.7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15</w:t>
                  </w:r>
                </w:p>
              </w:tc>
              <w:tc>
                <w:tcPr>
                  <w:tcW w:w="66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20</w:t>
                  </w:r>
                </w:p>
              </w:tc>
              <w:tc>
                <w:tcPr>
                  <w:tcW w:w="6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0.3</w:t>
                  </w:r>
                </w:p>
              </w:tc>
              <w:tc>
                <w:tcPr>
                  <w:tcW w:w="61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0.6</w:t>
                  </w:r>
                </w:p>
              </w:tc>
              <w:tc>
                <w:tcPr>
                  <w:tcW w:w="67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1.2</w:t>
                  </w:r>
                </w:p>
              </w:tc>
              <w:tc>
                <w:tcPr>
                  <w:tcW w:w="61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2.7</w:t>
                  </w:r>
                </w:p>
              </w:tc>
              <w:tc>
                <w:tcPr>
                  <w:tcW w:w="61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8.2</w:t>
                  </w:r>
                </w:p>
              </w:tc>
              <w:tc>
                <w:tcPr>
                  <w:tcW w:w="58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28.2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15</w:t>
                  </w:r>
                </w:p>
              </w:tc>
              <w:tc>
                <w:tcPr>
                  <w:tcW w:w="66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50</w:t>
                  </w:r>
                </w:p>
              </w:tc>
              <w:tc>
                <w:tcPr>
                  <w:tcW w:w="6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0.1</w:t>
                  </w:r>
                </w:p>
              </w:tc>
              <w:tc>
                <w:tcPr>
                  <w:tcW w:w="61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0.5</w:t>
                  </w:r>
                </w:p>
              </w:tc>
              <w:tc>
                <w:tcPr>
                  <w:tcW w:w="67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1.2</w:t>
                  </w:r>
                </w:p>
              </w:tc>
              <w:tc>
                <w:tcPr>
                  <w:tcW w:w="61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2.2</w:t>
                  </w:r>
                </w:p>
              </w:tc>
              <w:tc>
                <w:tcPr>
                  <w:tcW w:w="61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4.2</w:t>
                  </w:r>
                </w:p>
              </w:tc>
              <w:tc>
                <w:tcPr>
                  <w:tcW w:w="58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10.8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0"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15</w:t>
                  </w:r>
                </w:p>
              </w:tc>
              <w:tc>
                <w:tcPr>
                  <w:tcW w:w="66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80</w:t>
                  </w:r>
                </w:p>
              </w:tc>
              <w:tc>
                <w:tcPr>
                  <w:tcW w:w="63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0.1</w:t>
                  </w:r>
                </w:p>
              </w:tc>
              <w:tc>
                <w:tcPr>
                  <w:tcW w:w="61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0.3</w:t>
                  </w:r>
                </w:p>
              </w:tc>
              <w:tc>
                <w:tcPr>
                  <w:tcW w:w="67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1.1</w:t>
                  </w:r>
                </w:p>
              </w:tc>
              <w:tc>
                <w:tcPr>
                  <w:tcW w:w="61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2.4</w:t>
                  </w:r>
                </w:p>
              </w:tc>
              <w:tc>
                <w:tcPr>
                  <w:tcW w:w="61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4.1</w:t>
                  </w:r>
                </w:p>
              </w:tc>
              <w:tc>
                <w:tcPr>
                  <w:tcW w:w="58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8.3</w:t>
                  </w:r>
                </w:p>
              </w:tc>
            </w:tr>
          </w:tbl>
          <w:p>
            <w:pPr>
              <w:keepNext w:val="0"/>
              <w:keepLines w:val="0"/>
              <w:pageBreakBefore w:val="0"/>
              <w:widowControl/>
              <w:kinsoku/>
              <w:wordWrap/>
              <w:overflowPunct/>
              <w:topLinePunct w:val="0"/>
              <w:autoSpaceDE/>
              <w:autoSpaceDN/>
              <w:bidi w:val="0"/>
              <w:adjustRightInd/>
              <w:snapToGrid/>
              <w:spacing w:line="360" w:lineRule="auto"/>
              <w:ind w:firstLine="422" w:firstLineChars="200"/>
              <w:jc w:val="left"/>
              <w:textAlignment w:val="auto"/>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（4）参数选取</w:t>
            </w: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项目</w:t>
            </w:r>
            <w:r>
              <w:rPr>
                <w:rFonts w:hint="default" w:ascii="Times New Roman" w:hAnsi="Times New Roman" w:cs="Times New Roman"/>
                <w:color w:val="000000" w:themeColor="text1"/>
                <w:kern w:val="0"/>
                <w:sz w:val="21"/>
                <w:szCs w:val="21"/>
                <w:highlight w:val="none"/>
                <w:lang w:eastAsia="zh-CN"/>
                <w14:textFill>
                  <w14:solidFill>
                    <w14:schemeClr w14:val="tx1"/>
                  </w14:solidFill>
                </w14:textFill>
              </w:rPr>
              <w:t>位于新乡市新乡县小冀镇，</w:t>
            </w:r>
            <w:r>
              <w:rPr>
                <w:rFonts w:hint="default" w:ascii="Times New Roman" w:hAnsi="Times New Roman" w:cs="Times New Roman"/>
                <w:color w:val="000000" w:themeColor="text1"/>
                <w:kern w:val="0"/>
                <w:sz w:val="21"/>
                <w:szCs w:val="21"/>
                <w:highlight w:val="none"/>
                <w14:textFill>
                  <w14:solidFill>
                    <w14:schemeClr w14:val="tx1"/>
                  </w14:solidFill>
                </w14:textFill>
              </w:rPr>
              <w:t>所在区域的年平均温度为</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15.8</w:t>
            </w:r>
            <w:r>
              <w:rPr>
                <w:rFonts w:hint="default" w:ascii="Times New Roman" w:hAnsi="Times New Roman" w:cs="Times New Roman"/>
                <w:color w:val="000000" w:themeColor="text1"/>
                <w:kern w:val="0"/>
                <w:sz w:val="21"/>
                <w:szCs w:val="21"/>
                <w:highlight w:val="none"/>
                <w14:textFill>
                  <w14:solidFill>
                    <w14:schemeClr w14:val="tx1"/>
                  </w14:solidFill>
                </w14:textFill>
              </w:rPr>
              <w:t>℃，湿度为6</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8</w:t>
            </w:r>
            <w:r>
              <w:rPr>
                <w:rFonts w:hint="default" w:ascii="Times New Roman" w:hAnsi="Times New Roman" w:cs="Times New Roman"/>
                <w:color w:val="000000" w:themeColor="text1"/>
                <w:kern w:val="0"/>
                <w:sz w:val="21"/>
                <w:szCs w:val="21"/>
                <w:highlight w:val="none"/>
                <w14:textFill>
                  <w14:solidFill>
                    <w14:schemeClr w14:val="tx1"/>
                  </w14:solidFill>
                </w14:textFill>
              </w:rPr>
              <w:t>%。计算过程考虑了建筑物的屏障作用和室内源向室外的传播。</w:t>
            </w:r>
          </w:p>
          <w:p>
            <w:pPr>
              <w:pStyle w:val="2"/>
              <w:keepNext/>
              <w:keepLines w:val="0"/>
              <w:pageBreakBefore w:val="0"/>
              <w:widowControl w:val="0"/>
              <w:numPr>
                <w:ilvl w:val="0"/>
                <w:numId w:val="0"/>
              </w:numPr>
              <w:kinsoku/>
              <w:wordWrap/>
              <w:overflowPunct w:val="0"/>
              <w:topLinePunct w:val="0"/>
              <w:autoSpaceDE/>
              <w:autoSpaceDN/>
              <w:bidi w:val="0"/>
              <w:adjustRightInd/>
              <w:snapToGrid w:val="0"/>
              <w:ind w:firstLine="422" w:firstLineChars="200"/>
              <w:textAlignment w:val="auto"/>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5</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预测结果及评价</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本项目为</w:t>
            </w:r>
            <w:r>
              <w:rPr>
                <w:rFonts w:hint="eastAsia"/>
                <w:color w:val="000000" w:themeColor="text1"/>
                <w:lang w:eastAsia="zh-CN"/>
                <w14:textFill>
                  <w14:solidFill>
                    <w14:schemeClr w14:val="tx1"/>
                  </w14:solidFill>
                </w14:textFill>
              </w:rPr>
              <w:t>扩建</w:t>
            </w:r>
            <w:r>
              <w:rPr>
                <w:rFonts w:hint="default"/>
                <w:color w:val="000000" w:themeColor="text1"/>
                <w14:textFill>
                  <w14:solidFill>
                    <w14:schemeClr w14:val="tx1"/>
                  </w14:solidFill>
                </w14:textFill>
              </w:rPr>
              <w:t>项目，仅昼间进行生产，本次预测对厂界四周噪声贡献值叠加背景值。</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厂界昼间噪声预测结果</w:t>
            </w:r>
          </w:p>
          <w:tbl>
            <w:tblPr>
              <w:tblStyle w:val="21"/>
              <w:tblW w:w="499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96"/>
              <w:gridCol w:w="1506"/>
              <w:gridCol w:w="1280"/>
              <w:gridCol w:w="1280"/>
              <w:gridCol w:w="1280"/>
              <w:gridCol w:w="1624"/>
              <w:gridCol w:w="93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1136" w:type="pct"/>
                  <w:gridSpan w:val="2"/>
                  <w:vMerge w:val="restart"/>
                  <w:tcBorders>
                    <w:tl2br w:val="single" w:color="auto" w:sz="4" w:space="0"/>
                  </w:tcBorders>
                  <w:noWrap w:val="0"/>
                  <w:vAlign w:val="bottom"/>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right"/>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18"/>
                      <w:szCs w:val="18"/>
                      <w:highlight w:val="none"/>
                      <w14:textFill>
                        <w14:solidFill>
                          <w14:schemeClr w14:val="tx1"/>
                        </w14:solidFill>
                      </w14:textFill>
                    </w:rPr>
                    <w:t xml:space="preserve">  项目</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预测点位</w:t>
                  </w:r>
                </w:p>
              </w:tc>
              <w:tc>
                <w:tcPr>
                  <w:tcW w:w="772"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预测</w:t>
                  </w:r>
                  <w:r>
                    <w:rPr>
                      <w:rFonts w:hint="default" w:ascii="Times New Roman" w:hAnsi="Times New Roman" w:eastAsia="宋体" w:cs="Times New Roman"/>
                      <w:color w:val="000000" w:themeColor="text1"/>
                      <w:sz w:val="18"/>
                      <w:szCs w:val="18"/>
                      <w:highlight w:val="none"/>
                      <w14:textFill>
                        <w14:solidFill>
                          <w14:schemeClr w14:val="tx1"/>
                        </w14:solidFill>
                      </w14:textFill>
                    </w:rPr>
                    <w:t>值</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dB（A）</w:t>
                  </w:r>
                </w:p>
              </w:tc>
              <w:tc>
                <w:tcPr>
                  <w:tcW w:w="772"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背景测值</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dB（A）</w:t>
                  </w:r>
                </w:p>
              </w:tc>
              <w:tc>
                <w:tcPr>
                  <w:tcW w:w="772"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叠加值</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dB（A）</w:t>
                  </w:r>
                </w:p>
              </w:tc>
              <w:tc>
                <w:tcPr>
                  <w:tcW w:w="97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标准dB（A）</w:t>
                  </w:r>
                </w:p>
              </w:tc>
              <w:tc>
                <w:tcPr>
                  <w:tcW w:w="566"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达标</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分析</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pct"/>
                  <w:gridSpan w:val="2"/>
                  <w:vMerge w:val="continue"/>
                  <w:tcBorders>
                    <w:tl2br w:val="single" w:color="auto" w:sz="4" w:space="0"/>
                  </w:tcBorders>
                  <w:noWrap w:val="0"/>
                  <w:vAlign w:val="bottom"/>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77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77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772"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97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昼间</w:t>
                  </w:r>
                </w:p>
              </w:tc>
              <w:tc>
                <w:tcPr>
                  <w:tcW w:w="566"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7"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昼间</w:t>
                  </w:r>
                </w:p>
              </w:tc>
              <w:tc>
                <w:tcPr>
                  <w:tcW w:w="9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东厂界</w:t>
                  </w:r>
                </w:p>
              </w:tc>
              <w:tc>
                <w:tcPr>
                  <w:tcW w:w="77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eastAsia" w:cs="Times New Roman"/>
                      <w:color w:val="000000" w:themeColor="text1"/>
                      <w:sz w:val="18"/>
                      <w:szCs w:val="18"/>
                      <w:highlight w:val="none"/>
                      <w:lang w:val="en-US" w:eastAsia="zh-CN" w:bidi="ar-SA"/>
                      <w14:textFill>
                        <w14:solidFill>
                          <w14:schemeClr w14:val="tx1"/>
                        </w14:solidFill>
                      </w14:textFill>
                    </w:rPr>
                    <w:t>31.4</w:t>
                  </w:r>
                </w:p>
              </w:tc>
              <w:tc>
                <w:tcPr>
                  <w:tcW w:w="77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54</w:t>
                  </w:r>
                </w:p>
              </w:tc>
              <w:tc>
                <w:tcPr>
                  <w:tcW w:w="77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54</w:t>
                  </w:r>
                </w:p>
              </w:tc>
              <w:tc>
                <w:tcPr>
                  <w:tcW w:w="97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60</w:t>
                  </w:r>
                </w:p>
              </w:tc>
              <w:tc>
                <w:tcPr>
                  <w:tcW w:w="56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7"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p>
              </w:tc>
              <w:tc>
                <w:tcPr>
                  <w:tcW w:w="9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西厂界</w:t>
                  </w:r>
                </w:p>
              </w:tc>
              <w:tc>
                <w:tcPr>
                  <w:tcW w:w="77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eastAsia" w:cs="Times New Roman"/>
                      <w:color w:val="000000" w:themeColor="text1"/>
                      <w:sz w:val="18"/>
                      <w:szCs w:val="18"/>
                      <w:highlight w:val="none"/>
                      <w:lang w:val="en-US" w:eastAsia="zh-CN" w:bidi="ar-SA"/>
                      <w14:textFill>
                        <w14:solidFill>
                          <w14:schemeClr w14:val="tx1"/>
                        </w14:solidFill>
                      </w14:textFill>
                    </w:rPr>
                    <w:t>39.6</w:t>
                  </w:r>
                </w:p>
              </w:tc>
              <w:tc>
                <w:tcPr>
                  <w:tcW w:w="77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52</w:t>
                  </w:r>
                </w:p>
              </w:tc>
              <w:tc>
                <w:tcPr>
                  <w:tcW w:w="77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52.2</w:t>
                  </w:r>
                </w:p>
              </w:tc>
              <w:tc>
                <w:tcPr>
                  <w:tcW w:w="97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60</w:t>
                  </w:r>
                </w:p>
              </w:tc>
              <w:tc>
                <w:tcPr>
                  <w:tcW w:w="56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227"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p>
              </w:tc>
              <w:tc>
                <w:tcPr>
                  <w:tcW w:w="9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南厂界</w:t>
                  </w:r>
                </w:p>
              </w:tc>
              <w:tc>
                <w:tcPr>
                  <w:tcW w:w="77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eastAsia" w:cs="Times New Roman"/>
                      <w:color w:val="000000" w:themeColor="text1"/>
                      <w:sz w:val="18"/>
                      <w:szCs w:val="18"/>
                      <w:highlight w:val="none"/>
                      <w:lang w:val="en-US" w:eastAsia="zh-CN" w:bidi="ar-SA"/>
                      <w14:textFill>
                        <w14:solidFill>
                          <w14:schemeClr w14:val="tx1"/>
                        </w14:solidFill>
                      </w14:textFill>
                    </w:rPr>
                    <w:t>28.1</w:t>
                  </w:r>
                </w:p>
              </w:tc>
              <w:tc>
                <w:tcPr>
                  <w:tcW w:w="77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53</w:t>
                  </w:r>
                </w:p>
              </w:tc>
              <w:tc>
                <w:tcPr>
                  <w:tcW w:w="77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53</w:t>
                  </w:r>
                </w:p>
              </w:tc>
              <w:tc>
                <w:tcPr>
                  <w:tcW w:w="97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60</w:t>
                  </w:r>
                </w:p>
              </w:tc>
              <w:tc>
                <w:tcPr>
                  <w:tcW w:w="56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达标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227"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p>
              </w:tc>
              <w:tc>
                <w:tcPr>
                  <w:tcW w:w="90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北厂界</w:t>
                  </w:r>
                </w:p>
              </w:tc>
              <w:tc>
                <w:tcPr>
                  <w:tcW w:w="77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eastAsia" w:cs="Times New Roman"/>
                      <w:color w:val="000000" w:themeColor="text1"/>
                      <w:sz w:val="18"/>
                      <w:szCs w:val="18"/>
                      <w:highlight w:val="none"/>
                      <w:lang w:val="en-US" w:eastAsia="zh-CN" w:bidi="ar-SA"/>
                      <w14:textFill>
                        <w14:solidFill>
                          <w14:schemeClr w14:val="tx1"/>
                        </w14:solidFill>
                      </w14:textFill>
                    </w:rPr>
                    <w:t>54.7</w:t>
                  </w:r>
                </w:p>
              </w:tc>
              <w:tc>
                <w:tcPr>
                  <w:tcW w:w="77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52</w:t>
                  </w:r>
                </w:p>
              </w:tc>
              <w:tc>
                <w:tcPr>
                  <w:tcW w:w="77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56.6</w:t>
                  </w:r>
                </w:p>
              </w:tc>
              <w:tc>
                <w:tcPr>
                  <w:tcW w:w="97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60</w:t>
                  </w:r>
                </w:p>
              </w:tc>
              <w:tc>
                <w:tcPr>
                  <w:tcW w:w="56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达标</w:t>
                  </w:r>
                </w:p>
              </w:tc>
            </w:tr>
          </w:tbl>
          <w:p>
            <w:pPr>
              <w:autoSpaceDE w:val="0"/>
              <w:autoSpaceDN w:val="0"/>
              <w:adjustRightInd w:val="0"/>
              <w:snapToGrid w:val="0"/>
              <w:spacing w:line="360" w:lineRule="auto"/>
              <w:ind w:firstLine="420" w:firstLineChars="200"/>
              <w:rPr>
                <w:rFonts w:hint="eastAsia"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项目产生的噪声经加装减振基础、再经建筑物隔音、距离衰减后，运营期间厂界噪声昼间预测值均能满足《工业企业厂界环境噪声排放标准》（GB12348-2008）</w:t>
            </w:r>
            <w:r>
              <w:rPr>
                <w:rFonts w:hint="default" w:ascii="Times New Roman" w:hAnsi="Times New Roman" w:cs="Times New Roman"/>
                <w:color w:val="000000" w:themeColor="text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Cs w:val="21"/>
                <w:highlight w:val="none"/>
                <w14:textFill>
                  <w14:solidFill>
                    <w14:schemeClr w14:val="tx1"/>
                  </w14:solidFill>
                </w14:textFill>
              </w:rPr>
              <w:t>类标准要求</w:t>
            </w:r>
            <w:r>
              <w:rPr>
                <w:rFonts w:hint="eastAsia" w:cs="Times New Roman"/>
                <w:color w:val="000000" w:themeColor="text1"/>
                <w:szCs w:val="21"/>
                <w:highlight w:val="none"/>
                <w:lang w:eastAsia="zh-CN"/>
                <w14:textFill>
                  <w14:solidFill>
                    <w14:schemeClr w14:val="tx1"/>
                  </w14:solidFill>
                </w14:textFill>
              </w:rPr>
              <w:t>。</w:t>
            </w:r>
          </w:p>
          <w:p>
            <w:pPr>
              <w:autoSpaceDE w:val="0"/>
              <w:autoSpaceDN w:val="0"/>
              <w:adjustRightInd w:val="0"/>
              <w:snapToGri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项目周边</w:t>
            </w:r>
            <w:r>
              <w:rPr>
                <w:rFonts w:hint="default" w:ascii="Times New Roman" w:hAnsi="Times New Roman" w:cs="Times New Roman"/>
                <w:color w:val="000000" w:themeColor="text1"/>
                <w:szCs w:val="21"/>
                <w:highlight w:val="none"/>
                <w:lang w:val="en-US" w:eastAsia="zh-CN"/>
                <w14:textFill>
                  <w14:solidFill>
                    <w14:schemeClr w14:val="tx1"/>
                  </w14:solidFill>
                </w14:textFill>
              </w:rPr>
              <w:t>50</w:t>
            </w:r>
            <w:r>
              <w:rPr>
                <w:rFonts w:hint="default" w:ascii="Times New Roman" w:hAnsi="Times New Roman" w:cs="Times New Roman"/>
                <w:color w:val="000000" w:themeColor="text1"/>
                <w:szCs w:val="21"/>
                <w:highlight w:val="none"/>
                <w14:textFill>
                  <w14:solidFill>
                    <w14:schemeClr w14:val="tx1"/>
                  </w14:solidFill>
                </w14:textFill>
              </w:rPr>
              <w:t>m范围内</w:t>
            </w:r>
            <w:r>
              <w:rPr>
                <w:rFonts w:hint="eastAsia" w:cs="Times New Roman"/>
                <w:color w:val="000000" w:themeColor="text1"/>
                <w:szCs w:val="21"/>
                <w:highlight w:val="none"/>
                <w:lang w:eastAsia="zh-CN"/>
                <w14:textFill>
                  <w14:solidFill>
                    <w14:schemeClr w14:val="tx1"/>
                  </w14:solidFill>
                </w14:textFill>
              </w:rPr>
              <w:t>存在敏感目标，为项目南侧</w:t>
            </w:r>
            <w:r>
              <w:rPr>
                <w:rFonts w:hint="eastAsia" w:cs="Times New Roman"/>
                <w:color w:val="000000" w:themeColor="text1"/>
                <w:szCs w:val="21"/>
                <w:highlight w:val="none"/>
                <w:lang w:val="en-US" w:eastAsia="zh-CN"/>
                <w14:textFill>
                  <w14:solidFill>
                    <w14:schemeClr w14:val="tx1"/>
                  </w14:solidFill>
                </w14:textFill>
              </w:rPr>
              <w:t>50m西街村</w:t>
            </w:r>
            <w:r>
              <w:rPr>
                <w:rFonts w:hint="eastAsia"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为进一步降低项目生产过程中产生的噪声对周围环境敏感点的影响，评价要求企业规范日产生产，合理安排生产时间，将高噪声加工工序尽量安排再昼间加工，通过采取上述措施，再经距离衰减后，项目噪声对周围敏感点贡献值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周围敏感点噪声预测结果一览表</w:t>
            </w:r>
          </w:p>
          <w:tbl>
            <w:tblPr>
              <w:tblStyle w:val="21"/>
              <w:tblpPr w:leftFromText="180" w:rightFromText="180" w:vertAnchor="text" w:tblpX="1" w:tblpY="1"/>
              <w:tblOverlap w:val="never"/>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34"/>
              <w:gridCol w:w="1252"/>
              <w:gridCol w:w="968"/>
              <w:gridCol w:w="761"/>
              <w:gridCol w:w="765"/>
              <w:gridCol w:w="761"/>
              <w:gridCol w:w="765"/>
              <w:gridCol w:w="210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2" w:type="pct"/>
                  <w:vMerge w:val="restar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源强</w:t>
                  </w:r>
                </w:p>
              </w:tc>
              <w:tc>
                <w:tcPr>
                  <w:tcW w:w="753" w:type="pct"/>
                  <w:vMerge w:val="restar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监测点</w:t>
                  </w:r>
                </w:p>
              </w:tc>
              <w:tc>
                <w:tcPr>
                  <w:tcW w:w="582" w:type="pct"/>
                  <w:vMerge w:val="restar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贡献值</w:t>
                  </w:r>
                </w:p>
              </w:tc>
              <w:tc>
                <w:tcPr>
                  <w:tcW w:w="918"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背景值dB（A）</w:t>
                  </w:r>
                </w:p>
              </w:tc>
              <w:tc>
                <w:tcPr>
                  <w:tcW w:w="918"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预测值dB（A）</w:t>
                  </w:r>
                </w:p>
              </w:tc>
              <w:tc>
                <w:tcPr>
                  <w:tcW w:w="1264" w:type="pct"/>
                  <w:vMerge w:val="restar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标准值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2" w:type="pct"/>
                  <w:vMerge w:val="continue"/>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753" w:type="pct"/>
                  <w:vMerge w:val="continue"/>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582" w:type="pct"/>
                  <w:vMerge w:val="continue"/>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45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昼间</w:t>
                  </w:r>
                </w:p>
              </w:tc>
              <w:tc>
                <w:tcPr>
                  <w:tcW w:w="45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夜间</w:t>
                  </w:r>
                </w:p>
              </w:tc>
              <w:tc>
                <w:tcPr>
                  <w:tcW w:w="45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昼间</w:t>
                  </w:r>
                </w:p>
              </w:tc>
              <w:tc>
                <w:tcPr>
                  <w:tcW w:w="45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夜间</w:t>
                  </w:r>
                </w:p>
              </w:tc>
              <w:tc>
                <w:tcPr>
                  <w:tcW w:w="1264" w:type="pct"/>
                  <w:vMerge w:val="continue"/>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2" w:type="pct"/>
                  <w:noWrap w:val="0"/>
                  <w:vAlign w:val="center"/>
                </w:tcPr>
                <w:p>
                  <w:pPr>
                    <w:pStyle w:val="26"/>
                    <w:keepNext w:val="0"/>
                    <w:keepLines w:val="0"/>
                    <w:pageBreakBefore w:val="0"/>
                    <w:widowControl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机械设备噪声</w:t>
                  </w:r>
                </w:p>
              </w:tc>
              <w:tc>
                <w:tcPr>
                  <w:tcW w:w="753" w:type="pct"/>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南侧西街村（S，50m）</w:t>
                  </w:r>
                </w:p>
              </w:tc>
              <w:tc>
                <w:tcPr>
                  <w:tcW w:w="58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outlineLvl w:val="9"/>
                    <w:rPr>
                      <w:rFonts w:hint="default" w:ascii="Times New Roman" w:hAnsi="Times New Roman" w:cs="Times New Roman" w:eastAsiaTheme="majorEastAsia"/>
                      <w:bCs/>
                      <w:color w:val="000000" w:themeColor="text1"/>
                      <w:sz w:val="18"/>
                      <w:szCs w:val="18"/>
                      <w:highlight w:val="none"/>
                      <w:lang w:val="en-US" w:eastAsia="zh-CN" w:bidi="ar-SA"/>
                      <w14:textFill>
                        <w14:solidFill>
                          <w14:schemeClr w14:val="tx1"/>
                        </w14:solidFill>
                      </w14:textFill>
                    </w:rPr>
                  </w:pPr>
                  <w:r>
                    <w:rPr>
                      <w:rFonts w:hint="eastAsia" w:cs="Times New Roman" w:eastAsiaTheme="majorEastAsia"/>
                      <w:bCs/>
                      <w:color w:val="000000" w:themeColor="text1"/>
                      <w:sz w:val="18"/>
                      <w:szCs w:val="18"/>
                      <w:highlight w:val="none"/>
                      <w:lang w:val="en-US" w:eastAsia="zh-CN" w:bidi="ar-SA"/>
                      <w14:textFill>
                        <w14:solidFill>
                          <w14:schemeClr w14:val="tx1"/>
                        </w14:solidFill>
                      </w14:textFill>
                    </w:rPr>
                    <w:t>23.5</w:t>
                  </w:r>
                </w:p>
              </w:tc>
              <w:tc>
                <w:tcPr>
                  <w:tcW w:w="45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outlineLvl w:val="9"/>
                    <w:rPr>
                      <w:rFonts w:hint="default" w:ascii="Times New Roman" w:hAnsi="Times New Roman" w:cs="Times New Roman" w:eastAsiaTheme="majorEastAsia"/>
                      <w:bCs/>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eastAsiaTheme="majorEastAsia"/>
                      <w:bCs/>
                      <w:color w:val="000000" w:themeColor="text1"/>
                      <w:sz w:val="18"/>
                      <w:szCs w:val="18"/>
                      <w:highlight w:val="none"/>
                      <w:lang w:val="en-US" w:eastAsia="zh-CN" w:bidi="ar-SA"/>
                      <w14:textFill>
                        <w14:solidFill>
                          <w14:schemeClr w14:val="tx1"/>
                        </w14:solidFill>
                      </w14:textFill>
                    </w:rPr>
                    <w:t>51</w:t>
                  </w:r>
                </w:p>
              </w:tc>
              <w:tc>
                <w:tcPr>
                  <w:tcW w:w="45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outlineLvl w:val="9"/>
                    <w:rPr>
                      <w:rFonts w:hint="default" w:ascii="Times New Roman" w:hAnsi="Times New Roman" w:cs="Times New Roman" w:eastAsiaTheme="majorEastAsia"/>
                      <w:bCs/>
                      <w:color w:val="000000" w:themeColor="text1"/>
                      <w:sz w:val="18"/>
                      <w:szCs w:val="18"/>
                      <w:highlight w:val="none"/>
                      <w:lang w:val="en-US" w:eastAsia="zh-CN" w:bidi="ar-SA"/>
                      <w14:textFill>
                        <w14:solidFill>
                          <w14:schemeClr w14:val="tx1"/>
                        </w14:solidFill>
                      </w14:textFill>
                    </w:rPr>
                  </w:pPr>
                  <w:r>
                    <w:rPr>
                      <w:rFonts w:hint="default" w:ascii="Times New Roman" w:hAnsi="Times New Roman" w:cs="Times New Roman" w:eastAsiaTheme="majorEastAsia"/>
                      <w:bCs/>
                      <w:color w:val="000000" w:themeColor="text1"/>
                      <w:sz w:val="18"/>
                      <w:szCs w:val="18"/>
                      <w:highlight w:val="none"/>
                      <w:lang w:val="en-US" w:eastAsia="zh-CN" w:bidi="ar-SA"/>
                      <w14:textFill>
                        <w14:solidFill>
                          <w14:schemeClr w14:val="tx1"/>
                        </w14:solidFill>
                      </w14:textFill>
                    </w:rPr>
                    <w:t>41</w:t>
                  </w:r>
                </w:p>
              </w:tc>
              <w:tc>
                <w:tcPr>
                  <w:tcW w:w="458" w:type="pct"/>
                  <w:noWrap w:val="0"/>
                  <w:vAlign w:val="center"/>
                </w:tcPr>
                <w:p>
                  <w:pPr>
                    <w:keepNext w:val="0"/>
                    <w:keepLines w:val="0"/>
                    <w:pageBreakBefore w:val="0"/>
                    <w:widowControl/>
                    <w:suppressLineNumbers w:val="0"/>
                    <w:kinsoku/>
                    <w:overflowPunct/>
                    <w:topLinePunct w:val="0"/>
                    <w:bidi w:val="0"/>
                    <w:adjustRightInd/>
                    <w:snapToGrid/>
                    <w:spacing w:line="320" w:lineRule="exact"/>
                    <w:ind w:firstLine="0" w:firstLineChars="0"/>
                    <w:jc w:val="center"/>
                    <w:textAlignment w:val="cente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eastAsia" w:cs="Times New Roman" w:eastAsiaTheme="minorEastAsia"/>
                      <w:color w:val="000000" w:themeColor="text1"/>
                      <w:sz w:val="18"/>
                      <w:szCs w:val="18"/>
                      <w:highlight w:val="none"/>
                      <w:lang w:val="en-US" w:eastAsia="zh-CN"/>
                      <w14:textFill>
                        <w14:solidFill>
                          <w14:schemeClr w14:val="tx1"/>
                        </w14:solidFill>
                      </w14:textFill>
                    </w:rPr>
                    <w:t>51</w:t>
                  </w:r>
                </w:p>
              </w:tc>
              <w:tc>
                <w:tcPr>
                  <w:tcW w:w="460" w:type="pct"/>
                  <w:noWrap w:val="0"/>
                  <w:vAlign w:val="center"/>
                </w:tcPr>
                <w:p>
                  <w:pPr>
                    <w:keepNext w:val="0"/>
                    <w:keepLines w:val="0"/>
                    <w:pageBreakBefore w:val="0"/>
                    <w:widowControl/>
                    <w:suppressLineNumbers w:val="0"/>
                    <w:kinsoku/>
                    <w:overflowPunct/>
                    <w:topLinePunct w:val="0"/>
                    <w:bidi w:val="0"/>
                    <w:adjustRightInd/>
                    <w:snapToGrid/>
                    <w:spacing w:line="320" w:lineRule="exact"/>
                    <w:ind w:firstLine="0" w:firstLineChars="0"/>
                    <w:jc w:val="center"/>
                    <w:textAlignment w:val="cente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eastAsia" w:cs="Times New Roman" w:eastAsiaTheme="minorEastAsia"/>
                      <w:color w:val="000000" w:themeColor="text1"/>
                      <w:sz w:val="18"/>
                      <w:szCs w:val="18"/>
                      <w:highlight w:val="none"/>
                      <w:lang w:val="en-US" w:eastAsia="zh-CN"/>
                      <w14:textFill>
                        <w14:solidFill>
                          <w14:schemeClr w14:val="tx1"/>
                        </w14:solidFill>
                      </w14:textFill>
                    </w:rPr>
                    <w:t>41.1</w:t>
                  </w:r>
                </w:p>
              </w:tc>
              <w:tc>
                <w:tcPr>
                  <w:tcW w:w="1264" w:type="pct"/>
                  <w:noWrap w:val="0"/>
                  <w:vAlign w:val="center"/>
                </w:tcPr>
                <w:p>
                  <w:pPr>
                    <w:pStyle w:val="26"/>
                    <w:keepNext w:val="0"/>
                    <w:keepLines w:val="0"/>
                    <w:pageBreakBefore w:val="0"/>
                    <w:widowControl w:val="0"/>
                    <w:kinsoku/>
                    <w:wordWrap w:val="0"/>
                    <w:overflowPunct/>
                    <w:topLinePunct w:val="0"/>
                    <w:autoSpaceDE w:val="0"/>
                    <w:autoSpaceDN w:val="0"/>
                    <w:bidi w:val="0"/>
                    <w:adjustRightInd/>
                    <w:snapToGrid/>
                    <w:spacing w:line="320" w:lineRule="exact"/>
                    <w:ind w:firstLine="0" w:firstLineChars="0"/>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（昼间≤60dB（A）</w:t>
                  </w: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，夜间</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5</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0dB（A））</w:t>
                  </w:r>
                </w:p>
              </w:tc>
            </w:tr>
          </w:tbl>
          <w:p>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lang w:eastAsia="zh-CN"/>
                <w14:textFill>
                  <w14:solidFill>
                    <w14:schemeClr w14:val="tx1"/>
                  </w14:solidFill>
                </w14:textFill>
              </w:rPr>
              <w:t>由上表</w:t>
            </w:r>
            <w:r>
              <w:rPr>
                <w:rFonts w:hint="default" w:ascii="Times New Roman" w:hAnsi="Times New Roman" w:cs="Times New Roman"/>
                <w:color w:val="000000" w:themeColor="text1"/>
                <w:szCs w:val="21"/>
                <w:highlight w:val="none"/>
                <w:lang w:val="en-US" w:eastAsia="zh-CN"/>
                <w14:textFill>
                  <w14:solidFill>
                    <w14:schemeClr w14:val="tx1"/>
                  </w14:solidFill>
                </w14:textFill>
              </w:rPr>
              <w:t>可知</w:t>
            </w:r>
            <w:r>
              <w:rPr>
                <w:rFonts w:hint="default" w:ascii="Times New Roman" w:hAnsi="Times New Roman"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项目产生的噪声经加装减振基础、再经建筑物隔音、距离衰减后，运营期间厂界噪声昼间预测值均能满足《工业企业厂界环境噪声排放标准》（GB12348-2008）</w:t>
            </w:r>
            <w:r>
              <w:rPr>
                <w:rFonts w:hint="default" w:ascii="Times New Roman" w:hAnsi="Times New Roman" w:cs="Times New Roman"/>
                <w:color w:val="000000" w:themeColor="text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Cs w:val="21"/>
                <w:highlight w:val="none"/>
                <w14:textFill>
                  <w14:solidFill>
                    <w14:schemeClr w14:val="tx1"/>
                  </w14:solidFill>
                </w14:textFill>
              </w:rPr>
              <w:t>类标准要求</w:t>
            </w:r>
            <w:r>
              <w:rPr>
                <w:rFonts w:hint="default" w:ascii="Times New Roman" w:hAnsi="Times New Roman"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昼间≤60dB（A）</w:t>
            </w:r>
            <w:r>
              <w:rPr>
                <w:rFonts w:hint="default" w:ascii="Times New Roman" w:hAnsi="Times New Roman" w:cs="Times New Roman"/>
                <w:color w:val="000000" w:themeColor="text1"/>
                <w:szCs w:val="21"/>
                <w:highlight w:val="none"/>
                <w:lang w:eastAsia="zh-CN"/>
                <w14:textFill>
                  <w14:solidFill>
                    <w14:schemeClr w14:val="tx1"/>
                  </w14:solidFill>
                </w14:textFill>
              </w:rPr>
              <w:t>，夜间</w:t>
            </w:r>
            <w:r>
              <w:rPr>
                <w:rFonts w:hint="default" w:ascii="Times New Roman" w:hAnsi="Times New Roman" w:cs="Times New Roman"/>
                <w:color w:val="000000" w:themeColor="text1"/>
                <w:szCs w:val="21"/>
                <w:highlight w:val="none"/>
                <w14:textFill>
                  <w14:solidFill>
                    <w14:schemeClr w14:val="tx1"/>
                  </w14:solidFill>
                </w14:textFill>
              </w:rPr>
              <w:t>≤</w:t>
            </w:r>
            <w:r>
              <w:rPr>
                <w:rFonts w:hint="default" w:ascii="Times New Roman" w:hAnsi="Times New Roman" w:cs="Times New Roman"/>
                <w:color w:val="000000" w:themeColor="text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Cs w:val="21"/>
                <w:highlight w:val="none"/>
                <w14:textFill>
                  <w14:solidFill>
                    <w14:schemeClr w14:val="tx1"/>
                  </w14:solidFill>
                </w14:textFill>
              </w:rPr>
              <w:t>0dB（A）</w:t>
            </w:r>
            <w:r>
              <w:rPr>
                <w:rFonts w:hint="default" w:ascii="Times New Roman" w:hAnsi="Times New Roman"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w:t>
            </w:r>
            <w:r>
              <w:rPr>
                <w:rFonts w:hint="default" w:ascii="Times New Roman" w:hAnsi="Times New Roman" w:cs="Times New Roman"/>
                <w:color w:val="000000" w:themeColor="text1"/>
                <w:szCs w:val="21"/>
                <w:highlight w:val="none"/>
                <w:lang w:eastAsia="zh-CN"/>
                <w14:textFill>
                  <w14:solidFill>
                    <w14:schemeClr w14:val="tx1"/>
                  </w14:solidFill>
                </w14:textFill>
              </w:rPr>
              <w:t>由上表</w:t>
            </w:r>
            <w:r>
              <w:rPr>
                <w:rFonts w:hint="default" w:ascii="Times New Roman" w:hAnsi="Times New Roman" w:cs="Times New Roman"/>
                <w:color w:val="000000" w:themeColor="text1"/>
                <w:szCs w:val="21"/>
                <w:highlight w:val="none"/>
                <w:lang w:val="en-US" w:eastAsia="zh-CN"/>
                <w14:textFill>
                  <w14:solidFill>
                    <w14:schemeClr w14:val="tx1"/>
                  </w14:solidFill>
                </w14:textFill>
              </w:rPr>
              <w:t>可知</w:t>
            </w:r>
            <w:r>
              <w:rPr>
                <w:rFonts w:hint="default" w:ascii="Times New Roman" w:hAnsi="Times New Roman"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工程噪声对敏感点处贡献值均较小，</w:t>
            </w:r>
            <w:r>
              <w:rPr>
                <w:rFonts w:hint="default" w:ascii="Times New Roman" w:hAnsi="Times New Roman" w:cs="Times New Roman"/>
                <w:color w:val="000000" w:themeColor="text1"/>
                <w:szCs w:val="21"/>
                <w:highlight w:val="none"/>
                <w:lang w:eastAsia="zh-CN"/>
                <w14:textFill>
                  <w14:solidFill>
                    <w14:schemeClr w14:val="tx1"/>
                  </w14:solidFill>
                </w14:textFill>
              </w:rPr>
              <w:t>经预测敏感点处噪声</w:t>
            </w:r>
            <w:r>
              <w:rPr>
                <w:rFonts w:hint="default" w:ascii="Times New Roman" w:hAnsi="Times New Roman" w:cs="Times New Roman"/>
                <w:color w:val="000000" w:themeColor="text1"/>
                <w:szCs w:val="21"/>
                <w:highlight w:val="none"/>
                <w14:textFill>
                  <w14:solidFill>
                    <w14:schemeClr w14:val="tx1"/>
                  </w14:solidFill>
                </w14:textFill>
              </w:rPr>
              <w:t>能够满足《声环境质量标准》（GB3096-2008）2类标准（昼间≤60dB（A）</w:t>
            </w:r>
            <w:r>
              <w:rPr>
                <w:rFonts w:hint="default" w:ascii="Times New Roman" w:hAnsi="Times New Roman" w:cs="Times New Roman"/>
                <w:color w:val="000000" w:themeColor="text1"/>
                <w:szCs w:val="21"/>
                <w:highlight w:val="none"/>
                <w:lang w:eastAsia="zh-CN"/>
                <w14:textFill>
                  <w14:solidFill>
                    <w14:schemeClr w14:val="tx1"/>
                  </w14:solidFill>
                </w14:textFill>
              </w:rPr>
              <w:t>，夜间</w:t>
            </w:r>
            <w:r>
              <w:rPr>
                <w:rFonts w:hint="default" w:ascii="Times New Roman" w:hAnsi="Times New Roman" w:cs="Times New Roman"/>
                <w:color w:val="000000" w:themeColor="text1"/>
                <w:szCs w:val="21"/>
                <w:highlight w:val="none"/>
                <w14:textFill>
                  <w14:solidFill>
                    <w14:schemeClr w14:val="tx1"/>
                  </w14:solidFill>
                </w14:textFill>
              </w:rPr>
              <w:t>≤</w:t>
            </w:r>
            <w:r>
              <w:rPr>
                <w:rFonts w:hint="default" w:ascii="Times New Roman" w:hAnsi="Times New Roman" w:cs="Times New Roman"/>
                <w:color w:val="000000" w:themeColor="text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Cs w:val="21"/>
                <w:highlight w:val="none"/>
                <w14:textFill>
                  <w14:solidFill>
                    <w14:schemeClr w14:val="tx1"/>
                  </w14:solidFill>
                </w14:textFill>
              </w:rPr>
              <w:t>0dB（A））。</w:t>
            </w:r>
          </w:p>
          <w:p>
            <w:pPr>
              <w:pStyle w:val="2"/>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6</w:t>
            </w:r>
            <w:r>
              <w:rPr>
                <w:rFonts w:hint="default" w:ascii="Times New Roman" w:hAnsi="Times New Roman" w:cs="Times New Roman"/>
                <w:color w:val="000000" w:themeColor="text1"/>
                <w14:textFill>
                  <w14:solidFill>
                    <w14:schemeClr w14:val="tx1"/>
                  </w14:solidFill>
                </w14:textFill>
              </w:rPr>
              <w:t>）监测计划</w:t>
            </w:r>
          </w:p>
          <w:p>
            <w:pPr>
              <w:pStyle w:val="3"/>
              <w:keepNext w:val="0"/>
              <w:keepLines w:val="0"/>
              <w:pageBreakBefore w:val="0"/>
              <w:widowControl w:val="0"/>
              <w:numPr>
                <w:ilvl w:val="2"/>
                <w:numId w:val="0"/>
              </w:numPr>
              <w:kinsoku/>
              <w:wordWrap/>
              <w:overflowPunct/>
              <w:topLinePunct w:val="0"/>
              <w:autoSpaceDE/>
              <w:autoSpaceDN/>
              <w:bidi w:val="0"/>
              <w:adjustRightInd/>
              <w:snapToGrid/>
              <w:spacing w:before="0" w:after="0" w:line="360" w:lineRule="auto"/>
              <w:ind w:right="0" w:rightChars="0" w:firstLine="420" w:firstLineChars="200"/>
              <w:textAlignment w:val="auto"/>
              <w:rPr>
                <w:rFonts w:hint="default" w:ascii="Times New Roman" w:hAnsi="Times New Roman" w:cs="Times New Roman"/>
                <w:b w:val="0"/>
                <w:bCs/>
                <w:color w:val="000000" w:themeColor="text1"/>
                <w:spacing w:val="-4"/>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eastAsia="zh-CN"/>
                <w14:textFill>
                  <w14:solidFill>
                    <w14:schemeClr w14:val="tx1"/>
                  </w14:solidFill>
                </w14:textFill>
              </w:rPr>
              <w:t>参考</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t>排污</w:t>
            </w:r>
            <w:r>
              <w:rPr>
                <w:rFonts w:hint="default" w:ascii="Times New Roman" w:hAnsi="Times New Roman" w:cs="Times New Roman"/>
                <w:b w:val="0"/>
                <w:bCs w:val="0"/>
                <w:color w:val="000000" w:themeColor="text1"/>
                <w:kern w:val="0"/>
                <w:sz w:val="21"/>
                <w:szCs w:val="21"/>
                <w:highlight w:val="none"/>
                <w:lang w:eastAsia="zh-CN"/>
                <w14:textFill>
                  <w14:solidFill>
                    <w14:schemeClr w14:val="tx1"/>
                  </w14:solidFill>
                </w14:textFill>
              </w:rPr>
              <w:t>单位自行监测技术指南</w:t>
            </w:r>
            <w: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t xml:space="preserve"> </w:t>
            </w:r>
            <w:r>
              <w:rPr>
                <w:rFonts w:hint="default" w:ascii="Times New Roman" w:hAnsi="Times New Roman" w:cs="Times New Roman"/>
                <w:b w:val="0"/>
                <w:bCs w:val="0"/>
                <w:color w:val="000000" w:themeColor="text1"/>
                <w:kern w:val="0"/>
                <w:sz w:val="21"/>
                <w:szCs w:val="21"/>
                <w:highlight w:val="none"/>
                <w:lang w:eastAsia="zh-CN"/>
                <w14:textFill>
                  <w14:solidFill>
                    <w14:schemeClr w14:val="tx1"/>
                  </w14:solidFill>
                </w14:textFill>
              </w:rPr>
              <w:t>总则</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》（HJ</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819</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-20</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17</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vertAlign w:val="baseline"/>
                <w:lang w:eastAsia="zh-CN"/>
                <w14:textFill>
                  <w14:solidFill>
                    <w14:schemeClr w14:val="tx1"/>
                  </w14:solidFill>
                </w14:textFill>
              </w:rPr>
              <w:t>相关要求，</w:t>
            </w:r>
            <w:r>
              <w:rPr>
                <w:rFonts w:hint="default" w:ascii="Times New Roman" w:hAnsi="Times New Roman" w:cs="Times New Roman"/>
                <w:b w:val="0"/>
                <w:bCs/>
                <w:color w:val="000000" w:themeColor="text1"/>
                <w:spacing w:val="-4"/>
                <w:sz w:val="21"/>
                <w:szCs w:val="21"/>
                <w:highlight w:val="none"/>
                <w:lang w:eastAsia="zh-CN"/>
                <w14:textFill>
                  <w14:solidFill>
                    <w14:schemeClr w14:val="tx1"/>
                  </w14:solidFill>
                </w14:textFill>
              </w:rPr>
              <w:t>项目噪声监测要求如下：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噪声监测计划表</w:t>
            </w:r>
          </w:p>
          <w:tbl>
            <w:tblPr>
              <w:tblStyle w:val="21"/>
              <w:tblW w:w="4995"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70"/>
              <w:gridCol w:w="1111"/>
              <w:gridCol w:w="1886"/>
              <w:gridCol w:w="1128"/>
              <w:gridCol w:w="320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84"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监测内容</w:t>
                  </w:r>
                </w:p>
              </w:tc>
              <w:tc>
                <w:tcPr>
                  <w:tcW w:w="669"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监测</w:t>
                  </w: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项目</w:t>
                  </w:r>
                </w:p>
              </w:tc>
              <w:tc>
                <w:tcPr>
                  <w:tcW w:w="1136"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监测点位</w:t>
                  </w:r>
                </w:p>
              </w:tc>
              <w:tc>
                <w:tcPr>
                  <w:tcW w:w="679"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eastAsia="zh-CN"/>
                      <w14:textFill>
                        <w14:solidFill>
                          <w14:schemeClr w14:val="tx1"/>
                        </w14:solidFill>
                      </w14:textFill>
                    </w:rPr>
                    <w:t>监测频次</w:t>
                  </w:r>
                </w:p>
              </w:tc>
              <w:tc>
                <w:tcPr>
                  <w:tcW w:w="1930" w:type="pc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执行排放标准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84" w:type="pct"/>
                  <w:vMerge w:val="restart"/>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bCs/>
                      <w:color w:val="000000" w:themeColor="text1"/>
                      <w:sz w:val="18"/>
                      <w:szCs w:val="18"/>
                      <w:highlight w:val="none"/>
                      <w:lang w:eastAsia="zh-CN"/>
                      <w14:textFill>
                        <w14:solidFill>
                          <w14:schemeClr w14:val="tx1"/>
                        </w14:solidFill>
                      </w14:textFill>
                    </w:rPr>
                  </w:pPr>
                  <w:r>
                    <w:rPr>
                      <w:rFonts w:hint="default" w:ascii="Times New Roman" w:hAnsi="Times New Roman" w:cs="Times New Roman"/>
                      <w:bCs/>
                      <w:color w:val="000000" w:themeColor="text1"/>
                      <w:sz w:val="18"/>
                      <w:szCs w:val="18"/>
                      <w:highlight w:val="none"/>
                      <w:lang w:eastAsia="zh-CN"/>
                      <w14:textFill>
                        <w14:solidFill>
                          <w14:schemeClr w14:val="tx1"/>
                        </w14:solidFill>
                      </w14:textFill>
                    </w:rPr>
                    <w:t>噪声</w:t>
                  </w:r>
                </w:p>
              </w:tc>
              <w:tc>
                <w:tcPr>
                  <w:tcW w:w="669" w:type="pct"/>
                  <w:vMerge w:val="restart"/>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等效A声级</w:t>
                  </w:r>
                </w:p>
              </w:tc>
              <w:tc>
                <w:tcPr>
                  <w:tcW w:w="1136" w:type="pct"/>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厂界外1m处，东、西、南、北4个点位</w:t>
                  </w:r>
                </w:p>
              </w:tc>
              <w:tc>
                <w:tcPr>
                  <w:tcW w:w="679" w:type="pct"/>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1次/季度</w:t>
                  </w:r>
                </w:p>
              </w:tc>
              <w:tc>
                <w:tcPr>
                  <w:tcW w:w="1930" w:type="pct"/>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sz w:val="18"/>
                      <w:szCs w:val="18"/>
                      <w:highlight w:val="none"/>
                      <w:lang w:val="zh-CN"/>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《工业企业厂界环境噪声排放标准》（GB12348-2008）中的2类标准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84" w:type="pct"/>
                  <w:vMerge w:val="continue"/>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bCs/>
                      <w:color w:val="000000" w:themeColor="text1"/>
                      <w:sz w:val="18"/>
                      <w:szCs w:val="18"/>
                      <w:highlight w:val="none"/>
                      <w:lang w:eastAsia="zh-CN"/>
                      <w14:textFill>
                        <w14:solidFill>
                          <w14:schemeClr w14:val="tx1"/>
                        </w14:solidFill>
                      </w14:textFill>
                    </w:rPr>
                  </w:pPr>
                </w:p>
              </w:tc>
              <w:tc>
                <w:tcPr>
                  <w:tcW w:w="669" w:type="pct"/>
                  <w:vMerge w:val="continue"/>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p>
              </w:tc>
              <w:tc>
                <w:tcPr>
                  <w:tcW w:w="1136" w:type="pct"/>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南侧西街村</w:t>
                  </w:r>
                </w:p>
              </w:tc>
              <w:tc>
                <w:tcPr>
                  <w:tcW w:w="679" w:type="pct"/>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1次/季度</w:t>
                  </w:r>
                </w:p>
              </w:tc>
              <w:tc>
                <w:tcPr>
                  <w:tcW w:w="1930" w:type="pct"/>
                  <w:noWrap w:val="0"/>
                  <w:vAlign w:val="center"/>
                </w:tcPr>
                <w:p>
                  <w:pPr>
                    <w:keepNext w:val="0"/>
                    <w:keepLines w:val="0"/>
                    <w:pageBreakBefore w:val="0"/>
                    <w:widowControl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《声环境质量标准》（GB3096-2008）2类</w:t>
                  </w:r>
                </w:p>
              </w:tc>
            </w:tr>
          </w:tbl>
          <w:p>
            <w:pPr>
              <w:pStyle w:val="2"/>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固体废物</w:t>
            </w:r>
          </w:p>
          <w:p>
            <w:pPr>
              <w:pStyle w:val="2"/>
              <w:bidi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（1）固体废物污染源及治理措施</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bCs/>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kern w:val="0"/>
                <w:szCs w:val="21"/>
                <w:highlight w:val="none"/>
                <w14:textFill>
                  <w14:solidFill>
                    <w14:schemeClr w14:val="tx1"/>
                  </w14:solidFill>
                </w14:textFill>
              </w:rPr>
              <w:t>根据《建设项目危险废物环境影响评价指南》（环保部公告2017年第43号）、《固体废物鉴别标准通则》（GB34330-2017）等文件要求对拟建项目的固体废物污染源强进行分析核算。</w:t>
            </w:r>
          </w:p>
          <w:p>
            <w:pPr>
              <w:pStyle w:val="2"/>
              <w:bidi w:val="0"/>
              <w:rPr>
                <w:rFonts w:hint="default" w:ascii="Times New Roman" w:hAnsi="Times New Roman" w:cs="Times New Roman"/>
                <w:color w:val="000000" w:themeColor="text1"/>
                <w:lang w:val="de-DE" w:eastAsia="zh-CN"/>
                <w14:textFill>
                  <w14:solidFill>
                    <w14:schemeClr w14:val="tx1"/>
                  </w14:solidFill>
                </w14:textFill>
              </w:rPr>
            </w:pPr>
            <w:r>
              <w:rPr>
                <w:rFonts w:hint="default" w:ascii="Times New Roman" w:hAnsi="Times New Roman" w:cs="Times New Roman"/>
                <w:color w:val="000000" w:themeColor="text1"/>
                <w:lang w:val="de-DE"/>
                <w14:textFill>
                  <w14:solidFill>
                    <w14:schemeClr w14:val="tx1"/>
                  </w14:solidFill>
                </w14:textFill>
              </w:rPr>
              <w:fldChar w:fldCharType="begin"/>
            </w:r>
            <w:r>
              <w:rPr>
                <w:rFonts w:hint="default" w:ascii="Times New Roman" w:hAnsi="Times New Roman" w:cs="Times New Roman"/>
                <w:color w:val="000000" w:themeColor="text1"/>
                <w:lang w:val="de-DE"/>
                <w14:textFill>
                  <w14:solidFill>
                    <w14:schemeClr w14:val="tx1"/>
                  </w14:solidFill>
                </w14:textFill>
              </w:rPr>
              <w:instrText xml:space="preserve">=1\*GB3</w:instrText>
            </w:r>
            <w:r>
              <w:rPr>
                <w:rFonts w:hint="default" w:ascii="Times New Roman" w:hAnsi="Times New Roman" w:cs="Times New Roman"/>
                <w:color w:val="000000" w:themeColor="text1"/>
                <w:lang w:val="de-DE"/>
                <w14:textFill>
                  <w14:solidFill>
                    <w14:schemeClr w14:val="tx1"/>
                  </w14:solidFill>
                </w14:textFill>
              </w:rPr>
              <w:fldChar w:fldCharType="separate"/>
            </w:r>
            <w:r>
              <w:rPr>
                <w:rFonts w:hint="default" w:ascii="Times New Roman" w:hAnsi="Times New Roman" w:cs="Times New Roman"/>
                <w:color w:val="000000" w:themeColor="text1"/>
                <w:lang w:val="de-DE"/>
                <w14:textFill>
                  <w14:solidFill>
                    <w14:schemeClr w14:val="tx1"/>
                  </w14:solidFill>
                </w14:textFill>
              </w:rPr>
              <w:t>①</w:t>
            </w:r>
            <w:r>
              <w:rPr>
                <w:rFonts w:hint="default" w:ascii="Times New Roman" w:hAnsi="Times New Roman" w:cs="Times New Roman"/>
                <w:color w:val="000000" w:themeColor="text1"/>
                <w:lang w:val="de-DE"/>
                <w14:textFill>
                  <w14:solidFill>
                    <w14:schemeClr w14:val="tx1"/>
                  </w14:solidFill>
                </w14:textFill>
              </w:rPr>
              <w:fldChar w:fldCharType="end"/>
            </w:r>
            <w:r>
              <w:rPr>
                <w:rFonts w:hint="default" w:ascii="Times New Roman" w:hAnsi="Times New Roman" w:cs="Times New Roman"/>
                <w:color w:val="000000" w:themeColor="text1"/>
                <w:lang w:val="de-DE" w:eastAsia="zh-CN"/>
                <w14:textFill>
                  <w14:solidFill>
                    <w14:schemeClr w14:val="tx1"/>
                  </w14:solidFill>
                </w14:textFill>
              </w:rPr>
              <w:t>废液压油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pPr>
            <w:r>
              <w:rPr>
                <w:rFonts w:hint="eastAsia" w:cs="Times New Roman"/>
                <w:bCs/>
                <w:color w:val="000000" w:themeColor="text1"/>
                <w:kern w:val="0"/>
                <w:sz w:val="21"/>
                <w:szCs w:val="21"/>
                <w:highlight w:val="none"/>
                <w:lang w:val="de-DE" w:eastAsia="zh-CN" w:bidi="ar-SA"/>
                <w14:textFill>
                  <w14:solidFill>
                    <w14:schemeClr w14:val="tx1"/>
                  </w14:solidFill>
                </w14:textFill>
              </w:rPr>
              <w:t>项目</w:t>
            </w:r>
            <w:r>
              <w:rPr>
                <w:rFonts w:hint="default" w:ascii="Times New Roman" w:hAnsi="Times New Roman" w:eastAsia="宋体" w:cs="Times New Roman"/>
                <w:bCs/>
                <w:color w:val="000000" w:themeColor="text1"/>
                <w:kern w:val="0"/>
                <w:sz w:val="21"/>
                <w:szCs w:val="21"/>
                <w:highlight w:val="none"/>
                <w:lang w:val="de-DE" w:eastAsia="zh-CN" w:bidi="ar-SA"/>
                <w14:textFill>
                  <w14:solidFill>
                    <w14:schemeClr w14:val="tx1"/>
                  </w14:solidFill>
                </w14:textFill>
              </w:rPr>
              <w:t>四柱式油压机和四柱式冷压机设备均为液压式压力设备，根据企业提供资料，工程</w:t>
            </w:r>
            <w:r>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t>30000t</w:t>
            </w:r>
            <w:r>
              <w:rPr>
                <w:rFonts w:hint="default" w:ascii="Times New Roman" w:hAnsi="Times New Roman" w:eastAsia="宋体" w:cs="Times New Roman"/>
                <w:bCs/>
                <w:color w:val="000000" w:themeColor="text1"/>
                <w:kern w:val="0"/>
                <w:sz w:val="21"/>
                <w:szCs w:val="21"/>
                <w:highlight w:val="none"/>
                <w:lang w:val="de-DE" w:eastAsia="zh-CN" w:bidi="ar-SA"/>
                <w14:textFill>
                  <w14:solidFill>
                    <w14:schemeClr w14:val="tx1"/>
                  </w14:solidFill>
                </w14:textFill>
              </w:rPr>
              <w:t>四柱式油压机内液压系统液压油量为</w:t>
            </w:r>
            <w:r>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t>1000kg</w:t>
            </w:r>
            <w:r>
              <w:rPr>
                <w:rFonts w:hint="default" w:ascii="Times New Roman" w:hAnsi="Times New Roman" w:eastAsia="宋体" w:cs="Times New Roman"/>
                <w:bCs/>
                <w:color w:val="000000" w:themeColor="text1"/>
                <w:kern w:val="0"/>
                <w:sz w:val="21"/>
                <w:szCs w:val="21"/>
                <w:highlight w:val="none"/>
                <w:lang w:val="de-DE" w:eastAsia="zh-CN" w:bidi="ar-SA"/>
                <w14:textFill>
                  <w14:solidFill>
                    <w14:schemeClr w14:val="tx1"/>
                  </w14:solidFill>
                </w14:textFill>
              </w:rPr>
              <w:t>，四柱式冷压机内液压系统液压油量为</w:t>
            </w:r>
            <w:r>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t>100kg，液压油平均每半年进行1次全部更换，则更换的废液压油量为2.2t/a，</w:t>
            </w:r>
            <w:r>
              <w:rPr>
                <w:rFonts w:hint="default" w:ascii="Times New Roman" w:hAnsi="Times New Roman" w:cs="Times New Roman"/>
                <w:color w:val="000000" w:themeColor="text1"/>
                <w:highlight w:val="none"/>
                <w:lang w:val="en-US" w:eastAsia="zh-CN"/>
                <w14:textFill>
                  <w14:solidFill>
                    <w14:schemeClr w14:val="tx1"/>
                  </w14:solidFill>
                </w14:textFill>
              </w:rPr>
              <w:t>根据</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《国家危险废物名录》（</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2021</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年版）可知，废液压油属于危险废物，废物类别及代码为HW</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08</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-900-</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2</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1</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8</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-0</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8</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，通过密闭容器收集后于企业在车间内设置1间危险固废暂存间暂存，定期委托有组织的危险废物处置单位进行处理。</w:t>
            </w:r>
          </w:p>
          <w:p>
            <w:pPr>
              <w:pStyle w:val="2"/>
              <w:bidi w:val="0"/>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fldChar w:fldCharType="begin"/>
            </w:r>
            <w:r>
              <w:rPr>
                <w:rFonts w:hint="default" w:ascii="Times New Roman" w:hAnsi="Times New Roman" w:cs="Times New Roman"/>
                <w:color w:val="000000" w:themeColor="text1"/>
                <w:lang w:eastAsia="zh-CN"/>
                <w14:textFill>
                  <w14:solidFill>
                    <w14:schemeClr w14:val="tx1"/>
                  </w14:solidFill>
                </w14:textFill>
              </w:rPr>
              <w:instrText xml:space="preserve"> = 2 \* GB3 \* MERGEFORMAT </w:instrText>
            </w:r>
            <w:r>
              <w:rPr>
                <w:rFonts w:hint="default" w:ascii="Times New Roman" w:hAnsi="Times New Roman" w:cs="Times New Roman"/>
                <w:color w:val="000000" w:themeColor="text1"/>
                <w:lang w:eastAsia="zh-CN"/>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②</w:t>
            </w:r>
            <w:r>
              <w:rPr>
                <w:rFonts w:hint="default" w:ascii="Times New Roman" w:hAnsi="Times New Roman" w:cs="Times New Roman"/>
                <w:color w:val="000000" w:themeColor="text1"/>
                <w:lang w:eastAsia="zh-CN"/>
                <w14:textFill>
                  <w14:solidFill>
                    <w14:schemeClr w14:val="tx1"/>
                  </w14:solidFill>
                </w14:textFill>
              </w:rPr>
              <w:fldChar w:fldCharType="end"/>
            </w:r>
            <w:r>
              <w:rPr>
                <w:rFonts w:hint="default" w:ascii="Times New Roman" w:hAnsi="Times New Roman" w:cs="Times New Roman"/>
                <w:color w:val="000000" w:themeColor="text1"/>
                <w:lang w:eastAsia="zh-CN"/>
                <w14:textFill>
                  <w14:solidFill>
                    <w14:schemeClr w14:val="tx1"/>
                  </w14:solidFill>
                </w14:textFill>
              </w:rPr>
              <w:t>废润滑油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cs="Times New Roman"/>
                <w:color w:val="000000" w:themeColor="text1"/>
                <w:kern w:val="2"/>
                <w:sz w:val="21"/>
                <w:szCs w:val="24"/>
                <w:highlight w:val="none"/>
                <w:lang w:val="en-US" w:eastAsia="zh-CN" w:bidi="ar-SA"/>
                <w14:textFill>
                  <w14:solidFill>
                    <w14:schemeClr w14:val="tx1"/>
                  </w14:solidFill>
                </w14:textFill>
              </w:rPr>
              <w:t>项目</w:t>
            </w: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生产所用切割机、起重机、旋压机等</w:t>
            </w:r>
            <w: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t>机械</w:t>
            </w: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设备检修维护过程会更换出设备内</w:t>
            </w:r>
            <w: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t>润滑油系统内</w:t>
            </w: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部分润滑油，根据企业提供资料，</w:t>
            </w:r>
            <w: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t>项目生产设备约每半年进行一次维护，期间</w:t>
            </w: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清理的废润滑油量约为</w:t>
            </w:r>
            <w: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t>0.5</w:t>
            </w: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t/a</w:t>
            </w:r>
            <w:r>
              <w:rPr>
                <w:rFonts w:hint="default" w:ascii="Times New Roman" w:hAnsi="Times New Roman" w:cs="Times New Roman"/>
                <w:color w:val="000000" w:themeColor="text1"/>
                <w:kern w:val="2"/>
                <w:sz w:val="21"/>
                <w:szCs w:val="24"/>
                <w:highlight w:val="none"/>
                <w:lang w:val="en-US" w:eastAsia="zh-CN" w:bidi="ar-SA"/>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根据</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《国家危险废物名录》（</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2021</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年版）可知，废润滑油属于危险废物，废物类别及代码为HW</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08</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-900-</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2</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1</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7</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-0</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8</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，通过密闭容器收集后于企业在车间内设置1间危险固废暂存间暂存，定期委托有组织的危险废物处置单位进行处理。</w:t>
            </w:r>
          </w:p>
          <w:p>
            <w:pPr>
              <w:pStyle w:val="2"/>
              <w:bidi w:val="0"/>
              <w:rPr>
                <w:rFonts w:hint="eastAsia" w:ascii="Times New Roman" w:hAnsi="Times New Roman" w:cs="Times New Roman"/>
                <w:color w:val="000000" w:themeColor="text1"/>
                <w:highlight w:val="none"/>
                <w:lang w:val="de-DE" w:eastAsia="zh-CN"/>
                <w14:textFill>
                  <w14:solidFill>
                    <w14:schemeClr w14:val="tx1"/>
                  </w14:solidFill>
                </w14:textFill>
              </w:rPr>
            </w:pPr>
            <w:r>
              <w:rPr>
                <w:rFonts w:hint="default" w:ascii="Times New Roman" w:hAnsi="Times New Roman" w:cs="Times New Roman"/>
                <w:color w:val="000000" w:themeColor="text1"/>
                <w:highlight w:val="none"/>
                <w:lang w:val="de-DE" w:eastAsia="zh-CN"/>
                <w14:textFill>
                  <w14:solidFill>
                    <w14:schemeClr w14:val="tx1"/>
                  </w14:solidFill>
                </w14:textFill>
              </w:rPr>
              <w:fldChar w:fldCharType="begin"/>
            </w:r>
            <w:r>
              <w:rPr>
                <w:rFonts w:hint="default" w:ascii="Times New Roman" w:hAnsi="Times New Roman" w:cs="Times New Roman"/>
                <w:color w:val="000000" w:themeColor="text1"/>
                <w:highlight w:val="none"/>
                <w:lang w:val="de-DE" w:eastAsia="zh-CN"/>
                <w14:textFill>
                  <w14:solidFill>
                    <w14:schemeClr w14:val="tx1"/>
                  </w14:solidFill>
                </w14:textFill>
              </w:rPr>
              <w:instrText xml:space="preserve"> = 3 \* GB3 \* MERGEFORMAT </w:instrText>
            </w:r>
            <w:r>
              <w:rPr>
                <w:rFonts w:hint="default" w:ascii="Times New Roman" w:hAnsi="Times New Roman" w:cs="Times New Roman"/>
                <w:color w:val="000000" w:themeColor="text1"/>
                <w:highlight w:val="none"/>
                <w:lang w:val="de-DE" w:eastAsia="zh-CN"/>
                <w14:textFill>
                  <w14:solidFill>
                    <w14:schemeClr w14:val="tx1"/>
                  </w14:solidFill>
                </w14:textFill>
              </w:rPr>
              <w:fldChar w:fldCharType="separate"/>
            </w:r>
            <w:r>
              <w:rPr>
                <w:rFonts w:hint="default" w:ascii="Times New Roman" w:hAnsi="Times New Roman" w:cs="Times New Roman"/>
                <w:color w:val="000000" w:themeColor="text1"/>
                <w:highlight w:val="none"/>
                <w14:textFill>
                  <w14:solidFill>
                    <w14:schemeClr w14:val="tx1"/>
                  </w14:solidFill>
                </w14:textFill>
              </w:rPr>
              <w:t>③</w:t>
            </w:r>
            <w:r>
              <w:rPr>
                <w:rFonts w:hint="default" w:ascii="Times New Roman" w:hAnsi="Times New Roman" w:cs="Times New Roman"/>
                <w:color w:val="000000" w:themeColor="text1"/>
                <w:highlight w:val="none"/>
                <w:lang w:val="de-DE" w:eastAsia="zh-CN"/>
                <w14:textFill>
                  <w14:solidFill>
                    <w14:schemeClr w14:val="tx1"/>
                  </w14:solidFill>
                </w14:textFill>
              </w:rPr>
              <w:fldChar w:fldCharType="end"/>
            </w:r>
            <w:r>
              <w:rPr>
                <w:rFonts w:hint="eastAsia" w:ascii="Times New Roman" w:hAnsi="Times New Roman" w:cs="Times New Roman"/>
                <w:color w:val="000000" w:themeColor="text1"/>
                <w:highlight w:val="none"/>
                <w:lang w:val="de-DE" w:eastAsia="zh-CN"/>
                <w14:textFill>
                  <w14:solidFill>
                    <w14:schemeClr w14:val="tx1"/>
                  </w14:solidFill>
                </w14:textFill>
              </w:rPr>
              <w:t>隔油池油污</w:t>
            </w:r>
          </w:p>
          <w:p>
            <w:pPr>
              <w:rPr>
                <w:rFonts w:hint="default"/>
                <w:color w:val="000000" w:themeColor="text1"/>
                <w:lang w:val="de-DE" w:eastAsia="zh-CN"/>
                <w14:textFill>
                  <w14:solidFill>
                    <w14:schemeClr w14:val="tx1"/>
                  </w14:solidFill>
                </w14:textFill>
              </w:rPr>
            </w:pPr>
            <w:r>
              <w:rPr>
                <w:rFonts w:hint="default"/>
                <w:color w:val="000000" w:themeColor="text1"/>
                <w:lang w:val="de-DE" w:eastAsia="zh-CN"/>
                <w14:textFill>
                  <w14:solidFill>
                    <w14:schemeClr w14:val="tx1"/>
                  </w14:solidFill>
                </w14:textFill>
              </w:rPr>
              <w:t>本项目污水处理</w:t>
            </w:r>
            <w:r>
              <w:rPr>
                <w:rFonts w:hint="eastAsia"/>
                <w:color w:val="000000" w:themeColor="text1"/>
                <w:lang w:val="de-DE" w:eastAsia="zh-CN"/>
                <w14:textFill>
                  <w14:solidFill>
                    <w14:schemeClr w14:val="tx1"/>
                  </w14:solidFill>
                </w14:textFill>
              </w:rPr>
              <w:t>设施</w:t>
            </w:r>
            <w:r>
              <w:rPr>
                <w:rFonts w:hint="default"/>
                <w:color w:val="000000" w:themeColor="text1"/>
                <w:lang w:val="de-DE" w:eastAsia="zh-CN"/>
                <w14:textFill>
                  <w14:solidFill>
                    <w14:schemeClr w14:val="tx1"/>
                  </w14:solidFill>
                </w14:textFill>
              </w:rPr>
              <w:t>隔油环节会有废油污产生，经查阅《国家危险废物名录》（2021年版），废油污属于危险废物，废物类别HW08废矿物油与含矿物油废物，废物代码为900-210-08。根据项目废水石油类污染物产排情况经计算，油污产生量约为</w:t>
            </w:r>
            <w:r>
              <w:rPr>
                <w:rFonts w:hint="eastAsia"/>
                <w:color w:val="000000" w:themeColor="text1"/>
                <w:lang w:val="en-US" w:eastAsia="zh-CN"/>
                <w14:textFill>
                  <w14:solidFill>
                    <w14:schemeClr w14:val="tx1"/>
                  </w14:solidFill>
                </w14:textFill>
              </w:rPr>
              <w:t>0.0005</w:t>
            </w:r>
            <w:r>
              <w:rPr>
                <w:rFonts w:hint="default"/>
                <w:color w:val="000000" w:themeColor="text1"/>
                <w:lang w:val="de-DE" w:eastAsia="zh-CN"/>
                <w14:textFill>
                  <w14:solidFill>
                    <w14:schemeClr w14:val="tx1"/>
                  </w14:solidFill>
                </w14:textFill>
              </w:rPr>
              <w:t>t/a，项目废油污收集后使用密闭桶装在危废间暂存，定期委托有资质单位进行安全处置。</w:t>
            </w:r>
          </w:p>
          <w:p>
            <w:pPr>
              <w:pStyle w:val="2"/>
              <w:bidi w:val="0"/>
              <w:rPr>
                <w:rFonts w:hint="default" w:ascii="Times New Roman" w:hAnsi="Times New Roman" w:cs="Times New Roman"/>
                <w:color w:val="000000" w:themeColor="text1"/>
                <w:highlight w:val="none"/>
                <w:lang w:val="de-DE"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fldChar w:fldCharType="begin"/>
            </w:r>
            <w:r>
              <w:rPr>
                <w:rFonts w:hint="default" w:ascii="Times New Roman" w:hAnsi="Times New Roman" w:cs="Times New Roman"/>
                <w:b/>
                <w:bCs/>
                <w:color w:val="000000" w:themeColor="text1"/>
                <w:highlight w:val="none"/>
                <w:lang w:val="en-US" w:eastAsia="zh-CN"/>
                <w14:textFill>
                  <w14:solidFill>
                    <w14:schemeClr w14:val="tx1"/>
                  </w14:solidFill>
                </w14:textFill>
              </w:rPr>
              <w:instrText xml:space="preserve"> = 4 \* GB3 \* MERGEFORMAT </w:instrText>
            </w:r>
            <w:r>
              <w:rPr>
                <w:rFonts w:hint="default" w:ascii="Times New Roman" w:hAnsi="Times New Roman" w:cs="Times New Roman"/>
                <w:b/>
                <w:bCs/>
                <w:color w:val="000000" w:themeColor="text1"/>
                <w:highlight w:val="none"/>
                <w:lang w:val="en-US" w:eastAsia="zh-CN"/>
                <w14:textFill>
                  <w14:solidFill>
                    <w14:schemeClr w14:val="tx1"/>
                  </w14:solidFill>
                </w14:textFill>
              </w:rPr>
              <w:fldChar w:fldCharType="separate"/>
            </w:r>
            <w:r>
              <w:rPr>
                <w:rFonts w:hint="default" w:ascii="Times New Roman" w:hAnsi="Times New Roman" w:cs="Times New Roman"/>
                <w:b/>
                <w:bCs/>
                <w:color w:val="000000" w:themeColor="text1"/>
                <w:highlight w:val="none"/>
                <w14:textFill>
                  <w14:solidFill>
                    <w14:schemeClr w14:val="tx1"/>
                  </w14:solidFill>
                </w14:textFill>
              </w:rPr>
              <w:t>④</w:t>
            </w:r>
            <w:r>
              <w:rPr>
                <w:rFonts w:hint="default" w:ascii="Times New Roman" w:hAnsi="Times New Roman" w:cs="Times New Roman"/>
                <w:b/>
                <w:bCs/>
                <w:color w:val="000000" w:themeColor="text1"/>
                <w:highlight w:val="none"/>
                <w:lang w:val="en-US" w:eastAsia="zh-CN"/>
                <w14:textFill>
                  <w14:solidFill>
                    <w14:schemeClr w14:val="tx1"/>
                  </w14:solidFill>
                </w14:textFill>
              </w:rPr>
              <w:fldChar w:fldCharType="end"/>
            </w:r>
            <w:r>
              <w:rPr>
                <w:rFonts w:hint="default" w:ascii="Times New Roman" w:hAnsi="Times New Roman" w:cs="Times New Roman"/>
                <w:color w:val="000000" w:themeColor="text1"/>
                <w:highlight w:val="none"/>
                <w:lang w:val="de-DE" w:eastAsia="zh-CN"/>
                <w14:textFill>
                  <w14:solidFill>
                    <w14:schemeClr w14:val="tx1"/>
                  </w14:solidFill>
                </w14:textFill>
              </w:rPr>
              <w:t>污水处理设施清理污泥</w:t>
            </w:r>
          </w:p>
          <w:p>
            <w:pPr>
              <w:keepNext w:val="0"/>
              <w:keepLines w:val="0"/>
              <w:pageBreakBefore w:val="0"/>
              <w:widowControl w:val="0"/>
              <w:kinsoku/>
              <w:wordWrap w:val="0"/>
              <w:overflowPunct/>
              <w:topLinePunct w:val="0"/>
              <w:autoSpaceDE/>
              <w:autoSpaceDN/>
              <w:bidi w:val="0"/>
              <w:adjustRightInd/>
              <w:snapToGrid/>
              <w:textAlignment w:val="auto"/>
              <w:rPr>
                <w:rFonts w:hint="eastAsia" w:ascii="Times New Roman" w:hAnsi="Times New Roman" w:cs="Times New Roman"/>
                <w:color w:val="000000" w:themeColor="text1"/>
                <w:highlight w:val="none"/>
                <w:lang w:val="de-DE" w:eastAsia="zh-CN"/>
                <w14:textFill>
                  <w14:solidFill>
                    <w14:schemeClr w14:val="tx1"/>
                  </w14:solidFill>
                </w14:textFill>
              </w:rPr>
            </w:pPr>
            <w:r>
              <w:rPr>
                <w:rFonts w:hint="eastAsia" w:ascii="Times New Roman" w:hAnsi="Times New Roman" w:cs="Times New Roman"/>
                <w:color w:val="000000" w:themeColor="text1"/>
                <w:highlight w:val="none"/>
                <w:lang w:val="de-DE" w:eastAsia="zh-CN"/>
                <w14:textFill>
                  <w14:solidFill>
                    <w14:schemeClr w14:val="tx1"/>
                  </w14:solidFill>
                </w14:textFill>
              </w:rPr>
              <w:t>项目废水处理</w:t>
            </w:r>
            <w:r>
              <w:rPr>
                <w:rFonts w:hint="eastAsia" w:cs="Times New Roman"/>
                <w:color w:val="000000" w:themeColor="text1"/>
                <w:highlight w:val="none"/>
                <w:lang w:val="de-DE" w:eastAsia="zh-CN"/>
                <w14:textFill>
                  <w14:solidFill>
                    <w14:schemeClr w14:val="tx1"/>
                  </w14:solidFill>
                </w14:textFill>
              </w:rPr>
              <w:t>设施沉淀、混凝沉淀、</w:t>
            </w:r>
            <w:r>
              <w:rPr>
                <w:rFonts w:hint="eastAsia" w:cs="Times New Roman"/>
                <w:color w:val="000000" w:themeColor="text1"/>
                <w:highlight w:val="none"/>
                <w:lang w:val="en-US" w:eastAsia="zh-CN"/>
                <w14:textFill>
                  <w14:solidFill>
                    <w14:schemeClr w14:val="tx1"/>
                  </w14:solidFill>
                </w14:textFill>
              </w:rPr>
              <w:t>MBR</w:t>
            </w:r>
            <w:r>
              <w:rPr>
                <w:rFonts w:hint="eastAsia" w:cs="Times New Roman"/>
                <w:color w:val="000000" w:themeColor="text1"/>
                <w:highlight w:val="none"/>
                <w:lang w:val="de-DE" w:eastAsia="zh-CN"/>
                <w14:textFill>
                  <w14:solidFill>
                    <w14:schemeClr w14:val="tx1"/>
                  </w14:solidFill>
                </w14:textFill>
              </w:rPr>
              <w:t>等工段均会</w:t>
            </w:r>
            <w:r>
              <w:rPr>
                <w:rFonts w:hint="eastAsia" w:ascii="Times New Roman" w:hAnsi="Times New Roman" w:cs="Times New Roman"/>
                <w:color w:val="000000" w:themeColor="text1"/>
                <w:highlight w:val="none"/>
                <w:lang w:val="de-DE" w:eastAsia="zh-CN"/>
                <w14:textFill>
                  <w14:solidFill>
                    <w14:schemeClr w14:val="tx1"/>
                  </w14:solidFill>
                </w14:textFill>
              </w:rPr>
              <w:t>产生的污泥，</w:t>
            </w:r>
            <w:r>
              <w:rPr>
                <w:rFonts w:hint="eastAsia" w:cs="Times New Roman"/>
                <w:color w:val="000000" w:themeColor="text1"/>
                <w:highlight w:val="none"/>
                <w:lang w:val="de-DE" w:eastAsia="zh-CN"/>
                <w14:textFill>
                  <w14:solidFill>
                    <w14:schemeClr w14:val="tx1"/>
                  </w14:solidFill>
                </w14:textFill>
              </w:rPr>
              <w:t>该类污泥中主要含有铬、镍等重金属离子，</w:t>
            </w:r>
            <w:r>
              <w:rPr>
                <w:rFonts w:hint="eastAsia" w:ascii="Times New Roman" w:hAnsi="Times New Roman" w:cs="Times New Roman"/>
                <w:color w:val="000000" w:themeColor="text1"/>
                <w:highlight w:val="none"/>
                <w:lang w:val="de-DE" w:eastAsia="zh-CN"/>
                <w14:textFill>
                  <w14:solidFill>
                    <w14:schemeClr w14:val="tx1"/>
                  </w14:solidFill>
                </w14:textFill>
              </w:rPr>
              <w:t>经查阅《国家危险废物名录》（2021年版），该部分污泥属于危险废物，</w:t>
            </w:r>
            <w:r>
              <w:rPr>
                <w:rFonts w:hint="eastAsia" w:ascii="Times New Roman" w:hAnsi="Times New Roman" w:cs="Times New Roman"/>
                <w:b w:val="0"/>
                <w:bCs w:val="0"/>
                <w:color w:val="000000" w:themeColor="text1"/>
                <w:highlight w:val="none"/>
                <w:lang w:val="de-DE" w:eastAsia="zh-CN"/>
                <w14:textFill>
                  <w14:solidFill>
                    <w14:schemeClr w14:val="tx1"/>
                  </w14:solidFill>
                </w14:textFill>
              </w:rPr>
              <w:t>废物类别HW</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49</w:t>
            </w:r>
            <w:r>
              <w:rPr>
                <w:rFonts w:hint="eastAsia" w:ascii="Times New Roman" w:hAnsi="Times New Roman" w:cs="Times New Roman"/>
                <w:b w:val="0"/>
                <w:bCs w:val="0"/>
                <w:color w:val="000000" w:themeColor="text1"/>
                <w:highlight w:val="none"/>
                <w:lang w:val="de-DE" w:eastAsia="zh-CN"/>
                <w14:textFill>
                  <w14:solidFill>
                    <w14:schemeClr w14:val="tx1"/>
                  </w14:solidFill>
                </w14:textFill>
              </w:rPr>
              <w:t>其他废物，废物代码为772-006-49</w:t>
            </w:r>
            <w:r>
              <w:rPr>
                <w:rFonts w:hint="eastAsia" w:ascii="Times New Roman" w:hAnsi="Times New Roman" w:cs="Times New Roman"/>
                <w:color w:val="000000" w:themeColor="text1"/>
                <w:highlight w:val="none"/>
                <w:lang w:val="de-DE" w:eastAsia="zh-CN"/>
                <w14:textFill>
                  <w14:solidFill>
                    <w14:schemeClr w14:val="tx1"/>
                  </w14:solidFill>
                </w14:textFill>
              </w:rPr>
              <w:t>。本项目污水处理设施污泥量主要为沉淀、混凝沉淀池内产生的化学污泥量（SPSS）</w:t>
            </w:r>
            <w:r>
              <w:rPr>
                <w:rFonts w:hint="eastAsia" w:cs="Times New Roman"/>
                <w:color w:val="000000" w:themeColor="text1"/>
                <w:highlight w:val="none"/>
                <w:lang w:val="de-DE" w:eastAsia="zh-CN"/>
                <w14:textFill>
                  <w14:solidFill>
                    <w14:schemeClr w14:val="tx1"/>
                  </w14:solidFill>
                </w14:textFill>
              </w:rPr>
              <w:t>，参考《不锈钢酸洗污泥资源化利用技术进展及趋势》（李小明,贾李锋,邹冲,等，2019，54(10):1-11.DOI:10.13228/j.boyuan.issn0449-749x.20190039）</w:t>
            </w:r>
            <w:r>
              <w:rPr>
                <w:rFonts w:hint="eastAsia" w:ascii="Times New Roman" w:hAnsi="Times New Roman" w:cs="Times New Roman"/>
                <w:color w:val="000000" w:themeColor="text1"/>
                <w:highlight w:val="none"/>
                <w:lang w:val="de-DE" w:eastAsia="zh-CN"/>
                <w14:textFill>
                  <w14:solidFill>
                    <w14:schemeClr w14:val="tx1"/>
                  </w14:solidFill>
                </w14:textFill>
              </w:rPr>
              <w:t>，不锈钢酸洗污泥中可能含有CaF、CaSO</w:t>
            </w:r>
            <w:r>
              <w:rPr>
                <w:rFonts w:hint="eastAsia" w:cs="Times New Roman"/>
                <w:color w:val="000000" w:themeColor="text1"/>
                <w:highlight w:val="none"/>
                <w:vertAlign w:val="subscript"/>
                <w:lang w:val="en-US" w:eastAsia="zh-CN"/>
                <w14:textFill>
                  <w14:solidFill>
                    <w14:schemeClr w14:val="tx1"/>
                  </w14:solidFill>
                </w14:textFill>
              </w:rPr>
              <w:t>4</w:t>
            </w:r>
            <w:r>
              <w:rPr>
                <w:rFonts w:hint="eastAsia" w:ascii="Times New Roman" w:hAnsi="Times New Roman" w:cs="Times New Roman"/>
                <w:color w:val="000000" w:themeColor="text1"/>
                <w:highlight w:val="none"/>
                <w:lang w:val="de-DE" w:eastAsia="zh-CN"/>
                <w14:textFill>
                  <w14:solidFill>
                    <w14:schemeClr w14:val="tx1"/>
                  </w14:solidFill>
                </w14:textFill>
              </w:rPr>
              <w:t>、Si</w:t>
            </w:r>
            <w:r>
              <w:rPr>
                <w:rFonts w:hint="eastAsia" w:cs="Times New Roman"/>
                <w:color w:val="000000" w:themeColor="text1"/>
                <w:highlight w:val="none"/>
                <w:lang w:val="en-US" w:eastAsia="zh-CN"/>
                <w14:textFill>
                  <w14:solidFill>
                    <w14:schemeClr w14:val="tx1"/>
                  </w14:solidFill>
                </w14:textFill>
              </w:rPr>
              <w:t>O</w:t>
            </w:r>
            <w:r>
              <w:rPr>
                <w:rFonts w:hint="eastAsia" w:ascii="Times New Roman" w:hAnsi="Times New Roman" w:cs="Times New Roman"/>
                <w:color w:val="000000" w:themeColor="text1"/>
                <w:highlight w:val="none"/>
                <w:vertAlign w:val="subscript"/>
                <w:lang w:val="de-DE" w:eastAsia="zh-CN"/>
                <w14:textFill>
                  <w14:solidFill>
                    <w14:schemeClr w14:val="tx1"/>
                  </w14:solidFill>
                </w14:textFill>
              </w:rPr>
              <w:t>2</w:t>
            </w:r>
            <w:r>
              <w:rPr>
                <w:rFonts w:hint="eastAsia" w:ascii="Times New Roman" w:hAnsi="Times New Roman" w:cs="Times New Roman"/>
                <w:color w:val="000000" w:themeColor="text1"/>
                <w:highlight w:val="none"/>
                <w:lang w:val="de-DE" w:eastAsia="zh-CN"/>
                <w14:textFill>
                  <w14:solidFill>
                    <w14:schemeClr w14:val="tx1"/>
                  </w14:solidFill>
                </w14:textFill>
              </w:rPr>
              <w:t>等组分</w:t>
            </w:r>
            <w:r>
              <w:rPr>
                <w:rFonts w:hint="eastAsia" w:cs="Times New Roman"/>
                <w:color w:val="000000" w:themeColor="text1"/>
                <w:highlight w:val="none"/>
                <w:lang w:val="de-DE" w:eastAsia="zh-CN"/>
                <w14:textFill>
                  <w14:solidFill>
                    <w14:schemeClr w14:val="tx1"/>
                  </w14:solidFill>
                </w14:textFill>
              </w:rPr>
              <w:t>，酸洗污泥产生量约为不锈钢量的</w:t>
            </w:r>
            <w:r>
              <w:rPr>
                <w:rFonts w:hint="eastAsia" w:cs="Times New Roman"/>
                <w:color w:val="000000" w:themeColor="text1"/>
                <w:highlight w:val="none"/>
                <w:lang w:val="en-US" w:eastAsia="zh-CN"/>
                <w14:textFill>
                  <w14:solidFill>
                    <w14:schemeClr w14:val="tx1"/>
                  </w14:solidFill>
                </w14:textFill>
              </w:rPr>
              <w:t>3%~5%，本次按照4%计算</w:t>
            </w:r>
            <w:r>
              <w:rPr>
                <w:rFonts w:hint="eastAsia" w:ascii="Times New Roman" w:hAnsi="Times New Roman" w:cs="Times New Roman"/>
                <w:color w:val="000000" w:themeColor="text1"/>
                <w:highlight w:val="none"/>
                <w:lang w:val="de-DE" w:eastAsia="zh-CN"/>
                <w14:textFill>
                  <w14:solidFill>
                    <w14:schemeClr w14:val="tx1"/>
                  </w14:solidFill>
                </w14:textFill>
              </w:rPr>
              <w:t>，</w:t>
            </w:r>
            <w:r>
              <w:rPr>
                <w:rFonts w:hint="eastAsia" w:cs="Times New Roman"/>
                <w:color w:val="000000" w:themeColor="text1"/>
                <w:highlight w:val="none"/>
                <w:lang w:val="de-DE" w:eastAsia="zh-CN"/>
                <w14:textFill>
                  <w14:solidFill>
                    <w14:schemeClr w14:val="tx1"/>
                  </w14:solidFill>
                </w14:textFill>
              </w:rPr>
              <w:t>项目需酸洗不锈钢封头量为</w:t>
            </w:r>
            <w:r>
              <w:rPr>
                <w:rFonts w:hint="eastAsia" w:cs="Times New Roman"/>
                <w:color w:val="000000" w:themeColor="text1"/>
                <w:highlight w:val="none"/>
                <w:lang w:val="en-US" w:eastAsia="zh-CN"/>
                <w14:textFill>
                  <w14:solidFill>
                    <w14:schemeClr w14:val="tx1"/>
                  </w14:solidFill>
                </w14:textFill>
              </w:rPr>
              <w:t>4000t/a</w:t>
            </w:r>
            <w:r>
              <w:rPr>
                <w:rFonts w:hint="eastAsia" w:cs="Times New Roman"/>
                <w:color w:val="000000" w:themeColor="text1"/>
                <w:highlight w:val="none"/>
                <w:lang w:val="de-DE" w:eastAsia="zh-CN"/>
                <w14:textFill>
                  <w14:solidFill>
                    <w14:schemeClr w14:val="tx1"/>
                  </w14:solidFill>
                </w14:textFill>
              </w:rPr>
              <w:t>，</w:t>
            </w:r>
            <w:r>
              <w:rPr>
                <w:rFonts w:hint="eastAsia" w:ascii="Times New Roman" w:hAnsi="Times New Roman" w:cs="Times New Roman"/>
                <w:color w:val="000000" w:themeColor="text1"/>
                <w:highlight w:val="none"/>
                <w:lang w:val="de-DE" w:eastAsia="zh-CN"/>
                <w14:textFill>
                  <w14:solidFill>
                    <w14:schemeClr w14:val="tx1"/>
                  </w14:solidFill>
                </w14:textFill>
              </w:rPr>
              <w:t>则项目污水处理站污泥产生量为</w:t>
            </w:r>
            <w:r>
              <w:rPr>
                <w:rFonts w:hint="eastAsia" w:cs="Times New Roman"/>
                <w:color w:val="000000" w:themeColor="text1"/>
                <w:highlight w:val="none"/>
                <w:lang w:val="en-US" w:eastAsia="zh-CN"/>
                <w14:textFill>
                  <w14:solidFill>
                    <w14:schemeClr w14:val="tx1"/>
                  </w14:solidFill>
                </w14:textFill>
              </w:rPr>
              <w:t>160</w:t>
            </w:r>
            <w:r>
              <w:rPr>
                <w:rFonts w:hint="eastAsia" w:ascii="Times New Roman" w:hAnsi="Times New Roman" w:cs="Times New Roman"/>
                <w:color w:val="000000" w:themeColor="text1"/>
                <w:highlight w:val="none"/>
                <w:lang w:val="de-DE" w:eastAsia="zh-CN"/>
                <w14:textFill>
                  <w14:solidFill>
                    <w14:schemeClr w14:val="tx1"/>
                  </w14:solidFill>
                </w14:textFill>
              </w:rPr>
              <w:t>t/a。项目综合废水污泥采用密闭桶收集后于危废间内分类暂存，定期委托有资质单位进行安全处置。</w:t>
            </w:r>
          </w:p>
          <w:p>
            <w:pPr>
              <w:rPr>
                <w:rFonts w:hint="default" w:ascii="Times New Roman" w:hAnsi="Times New Roman" w:cs="Times New Roman"/>
                <w:b/>
                <w:bCs/>
                <w:color w:val="000000" w:themeColor="text1"/>
                <w:highlight w:val="none"/>
                <w:lang w:val="de-DE" w:eastAsia="zh-CN"/>
                <w14:textFill>
                  <w14:solidFill>
                    <w14:schemeClr w14:val="tx1"/>
                  </w14:solidFill>
                </w14:textFill>
              </w:rPr>
            </w:pPr>
            <w:r>
              <w:rPr>
                <w:rFonts w:hint="default" w:ascii="Times New Roman" w:hAnsi="Times New Roman" w:cs="Times New Roman"/>
                <w:b/>
                <w:bCs/>
                <w:color w:val="000000" w:themeColor="text1"/>
                <w:highlight w:val="none"/>
                <w:lang w:val="de-DE" w:eastAsia="zh-CN"/>
                <w14:textFill>
                  <w14:solidFill>
                    <w14:schemeClr w14:val="tx1"/>
                  </w14:solidFill>
                </w14:textFill>
              </w:rPr>
              <w:fldChar w:fldCharType="begin"/>
            </w:r>
            <w:r>
              <w:rPr>
                <w:rFonts w:hint="default" w:ascii="Times New Roman" w:hAnsi="Times New Roman" w:cs="Times New Roman"/>
                <w:b/>
                <w:bCs/>
                <w:color w:val="000000" w:themeColor="text1"/>
                <w:highlight w:val="none"/>
                <w:lang w:val="de-DE" w:eastAsia="zh-CN"/>
                <w14:textFill>
                  <w14:solidFill>
                    <w14:schemeClr w14:val="tx1"/>
                  </w14:solidFill>
                </w14:textFill>
              </w:rPr>
              <w:instrText xml:space="preserve"> = 5 \* GB3 \* MERGEFORMAT </w:instrText>
            </w:r>
            <w:r>
              <w:rPr>
                <w:rFonts w:hint="default" w:ascii="Times New Roman" w:hAnsi="Times New Roman" w:cs="Times New Roman"/>
                <w:b/>
                <w:bCs/>
                <w:color w:val="000000" w:themeColor="text1"/>
                <w:highlight w:val="none"/>
                <w:lang w:val="de-DE" w:eastAsia="zh-CN"/>
                <w14:textFill>
                  <w14:solidFill>
                    <w14:schemeClr w14:val="tx1"/>
                  </w14:solidFill>
                </w14:textFill>
              </w:rPr>
              <w:fldChar w:fldCharType="separate"/>
            </w:r>
            <w:r>
              <w:rPr>
                <w:rFonts w:hint="default" w:ascii="Times New Roman" w:hAnsi="Times New Roman" w:cs="Times New Roman"/>
                <w:b/>
                <w:bCs/>
                <w:color w:val="000000" w:themeColor="text1"/>
                <w:highlight w:val="none"/>
                <w14:textFill>
                  <w14:solidFill>
                    <w14:schemeClr w14:val="tx1"/>
                  </w14:solidFill>
                </w14:textFill>
              </w:rPr>
              <w:t>⑤</w:t>
            </w:r>
            <w:r>
              <w:rPr>
                <w:rFonts w:hint="default" w:ascii="Times New Roman" w:hAnsi="Times New Roman" w:cs="Times New Roman"/>
                <w:b/>
                <w:bCs/>
                <w:color w:val="000000" w:themeColor="text1"/>
                <w:highlight w:val="none"/>
                <w:lang w:val="de-DE" w:eastAsia="zh-CN"/>
                <w14:textFill>
                  <w14:solidFill>
                    <w14:schemeClr w14:val="tx1"/>
                  </w14:solidFill>
                </w14:textFill>
              </w:rPr>
              <w:fldChar w:fldCharType="end"/>
            </w:r>
            <w:r>
              <w:rPr>
                <w:rFonts w:hint="default" w:ascii="Times New Roman" w:hAnsi="Times New Roman" w:cs="Times New Roman"/>
                <w:b/>
                <w:bCs/>
                <w:color w:val="000000" w:themeColor="text1"/>
                <w:highlight w:val="none"/>
                <w:lang w:val="de-DE" w:eastAsia="zh-CN"/>
                <w14:textFill>
                  <w14:solidFill>
                    <w14:schemeClr w14:val="tx1"/>
                  </w14:solidFill>
                </w14:textFill>
              </w:rPr>
              <w:t>高效蒸发浓缩残渣</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4"/>
                <w:highlight w:val="none"/>
                <w:lang w:val="en-US" w:eastAsia="zh-CN" w:bidi="ar-SA"/>
                <w14:textFill>
                  <w14:solidFill>
                    <w14:schemeClr w14:val="tx1"/>
                  </w14:solidFill>
                </w14:textFill>
              </w:rPr>
              <w:t>项目废水处理设施中RO反渗透系统产生浓水均通过设置的高效蒸发处理，蒸发产生的残渣主要为含铬、镍等重金属残渣，经</w:t>
            </w:r>
            <w:r>
              <w:rPr>
                <w:rFonts w:hint="eastAsia" w:ascii="Times New Roman" w:hAnsi="Times New Roman" w:cs="Times New Roman"/>
                <w:b w:val="0"/>
                <w:bCs w:val="0"/>
                <w:color w:val="000000" w:themeColor="text1"/>
                <w:highlight w:val="none"/>
                <w:lang w:val="de-DE" w:eastAsia="zh-CN"/>
                <w14:textFill>
                  <w14:solidFill>
                    <w14:schemeClr w14:val="tx1"/>
                  </w14:solidFill>
                </w14:textFill>
              </w:rPr>
              <w:t>查阅《国家危险废物名录》（2021年版），该部分残渣属于危险废物，废物类别HW</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49</w:t>
            </w:r>
            <w:r>
              <w:rPr>
                <w:rFonts w:hint="eastAsia" w:ascii="Times New Roman" w:hAnsi="Times New Roman" w:cs="Times New Roman"/>
                <w:b w:val="0"/>
                <w:bCs w:val="0"/>
                <w:color w:val="000000" w:themeColor="text1"/>
                <w:highlight w:val="none"/>
                <w:lang w:val="de-DE" w:eastAsia="zh-CN"/>
                <w14:textFill>
                  <w14:solidFill>
                    <w14:schemeClr w14:val="tx1"/>
                  </w14:solidFill>
                </w14:textFill>
              </w:rPr>
              <w:t>其他废物，废物代码为772-006-49。根据上文废水处理措施可行性分析内容，项目</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RO反渗透系统处理废水量为</w:t>
            </w:r>
            <w:r>
              <w:rPr>
                <w:rFonts w:hint="eastAsia" w:cs="Times New Roman"/>
                <w:color w:val="000000" w:themeColor="text1"/>
                <w:sz w:val="21"/>
                <w:szCs w:val="21"/>
                <w:highlight w:val="none"/>
                <w:lang w:val="en-US" w:eastAsia="zh-CN"/>
                <w14:textFill>
                  <w14:solidFill>
                    <w14:schemeClr w14:val="tx1"/>
                  </w14:solidFill>
                </w14:textFill>
              </w:rPr>
              <w:t>4.6345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/d（</w:t>
            </w:r>
            <w:r>
              <w:rPr>
                <w:rFonts w:hint="eastAsia" w:cs="Times New Roman"/>
                <w:color w:val="000000" w:themeColor="text1"/>
                <w:sz w:val="21"/>
                <w:szCs w:val="21"/>
                <w:highlight w:val="none"/>
                <w:lang w:val="en-US" w:eastAsia="zh-CN"/>
                <w14:textFill>
                  <w14:solidFill>
                    <w14:schemeClr w14:val="tx1"/>
                  </w14:solidFill>
                </w14:textFill>
              </w:rPr>
              <w:t>1390.35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/d）</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，根据RO反渗透系统处理前后各金属离子浓度计算，RO反渗透产生的浓水中各金属离子量约为</w:t>
            </w:r>
            <w:r>
              <w:rPr>
                <w:rFonts w:hint="eastAsia" w:cs="Times New Roman"/>
                <w:b w:val="0"/>
                <w:bCs w:val="0"/>
                <w:color w:val="000000" w:themeColor="text1"/>
                <w:highlight w:val="none"/>
                <w:lang w:val="en-US" w:eastAsia="zh-CN"/>
                <w14:textFill>
                  <w14:solidFill>
                    <w14:schemeClr w14:val="tx1"/>
                  </w14:solidFill>
                </w14:textFill>
              </w:rPr>
              <w:t>0.057</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t/a，则高效蒸发后残渣量约为</w:t>
            </w:r>
            <w:r>
              <w:rPr>
                <w:rFonts w:hint="eastAsia" w:cs="Times New Roman"/>
                <w:b w:val="0"/>
                <w:bCs w:val="0"/>
                <w:color w:val="000000" w:themeColor="text1"/>
                <w:highlight w:val="none"/>
                <w:lang w:val="en-US" w:eastAsia="zh-CN"/>
                <w14:textFill>
                  <w14:solidFill>
                    <w14:schemeClr w14:val="tx1"/>
                  </w14:solidFill>
                </w14:textFill>
              </w:rPr>
              <w:t>0.057</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t/a，该部分残渣采用密闭容器收集，</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后于企业在车间内设置1间危险固废暂存间暂存，定期委托有组织的危险废物处置单位进行处理。</w:t>
            </w:r>
          </w:p>
          <w:p>
            <w:pPr>
              <w:pStyle w:val="2"/>
              <w:bidi w:val="0"/>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fldChar w:fldCharType="begin"/>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instrText xml:space="preserve"> = 6 \* GB3 \* MERGEFORMAT </w:instrText>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fldChar w:fldCharType="separate"/>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t>⑥</w:t>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fldChar w:fldCharType="end"/>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t>废RO过滤膜（含</w: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铬</w:t>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本项目</w:t>
            </w: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废水</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处理采用RO反渗透工艺，其中过滤膜需定期更换，更换周期为每2个月1次。此过程会有废RO过滤膜产生，产生量约0.05t/a。由于过滤过程沾有</w:t>
            </w: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铬</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，经查阅</w:t>
            </w:r>
            <w:r>
              <w:rPr>
                <w:rFonts w:hint="eastAsia" w:ascii="Times New Roman" w:hAnsi="Times New Roman" w:cs="Times New Roman"/>
                <w:b w:val="0"/>
                <w:bCs w:val="0"/>
                <w:color w:val="000000" w:themeColor="text1"/>
                <w:highlight w:val="none"/>
                <w:lang w:val="de-DE" w:eastAsia="zh-CN"/>
                <w14:textFill>
                  <w14:solidFill>
                    <w14:schemeClr w14:val="tx1"/>
                  </w14:solidFill>
                </w14:textFill>
              </w:rPr>
              <w:t>《国家危险废物名录》（2021年版）</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，废RO过滤膜属于危险废物，废物类别HW49其他废物，废物代码为900-041-49，危险特性为T/In。项目废RO过滤膜（含</w:t>
            </w: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铬</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）收集后使用密闭</w:t>
            </w: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桶装</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在危废间暂存，定期委托有资质单位进行安全处置。</w:t>
            </w:r>
          </w:p>
          <w:p>
            <w:pPr>
              <w:pStyle w:val="2"/>
              <w:bidi w:val="0"/>
              <w:rPr>
                <w:rFonts w:hint="default" w:ascii="Times New Roman" w:hAnsi="Times New Roman" w:cs="Times New Roman"/>
                <w:color w:val="000000" w:themeColor="text1"/>
                <w:highlight w:val="none"/>
                <w:lang w:val="de-DE"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fldChar w:fldCharType="begin"/>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instrText xml:space="preserve"> = 7 \* GB3 \* MERGEFORMAT </w:instrText>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fldChar w:fldCharType="separate"/>
            </w:r>
            <w:r>
              <w:rPr>
                <w:rFonts w:hint="default" w:ascii="Times New Roman" w:hAnsi="Times New Roman" w:cs="Times New Roman"/>
                <w:b/>
                <w:bCs/>
                <w:color w:val="000000" w:themeColor="text1"/>
                <w14:textFill>
                  <w14:solidFill>
                    <w14:schemeClr w14:val="tx1"/>
                  </w14:solidFill>
                </w14:textFill>
              </w:rPr>
              <w:t>⑦</w:t>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fldChar w:fldCharType="end"/>
            </w:r>
            <w:r>
              <w:rPr>
                <w:rFonts w:hint="default" w:ascii="Times New Roman" w:hAnsi="Times New Roman" w:cs="Times New Roman"/>
                <w:color w:val="000000" w:themeColor="text1"/>
                <w:highlight w:val="none"/>
                <w:lang w:val="de-DE" w:eastAsia="zh-CN"/>
                <w14:textFill>
                  <w14:solidFill>
                    <w14:schemeClr w14:val="tx1"/>
                  </w14:solidFill>
                </w14:textFill>
              </w:rPr>
              <w:t>废边角料</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项目各类钢板切割过程会产生一定量边角料，项目产品主要为圆形、椭圆形状的封头，因此使用方形钢板切割过程中会产生大量边料，按照每块切割出最大圆进行计算，同时</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参考《封头毛坯边料的合理利用》（化工设备设计，1993年06期），封头制作过程中废边料可用于再次加工制造为封头鞍座进行重复利用，</w:t>
            </w:r>
            <w:r>
              <w:rPr>
                <w:rFonts w:hint="eastAsia" w:cs="Times New Roman"/>
                <w:bCs/>
                <w:color w:val="000000" w:themeColor="text1"/>
                <w:kern w:val="0"/>
                <w:sz w:val="21"/>
                <w:szCs w:val="21"/>
                <w:highlight w:val="none"/>
                <w:lang w:eastAsia="zh-CN"/>
                <w14:textFill>
                  <w14:solidFill>
                    <w14:schemeClr w14:val="tx1"/>
                  </w14:solidFill>
                </w14:textFill>
              </w:rPr>
              <w:t>经重复利用后，剩余</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废边角约按照钢板总用量</w:t>
            </w:r>
            <w:r>
              <w:rPr>
                <w:rFonts w:hint="eastAsia" w:cs="Times New Roman"/>
                <w:bCs/>
                <w:color w:val="000000" w:themeColor="text1"/>
                <w:kern w:val="0"/>
                <w:sz w:val="21"/>
                <w:szCs w:val="21"/>
                <w:highlight w:val="none"/>
                <w:lang w:val="en-US" w:eastAsia="zh-CN"/>
                <w14:textFill>
                  <w14:solidFill>
                    <w14:schemeClr w14:val="tx1"/>
                  </w14:solidFill>
                </w14:textFill>
              </w:rPr>
              <w:t>约</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为</w:t>
            </w:r>
            <w:r>
              <w:rPr>
                <w:rFonts w:hint="eastAsia" w:cs="Times New Roman"/>
                <w:bCs/>
                <w:color w:val="000000" w:themeColor="text1"/>
                <w:kern w:val="0"/>
                <w:sz w:val="21"/>
                <w:szCs w:val="21"/>
                <w:highlight w:val="none"/>
                <w:lang w:val="en-US" w:eastAsia="zh-CN"/>
                <w14:textFill>
                  <w14:solidFill>
                    <w14:schemeClr w14:val="tx1"/>
                  </w14:solidFill>
                </w14:textFill>
              </w:rPr>
              <w:t>1300</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t/a，经设置一般固废暂存间暂存后，定期外售废品回收单位综合利用。</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fldChar w:fldCharType="begin"/>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instrText xml:space="preserve"> = 8 \* GB3 \* MERGEFORMAT </w:instrText>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fldChar w:fldCharType="separate"/>
            </w:r>
            <w:r>
              <w:rPr>
                <w:rFonts w:hint="default" w:ascii="Times New Roman" w:hAnsi="Times New Roman" w:cs="Times New Roman"/>
                <w:b/>
                <w:bCs/>
                <w:color w:val="000000" w:themeColor="text1"/>
                <w14:textFill>
                  <w14:solidFill>
                    <w14:schemeClr w14:val="tx1"/>
                  </w14:solidFill>
                </w14:textFill>
              </w:rPr>
              <w:t>⑧</w:t>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fldChar w:fldCharType="end"/>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t>废</w:t>
            </w:r>
            <w: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包装材料</w:t>
            </w:r>
          </w:p>
          <w:p>
            <w:pPr>
              <w:keepNext w:val="0"/>
              <w:keepLines w:val="0"/>
              <w:pageBreakBefore w:val="0"/>
              <w:widowControl w:val="0"/>
              <w:kinsoku/>
              <w:wordWrap/>
              <w:overflowPunct/>
              <w:topLinePunct w:val="0"/>
              <w:bidi w:val="0"/>
              <w:adjustRightInd/>
              <w:snapToGrid/>
              <w:spacing w:line="360" w:lineRule="auto"/>
              <w:ind w:firstLine="420" w:firstLineChars="200"/>
              <w:jc w:val="both"/>
              <w:textAlignment w:val="auto"/>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项目原辅材料拆包后会产生一定量废包装材料，主要为药芯焊丝使用后产生的废纸箱包装和塑料绕盘，以及焊剂使用后废包</w:t>
            </w:r>
            <w:r>
              <w:rPr>
                <w:rFonts w:hint="eastAsia" w:cs="Times New Roman"/>
                <w:bCs/>
                <w:color w:val="000000" w:themeColor="text1"/>
                <w:kern w:val="0"/>
                <w:sz w:val="21"/>
                <w:szCs w:val="21"/>
                <w:highlight w:val="none"/>
                <w:lang w:eastAsia="zh-CN"/>
                <w14:textFill>
                  <w14:solidFill>
                    <w14:schemeClr w14:val="tx1"/>
                  </w14:solidFill>
                </w14:textFill>
              </w:rPr>
              <w:t>桶</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，均属于一般固废。根据企业提供资料，工程购买的药芯焊丝为纸箱包装，每箱共计</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5盘（每盘药芯焊丝净重15kg），</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工程年用药芯焊丝用量约</w:t>
            </w:r>
            <w:r>
              <w:rPr>
                <w:rFonts w:hint="eastAsia" w:cs="Times New Roman"/>
                <w:bCs/>
                <w:color w:val="000000" w:themeColor="text1"/>
                <w:kern w:val="0"/>
                <w:sz w:val="21"/>
                <w:szCs w:val="21"/>
                <w:highlight w:val="none"/>
                <w:lang w:val="en-US" w:eastAsia="zh-CN"/>
                <w14:textFill>
                  <w14:solidFill>
                    <w14:schemeClr w14:val="tx1"/>
                  </w14:solidFill>
                </w14:textFill>
              </w:rPr>
              <w:t>20</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t（折合约</w:t>
            </w:r>
            <w:r>
              <w:rPr>
                <w:rFonts w:hint="eastAsia" w:cs="Times New Roman"/>
                <w:bCs/>
                <w:color w:val="000000" w:themeColor="text1"/>
                <w:kern w:val="0"/>
                <w:sz w:val="21"/>
                <w:szCs w:val="21"/>
                <w:highlight w:val="none"/>
                <w:lang w:val="en-US" w:eastAsia="zh-CN"/>
                <w14:textFill>
                  <w14:solidFill>
                    <w14:schemeClr w14:val="tx1"/>
                  </w14:solidFill>
                </w14:textFill>
              </w:rPr>
              <w:t>267</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箱</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，每箱药芯焊丝使用后产生废纸箱约0.5kg，产生的废绕盘约2kg</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，则药芯焊丝使用后废包装材料产生量共计为</w:t>
            </w:r>
            <w:r>
              <w:rPr>
                <w:rFonts w:hint="eastAsia" w:cs="Times New Roman"/>
                <w:bCs/>
                <w:color w:val="000000" w:themeColor="text1"/>
                <w:kern w:val="0"/>
                <w:sz w:val="21"/>
                <w:szCs w:val="21"/>
                <w:highlight w:val="none"/>
                <w:lang w:val="en-US" w:eastAsia="zh-CN"/>
                <w14:textFill>
                  <w14:solidFill>
                    <w14:schemeClr w14:val="tx1"/>
                  </w14:solidFill>
                </w14:textFill>
              </w:rPr>
              <w:t>2.793</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t/a；焊剂</w:t>
            </w:r>
            <w:r>
              <w:rPr>
                <w:rFonts w:hint="eastAsia" w:cs="Times New Roman"/>
                <w:bCs/>
                <w:color w:val="000000" w:themeColor="text1"/>
                <w:kern w:val="0"/>
                <w:sz w:val="21"/>
                <w:szCs w:val="21"/>
                <w:highlight w:val="none"/>
                <w:lang w:eastAsia="zh-CN"/>
                <w14:textFill>
                  <w14:solidFill>
                    <w14:schemeClr w14:val="tx1"/>
                  </w14:solidFill>
                </w14:textFill>
              </w:rPr>
              <w:t>包装规格为</w:t>
            </w:r>
            <w:r>
              <w:rPr>
                <w:rFonts w:hint="default" w:cs="Times New Roman"/>
                <w:bCs/>
                <w:color w:val="000000" w:themeColor="text1"/>
                <w:kern w:val="0"/>
                <w:sz w:val="21"/>
                <w:szCs w:val="21"/>
                <w:highlight w:val="none"/>
                <w:lang w:val="en-US" w:eastAsia="zh-CN"/>
                <w14:textFill>
                  <w14:solidFill>
                    <w14:schemeClr w14:val="tx1"/>
                  </w14:solidFill>
                </w14:textFill>
              </w:rPr>
              <w:t>50kg/桶</w:t>
            </w:r>
            <w:r>
              <w:rPr>
                <w:rFonts w:hint="eastAsia" w:cs="Times New Roman"/>
                <w:bCs/>
                <w:color w:val="000000" w:themeColor="text1"/>
                <w:kern w:val="0"/>
                <w:sz w:val="21"/>
                <w:szCs w:val="21"/>
                <w:highlight w:val="none"/>
                <w:lang w:eastAsia="zh-CN"/>
                <w14:textFill>
                  <w14:solidFill>
                    <w14:schemeClr w14:val="tx1"/>
                  </w14:solidFill>
                </w14:textFill>
              </w:rPr>
              <w:t>，</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年用量为</w:t>
            </w:r>
            <w:r>
              <w:rPr>
                <w:rFonts w:hint="eastAsia" w:cs="Times New Roman"/>
                <w:bCs/>
                <w:color w:val="000000" w:themeColor="text1"/>
                <w:kern w:val="0"/>
                <w:sz w:val="21"/>
                <w:szCs w:val="21"/>
                <w:highlight w:val="none"/>
                <w:lang w:val="en-US" w:eastAsia="zh-CN"/>
                <w14:textFill>
                  <w14:solidFill>
                    <w14:schemeClr w14:val="tx1"/>
                  </w14:solidFill>
                </w14:textFill>
              </w:rPr>
              <w:t>2</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5t（折合约</w:t>
            </w:r>
            <w:r>
              <w:rPr>
                <w:rFonts w:hint="eastAsia" w:cs="Times New Roman"/>
                <w:bCs/>
                <w:color w:val="000000" w:themeColor="text1"/>
                <w:kern w:val="0"/>
                <w:sz w:val="21"/>
                <w:szCs w:val="21"/>
                <w:highlight w:val="none"/>
                <w:lang w:val="en-US" w:eastAsia="zh-CN"/>
                <w14:textFill>
                  <w14:solidFill>
                    <w14:schemeClr w14:val="tx1"/>
                  </w14:solidFill>
                </w14:textFill>
              </w:rPr>
              <w:t>500</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桶</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，每桶药剂使用后废桶约1kg</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，则焊剂使用后废包装</w:t>
            </w:r>
            <w:r>
              <w:rPr>
                <w:rFonts w:hint="eastAsia" w:cs="Times New Roman"/>
                <w:bCs/>
                <w:color w:val="000000" w:themeColor="text1"/>
                <w:kern w:val="0"/>
                <w:sz w:val="21"/>
                <w:szCs w:val="21"/>
                <w:highlight w:val="none"/>
                <w:lang w:eastAsia="zh-CN"/>
                <w14:textFill>
                  <w14:solidFill>
                    <w14:schemeClr w14:val="tx1"/>
                  </w14:solidFill>
                </w14:textFill>
              </w:rPr>
              <w:t>桶</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产生量为</w:t>
            </w:r>
            <w:r>
              <w:rPr>
                <w:rFonts w:hint="eastAsia" w:cs="Times New Roman"/>
                <w:bCs/>
                <w:color w:val="000000" w:themeColor="text1"/>
                <w:kern w:val="0"/>
                <w:sz w:val="21"/>
                <w:szCs w:val="21"/>
                <w:highlight w:val="none"/>
                <w:lang w:val="en-US" w:eastAsia="zh-CN"/>
                <w14:textFill>
                  <w14:solidFill>
                    <w14:schemeClr w14:val="tx1"/>
                  </w14:solidFill>
                </w14:textFill>
              </w:rPr>
              <w:t>0.5</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t/a</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w:t>
            </w:r>
            <w:r>
              <w:rPr>
                <w:rFonts w:hint="eastAsia" w:cs="Times New Roman"/>
                <w:bCs/>
                <w:color w:val="000000" w:themeColor="text1"/>
                <w:kern w:val="0"/>
                <w:sz w:val="21"/>
                <w:szCs w:val="21"/>
                <w:highlight w:val="none"/>
                <w:lang w:eastAsia="zh-CN"/>
                <w14:textFill>
                  <w14:solidFill>
                    <w14:schemeClr w14:val="tx1"/>
                  </w14:solidFill>
                </w14:textFill>
              </w:rPr>
              <w:t>综上，</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工程焊丝和焊剂使用后废包装量共计</w:t>
            </w:r>
            <w:r>
              <w:rPr>
                <w:rFonts w:hint="eastAsia" w:cs="Times New Roman"/>
                <w:bCs/>
                <w:color w:val="000000" w:themeColor="text1"/>
                <w:kern w:val="0"/>
                <w:sz w:val="21"/>
                <w:szCs w:val="21"/>
                <w:highlight w:val="none"/>
                <w:lang w:val="en-US" w:eastAsia="zh-CN"/>
                <w14:textFill>
                  <w14:solidFill>
                    <w14:schemeClr w14:val="tx1"/>
                  </w14:solidFill>
                </w14:textFill>
              </w:rPr>
              <w:t>3.293</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t/a</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，均通过设置的一般固废暂存间暂存后，定期由原料供应厂家回收进行重复利用。</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fldChar w:fldCharType="begin"/>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instrText xml:space="preserve"> = 9 \* GB3 \* MERGEFORMAT </w:instrText>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fldChar w:fldCharType="separate"/>
            </w:r>
            <w:r>
              <w:rPr>
                <w:rFonts w:hint="default" w:ascii="Times New Roman" w:hAnsi="Times New Roman" w:cs="Times New Roman"/>
                <w:b/>
                <w:bCs/>
                <w:color w:val="000000" w:themeColor="text1"/>
                <w14:textFill>
                  <w14:solidFill>
                    <w14:schemeClr w14:val="tx1"/>
                  </w14:solidFill>
                </w14:textFill>
              </w:rPr>
              <w:t>⑨</w:t>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fldChar w:fldCharType="end"/>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t>袋式除尘器集尘</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t>项目设置的</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脉冲</w:t>
            </w:r>
            <w:r>
              <w:rPr>
                <w:rFonts w:hint="default" w:ascii="Times New Roman" w:hAnsi="Times New Roman" w:cs="Times New Roman"/>
                <w:bCs/>
                <w:color w:val="000000" w:themeColor="text1"/>
                <w:kern w:val="0"/>
                <w:sz w:val="21"/>
                <w:szCs w:val="21"/>
                <w:highlight w:val="none"/>
                <w14:textFill>
                  <w14:solidFill>
                    <w14:schemeClr w14:val="tx1"/>
                  </w14:solidFill>
                </w14:textFill>
              </w:rPr>
              <w:t>袋式除尘器在定期清理过程会产生集尘，</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主要为金属颗粒，属于一般固废，</w:t>
            </w:r>
            <w:r>
              <w:rPr>
                <w:rFonts w:hint="default" w:ascii="Times New Roman" w:hAnsi="Times New Roman" w:cs="Times New Roman"/>
                <w:bCs/>
                <w:color w:val="000000" w:themeColor="text1"/>
                <w:kern w:val="0"/>
                <w:sz w:val="21"/>
                <w:szCs w:val="21"/>
                <w:highlight w:val="none"/>
                <w14:textFill>
                  <w14:solidFill>
                    <w14:schemeClr w14:val="tx1"/>
                  </w14:solidFill>
                </w14:textFill>
              </w:rPr>
              <w:t>经计算产生量约为</w:t>
            </w:r>
            <w:r>
              <w:rPr>
                <w:rFonts w:hint="eastAsia" w:cs="Times New Roman"/>
                <w:bCs/>
                <w:color w:val="000000" w:themeColor="text1"/>
                <w:kern w:val="0"/>
                <w:sz w:val="21"/>
                <w:szCs w:val="21"/>
                <w:highlight w:val="none"/>
                <w:lang w:val="en-US" w:eastAsia="zh-CN"/>
                <w14:textFill>
                  <w14:solidFill>
                    <w14:schemeClr w14:val="tx1"/>
                  </w14:solidFill>
                </w14:textFill>
              </w:rPr>
              <w:t>100.8299</w:t>
            </w:r>
            <w:r>
              <w:rPr>
                <w:rFonts w:hint="default" w:ascii="Times New Roman" w:hAnsi="Times New Roman" w:cs="Times New Roman"/>
                <w:bCs/>
                <w:color w:val="000000" w:themeColor="text1"/>
                <w:kern w:val="0"/>
                <w:sz w:val="21"/>
                <w:szCs w:val="21"/>
                <w:highlight w:val="none"/>
                <w14:textFill>
                  <w14:solidFill>
                    <w14:schemeClr w14:val="tx1"/>
                  </w14:solidFill>
                </w14:textFill>
              </w:rPr>
              <w:t>t/a，该部分集尘经密闭容器收集后于</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车间内</w:t>
            </w:r>
            <w:r>
              <w:rPr>
                <w:rFonts w:hint="default" w:ascii="Times New Roman" w:hAnsi="Times New Roman" w:cs="Times New Roman"/>
                <w:bCs/>
                <w:color w:val="000000" w:themeColor="text1"/>
                <w:kern w:val="0"/>
                <w:sz w:val="21"/>
                <w:szCs w:val="21"/>
                <w:highlight w:val="none"/>
                <w14:textFill>
                  <w14:solidFill>
                    <w14:schemeClr w14:val="tx1"/>
                  </w14:solidFill>
                </w14:textFill>
              </w:rPr>
              <w:t>设置的一般固废暂存区域暂存，定期</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外售废品回收单位</w:t>
            </w:r>
            <w:r>
              <w:rPr>
                <w:rFonts w:hint="default" w:ascii="Times New Roman" w:hAnsi="Times New Roman" w:cs="Times New Roman"/>
                <w:bCs/>
                <w:color w:val="000000" w:themeColor="text1"/>
                <w:kern w:val="0"/>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fldChar w:fldCharType="begin"/>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instrText xml:space="preserve"> EQ \o\ac(</w:instrText>
            </w:r>
            <w: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instrText xml:space="preserve">○</w:instrTex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instrText xml:space="preserve">,</w:instrText>
            </w:r>
            <w:r>
              <w:rPr>
                <w:rFonts w:hint="eastAsia" w:ascii="Times New Roman" w:hAnsi="Times New Roman" w:eastAsia="宋体" w:cs="Times New Roman"/>
                <w:b/>
                <w:bCs/>
                <w:color w:val="000000" w:themeColor="text1"/>
                <w:kern w:val="0"/>
                <w:position w:val="2"/>
                <w:sz w:val="14"/>
                <w:szCs w:val="21"/>
                <w:highlight w:val="none"/>
                <w:lang w:val="en-US" w:eastAsia="zh-CN" w:bidi="ar-SA"/>
                <w14:textFill>
                  <w14:solidFill>
                    <w14:schemeClr w14:val="tx1"/>
                  </w14:solidFill>
                </w14:textFill>
              </w:rPr>
              <w:instrText xml:space="preserve">10</w:instrTex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instrText xml:space="preserve">)</w:instrText>
            </w: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fldChar w:fldCharType="end"/>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t>废焊渣</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de-DE" w:eastAsia="zh-CN"/>
                <w14:textFill>
                  <w14:solidFill>
                    <w14:schemeClr w14:val="tx1"/>
                  </w14:solidFill>
                </w14:textFill>
              </w:rPr>
              <w:t>工程埋弧焊过程会产生一定量的焊渣，主要为焊接过程中熔滴阶段产生的金属和非金属氧化物，参考《药芯焊丝混合气体保护焊的熔敷特性研究》（《热加工工艺》</w:t>
            </w:r>
            <w:r>
              <w:rPr>
                <w:rFonts w:hint="default" w:ascii="Times New Roman" w:hAnsi="Times New Roman" w:cs="Times New Roman"/>
                <w:color w:val="000000" w:themeColor="text1"/>
                <w:highlight w:val="none"/>
                <w:lang w:val="en-US" w:eastAsia="zh-CN"/>
                <w14:textFill>
                  <w14:solidFill>
                    <w14:schemeClr w14:val="tx1"/>
                  </w14:solidFill>
                </w14:textFill>
              </w:rPr>
              <w:t>2006年第35卷第3期</w:t>
            </w:r>
            <w:r>
              <w:rPr>
                <w:rFonts w:hint="default" w:ascii="Times New Roman" w:hAnsi="Times New Roman" w:cs="Times New Roman"/>
                <w:color w:val="000000" w:themeColor="text1"/>
                <w:highlight w:val="none"/>
                <w:lang w:val="de-DE" w:eastAsia="zh-CN"/>
                <w14:textFill>
                  <w14:solidFill>
                    <w14:schemeClr w14:val="tx1"/>
                  </w14:solidFill>
                </w14:textFill>
              </w:rPr>
              <w:t>，陈长江）及同类项目，本次评价药芯焊丝熔敷率按照</w:t>
            </w:r>
            <w:r>
              <w:rPr>
                <w:rFonts w:hint="default" w:ascii="Times New Roman" w:hAnsi="Times New Roman" w:cs="Times New Roman"/>
                <w:color w:val="000000" w:themeColor="text1"/>
                <w:highlight w:val="none"/>
                <w:lang w:val="en-US" w:eastAsia="zh-CN"/>
                <w14:textFill>
                  <w14:solidFill>
                    <w14:schemeClr w14:val="tx1"/>
                  </w14:solidFill>
                </w14:textFill>
              </w:rPr>
              <w:t>88%计算，项目焊丝用量为</w:t>
            </w: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0t/a，则焊接过程焊渣产生量为</w:t>
            </w:r>
            <w:r>
              <w:rPr>
                <w:rFonts w:hint="eastAsia" w:cs="Times New Roman"/>
                <w:color w:val="000000" w:themeColor="text1"/>
                <w:highlight w:val="none"/>
                <w:lang w:val="en-US" w:eastAsia="zh-CN"/>
                <w14:textFill>
                  <w14:solidFill>
                    <w14:schemeClr w14:val="tx1"/>
                  </w14:solidFill>
                </w14:textFill>
              </w:rPr>
              <w:t>2.4</w:t>
            </w:r>
            <w:r>
              <w:rPr>
                <w:rFonts w:hint="default" w:ascii="Times New Roman" w:hAnsi="Times New Roman" w:cs="Times New Roman"/>
                <w:color w:val="000000" w:themeColor="text1"/>
                <w:highlight w:val="none"/>
                <w:lang w:val="en-US" w:eastAsia="zh-CN"/>
                <w14:textFill>
                  <w14:solidFill>
                    <w14:schemeClr w14:val="tx1"/>
                  </w14:solidFill>
                </w14:textFill>
              </w:rPr>
              <w:t>t/a。该部分焊渣采用容器收集，并在企业</w:t>
            </w:r>
            <w:r>
              <w:rPr>
                <w:rFonts w:hint="default" w:ascii="Times New Roman" w:hAnsi="Times New Roman" w:cs="Times New Roman"/>
                <w:bCs/>
                <w:color w:val="000000" w:themeColor="text1"/>
                <w:kern w:val="0"/>
                <w:sz w:val="21"/>
                <w:szCs w:val="21"/>
                <w:highlight w:val="none"/>
                <w14:textFill>
                  <w14:solidFill>
                    <w14:schemeClr w14:val="tx1"/>
                  </w14:solidFill>
                </w14:textFill>
              </w:rPr>
              <w:t>于</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车间内</w:t>
            </w:r>
            <w:r>
              <w:rPr>
                <w:rFonts w:hint="default" w:ascii="Times New Roman" w:hAnsi="Times New Roman" w:cs="Times New Roman"/>
                <w:bCs/>
                <w:color w:val="000000" w:themeColor="text1"/>
                <w:kern w:val="0"/>
                <w:sz w:val="21"/>
                <w:szCs w:val="21"/>
                <w:highlight w:val="none"/>
                <w14:textFill>
                  <w14:solidFill>
                    <w14:schemeClr w14:val="tx1"/>
                  </w14:solidFill>
                </w14:textFill>
              </w:rPr>
              <w:t>设置的一般固废暂存区域暂存，定期</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外售废品回收单位</w:t>
            </w:r>
            <w:r>
              <w:rPr>
                <w:rFonts w:hint="default" w:ascii="Times New Roman" w:hAnsi="Times New Roman" w:cs="Times New Roman"/>
                <w:bCs/>
                <w:color w:val="000000" w:themeColor="text1"/>
                <w:kern w:val="0"/>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fldChar w:fldCharType="begin"/>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instrText xml:space="preserve"> EQ \o\ac(</w:instrText>
            </w:r>
            <w:r>
              <w:rPr>
                <w:rFonts w:hint="eastAsia" w:ascii="Times New Roman" w:hAnsi="Times New Roman" w:eastAsia="宋体" w:cs="Times New Roman"/>
                <w:b/>
                <w:bCs/>
                <w:color w:val="000000" w:themeColor="text1"/>
                <w:kern w:val="0"/>
                <w:sz w:val="21"/>
                <w:szCs w:val="21"/>
                <w:highlight w:val="none"/>
                <w:lang w:val="de-DE" w:eastAsia="zh-CN" w:bidi="ar-SA"/>
                <w14:textFill>
                  <w14:solidFill>
                    <w14:schemeClr w14:val="tx1"/>
                  </w14:solidFill>
                </w14:textFill>
              </w:rPr>
              <w:instrText xml:space="preserve">○</w:instrText>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instrText xml:space="preserve">,</w:instrText>
            </w:r>
            <w:r>
              <w:rPr>
                <w:rFonts w:hint="default" w:ascii="Times New Roman" w:hAnsi="Times New Roman" w:eastAsia="宋体" w:cs="Times New Roman"/>
                <w:b/>
                <w:bCs/>
                <w:color w:val="000000" w:themeColor="text1"/>
                <w:kern w:val="0"/>
                <w:position w:val="2"/>
                <w:sz w:val="14"/>
                <w:szCs w:val="21"/>
                <w:highlight w:val="none"/>
                <w:lang w:val="de-DE" w:eastAsia="zh-CN" w:bidi="ar-SA"/>
                <w14:textFill>
                  <w14:solidFill>
                    <w14:schemeClr w14:val="tx1"/>
                  </w14:solidFill>
                </w14:textFill>
              </w:rPr>
              <w:instrText xml:space="preserve">11</w:instrText>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instrText xml:space="preserve">)</w:instrText>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fldChar w:fldCharType="end"/>
            </w:r>
            <w:r>
              <w:rPr>
                <w:rFonts w:hint="default" w:ascii="Times New Roman" w:hAnsi="Times New Roman" w:eastAsia="宋体" w:cs="Times New Roman"/>
                <w:b/>
                <w:bCs/>
                <w:color w:val="000000" w:themeColor="text1"/>
                <w:kern w:val="0"/>
                <w:sz w:val="21"/>
                <w:szCs w:val="21"/>
                <w:highlight w:val="none"/>
                <w:lang w:val="de-DE" w:eastAsia="zh-CN"/>
                <w14:textFill>
                  <w14:solidFill>
                    <w14:schemeClr w14:val="tx1"/>
                  </w14:solidFill>
                </w14:textFill>
              </w:rPr>
              <w:t>生活垃圾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t>项目生活垃圾产生量按照0.5kg/人</w:t>
            </w:r>
            <w:r>
              <w:rPr>
                <w:rFonts w:hint="default" w:ascii="Times New Roman" w:hAnsi="Times New Roman" w:eastAsia="宋体" w:cs="Times New Roman"/>
                <w:bCs/>
                <w:color w:val="000000" w:themeColor="text1"/>
                <w:kern w:val="0"/>
                <w:sz w:val="21"/>
                <w:szCs w:val="21"/>
                <w:highlight w:val="none"/>
                <w14:textFill>
                  <w14:solidFill>
                    <w14:schemeClr w14:val="tx1"/>
                  </w14:solidFill>
                </w14:textFill>
              </w:rPr>
              <w:t>·</w:t>
            </w:r>
            <w:r>
              <w:rPr>
                <w:rFonts w:hint="default" w:ascii="Times New Roman" w:hAnsi="Times New Roman" w:cs="Times New Roman"/>
                <w:bCs/>
                <w:color w:val="000000" w:themeColor="text1"/>
                <w:kern w:val="0"/>
                <w:sz w:val="21"/>
                <w:szCs w:val="21"/>
                <w:highlight w:val="none"/>
                <w14:textFill>
                  <w14:solidFill>
                    <w14:schemeClr w14:val="tx1"/>
                  </w14:solidFill>
                </w14:textFill>
              </w:rPr>
              <w:t>d计算，劳动定员</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20</w:t>
            </w:r>
            <w:r>
              <w:rPr>
                <w:rFonts w:hint="default" w:ascii="Times New Roman" w:hAnsi="Times New Roman" w:cs="Times New Roman"/>
                <w:bCs/>
                <w:color w:val="000000" w:themeColor="text1"/>
                <w:kern w:val="0"/>
                <w:sz w:val="21"/>
                <w:szCs w:val="21"/>
                <w:highlight w:val="none"/>
                <w14:textFill>
                  <w14:solidFill>
                    <w14:schemeClr w14:val="tx1"/>
                  </w14:solidFill>
                </w14:textFill>
              </w:rPr>
              <w:t>人，则职工办公生活垃圾产生量为</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3</w:t>
            </w:r>
            <w:r>
              <w:rPr>
                <w:rFonts w:hint="default" w:ascii="Times New Roman" w:hAnsi="Times New Roman" w:cs="Times New Roman"/>
                <w:bCs/>
                <w:color w:val="000000" w:themeColor="text1"/>
                <w:kern w:val="0"/>
                <w:sz w:val="21"/>
                <w:szCs w:val="21"/>
                <w:highlight w:val="none"/>
                <w14:textFill>
                  <w14:solidFill>
                    <w14:schemeClr w14:val="tx1"/>
                  </w14:solidFill>
                </w14:textFill>
              </w:rPr>
              <w:t>t/a。职工办公生活垃圾收集后交由环卫部门统一清运。</w:t>
            </w:r>
          </w:p>
          <w:p>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Chars="0" w:firstLine="420" w:firstLineChars="200"/>
              <w:jc w:val="both"/>
              <w:textAlignment w:val="auto"/>
              <w:rPr>
                <w:rFonts w:hint="default"/>
                <w:color w:val="000000" w:themeColor="text1"/>
                <w14:textFill>
                  <w14:solidFill>
                    <w14:schemeClr w14:val="tx1"/>
                  </w14:solidFill>
                </w14:textFill>
              </w:rPr>
            </w:pPr>
            <w:r>
              <w:rPr>
                <w:rFonts w:hint="default" w:ascii="Times New Roman" w:hAnsi="Times New Roman" w:cs="Times New Roman"/>
                <w:bCs/>
                <w:color w:val="000000" w:themeColor="text1"/>
                <w:kern w:val="0"/>
                <w:szCs w:val="21"/>
                <w:highlight w:val="none"/>
                <w14:textFill>
                  <w14:solidFill>
                    <w14:schemeClr w14:val="tx1"/>
                  </w14:solidFill>
                </w14:textFill>
              </w:rPr>
              <w:t>项目运营期固体废物产生及处理处置情况见表</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7</w:t>
            </w:r>
            <w:r>
              <w:rPr>
                <w:rFonts w:hint="eastAsia" w:ascii="Times New Roman" w:hAnsi="Times New Roman" w:cs="Times New Roman"/>
                <w:bCs/>
                <w:color w:val="000000" w:themeColor="text1"/>
                <w:kern w:val="0"/>
                <w:szCs w:val="21"/>
                <w:highlight w:val="none"/>
                <w:lang w:val="en-US" w:eastAsia="zh-CN"/>
                <w14:textFill>
                  <w14:solidFill>
                    <w14:schemeClr w14:val="tx1"/>
                  </w14:solidFill>
                </w14:textFill>
              </w:rPr>
              <w:t>2</w:t>
            </w:r>
            <w:r>
              <w:rPr>
                <w:rFonts w:hint="default" w:ascii="Times New Roman" w:hAnsi="Times New Roman" w:cs="Times New Roman"/>
                <w:bCs/>
                <w:color w:val="000000" w:themeColor="text1"/>
                <w:kern w:val="0"/>
                <w:szCs w:val="21"/>
                <w:highlight w:val="none"/>
                <w14:textFill>
                  <w14:solidFill>
                    <w14:schemeClr w14:val="tx1"/>
                  </w14:solidFill>
                </w14:textFill>
              </w:rPr>
              <w:t>，其中危险废物产生及处置情况见表</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7</w:t>
            </w:r>
            <w:r>
              <w:rPr>
                <w:rFonts w:hint="eastAsia" w:ascii="Times New Roman" w:hAnsi="Times New Roman" w:cs="Times New Roman"/>
                <w:bCs/>
                <w:color w:val="000000" w:themeColor="text1"/>
                <w:kern w:val="0"/>
                <w:szCs w:val="21"/>
                <w:highlight w:val="none"/>
                <w:lang w:val="en-US" w:eastAsia="zh-CN"/>
                <w14:textFill>
                  <w14:solidFill>
                    <w14:schemeClr w14:val="tx1"/>
                  </w14:solidFill>
                </w14:textFill>
              </w:rPr>
              <w:t>3</w:t>
            </w:r>
            <w:r>
              <w:rPr>
                <w:rFonts w:hint="default" w:ascii="Times New Roman" w:hAnsi="Times New Roman" w:cs="Times New Roman"/>
                <w:bCs/>
                <w:color w:val="000000" w:themeColor="text1"/>
                <w:kern w:val="0"/>
                <w:szCs w:val="21"/>
                <w:highlight w:val="none"/>
                <w14:textFill>
                  <w14:solidFill>
                    <w14:schemeClr w14:val="tx1"/>
                  </w14:solidFill>
                </w14:textFill>
              </w:rPr>
              <w:t>，危险废物贮存场所基本情况见表</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7</w:t>
            </w:r>
            <w:r>
              <w:rPr>
                <w:rFonts w:hint="eastAsia" w:ascii="Times New Roman" w:hAnsi="Times New Roman" w:cs="Times New Roman"/>
                <w:bCs/>
                <w:color w:val="000000" w:themeColor="text1"/>
                <w:kern w:val="0"/>
                <w:szCs w:val="21"/>
                <w:highlight w:val="none"/>
                <w:lang w:val="en-US" w:eastAsia="zh-CN"/>
                <w14:textFill>
                  <w14:solidFill>
                    <w14:schemeClr w14:val="tx1"/>
                  </w14:solidFill>
                </w14:textFill>
              </w:rPr>
              <w:t>4</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固废产生情况及治理措施一览表</w:t>
            </w:r>
          </w:p>
          <w:tbl>
            <w:tblPr>
              <w:tblStyle w:val="21"/>
              <w:tblW w:w="5000" w:type="pct"/>
              <w:jc w:val="center"/>
              <w:tblBorders>
                <w:top w:val="single" w:color="auto" w:sz="2" w:space="0"/>
                <w:left w:val="none" w:color="auto" w:sz="0" w:space="0"/>
                <w:bottom w:val="single" w:color="auto" w:sz="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660"/>
              <w:gridCol w:w="1252"/>
              <w:gridCol w:w="1051"/>
              <w:gridCol w:w="1762"/>
              <w:gridCol w:w="1006"/>
              <w:gridCol w:w="2577"/>
            </w:tblGrid>
            <w:tr>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9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序号</w:t>
                  </w:r>
                </w:p>
              </w:tc>
              <w:tc>
                <w:tcPr>
                  <w:tcW w:w="753"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名称</w:t>
                  </w:r>
                </w:p>
              </w:tc>
              <w:tc>
                <w:tcPr>
                  <w:tcW w:w="632" w:type="pct"/>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属性</w:t>
                  </w:r>
                </w:p>
              </w:tc>
              <w:tc>
                <w:tcPr>
                  <w:tcW w:w="1060" w:type="pct"/>
                  <w:tcBorders>
                    <w:lef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废物类别</w:t>
                  </w: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及代码</w:t>
                  </w:r>
                </w:p>
              </w:tc>
              <w:tc>
                <w:tcPr>
                  <w:tcW w:w="60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产生量（t/a）</w:t>
                  </w:r>
                </w:p>
              </w:tc>
              <w:tc>
                <w:tcPr>
                  <w:tcW w:w="1550"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处置措施</w:t>
                  </w:r>
                </w:p>
              </w:tc>
            </w:tr>
            <w:tr>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9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1</w:t>
                  </w:r>
                </w:p>
              </w:tc>
              <w:tc>
                <w:tcPr>
                  <w:tcW w:w="753"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废液压油</w:t>
                  </w:r>
                </w:p>
              </w:tc>
              <w:tc>
                <w:tcPr>
                  <w:tcW w:w="632" w:type="pct"/>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危险固废</w:t>
                  </w:r>
                </w:p>
              </w:tc>
              <w:tc>
                <w:tcPr>
                  <w:tcW w:w="1060" w:type="pct"/>
                  <w:tcBorders>
                    <w:lef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t>HW08-900-218-08</w:t>
                  </w:r>
                </w:p>
              </w:tc>
              <w:tc>
                <w:tcPr>
                  <w:tcW w:w="60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2.2</w:t>
                  </w:r>
                </w:p>
              </w:tc>
              <w:tc>
                <w:tcPr>
                  <w:tcW w:w="1550" w:type="pct"/>
                  <w:vMerge w:val="restar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危险固废暂存间暂存，定期委托有资质的危废处置单位</w:t>
                  </w: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回收处理</w:t>
                  </w:r>
                </w:p>
              </w:tc>
            </w:tr>
            <w:tr>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9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2</w:t>
                  </w:r>
                </w:p>
              </w:tc>
              <w:tc>
                <w:tcPr>
                  <w:tcW w:w="753"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废润滑油</w:t>
                  </w:r>
                </w:p>
              </w:tc>
              <w:tc>
                <w:tcPr>
                  <w:tcW w:w="632" w:type="pct"/>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危险</w:t>
                  </w: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固废</w:t>
                  </w:r>
                </w:p>
              </w:tc>
              <w:tc>
                <w:tcPr>
                  <w:tcW w:w="1060" w:type="pct"/>
                  <w:tcBorders>
                    <w:lef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HW08-900-21</w:t>
                  </w: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7</w:t>
                  </w: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-08</w:t>
                  </w:r>
                </w:p>
              </w:tc>
              <w:tc>
                <w:tcPr>
                  <w:tcW w:w="60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0.5</w:t>
                  </w:r>
                </w:p>
              </w:tc>
              <w:tc>
                <w:tcPr>
                  <w:tcW w:w="1550"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p>
              </w:tc>
            </w:tr>
            <w:tr>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PrEx>
              <w:trPr>
                <w:trHeight w:val="454" w:hRule="atLeast"/>
                <w:jc w:val="center"/>
              </w:trPr>
              <w:tc>
                <w:tcPr>
                  <w:tcW w:w="39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3</w:t>
                  </w:r>
                </w:p>
              </w:tc>
              <w:tc>
                <w:tcPr>
                  <w:tcW w:w="753"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eastAsia" w:cs="Times New Roman" w:eastAsiaTheme="minorEastAsia"/>
                      <w:b w:val="0"/>
                      <w:bCs w:val="0"/>
                      <w:color w:val="000000" w:themeColor="text1"/>
                      <w:sz w:val="18"/>
                      <w:szCs w:val="18"/>
                      <w:highlight w:val="none"/>
                      <w:u w:val="none"/>
                      <w:lang w:eastAsia="zh-CN"/>
                      <w14:textFill>
                        <w14:solidFill>
                          <w14:schemeClr w14:val="tx1"/>
                        </w14:solidFill>
                      </w14:textFill>
                    </w:rPr>
                    <w:t>隔油池油污</w:t>
                  </w:r>
                </w:p>
              </w:tc>
              <w:tc>
                <w:tcPr>
                  <w:tcW w:w="632" w:type="pct"/>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危险</w:t>
                  </w: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固废</w:t>
                  </w:r>
                </w:p>
              </w:tc>
              <w:tc>
                <w:tcPr>
                  <w:tcW w:w="1060" w:type="pct"/>
                  <w:tcBorders>
                    <w:lef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HW08</w:t>
                  </w:r>
                  <w:r>
                    <w:rPr>
                      <w:rFonts w:hint="eastAsia" w:cs="Times New Roman"/>
                      <w:color w:val="000000" w:themeColor="text1"/>
                      <w:kern w:val="2"/>
                      <w:sz w:val="18"/>
                      <w:szCs w:val="18"/>
                      <w:highlight w:val="none"/>
                      <w:lang w:val="en-US" w:eastAsia="zh-CN" w:bidi="ar-SA"/>
                      <w14:textFill>
                        <w14:solidFill>
                          <w14:schemeClr w14:val="tx1"/>
                        </w14:solidFill>
                      </w14:textFill>
                    </w:rPr>
                    <w:t>-900-210-08</w:t>
                  </w:r>
                </w:p>
              </w:tc>
              <w:tc>
                <w:tcPr>
                  <w:tcW w:w="60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eastAsia"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0.0005</w:t>
                  </w:r>
                </w:p>
              </w:tc>
              <w:tc>
                <w:tcPr>
                  <w:tcW w:w="1550"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p>
              </w:tc>
            </w:tr>
            <w:tr>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9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4</w:t>
                  </w:r>
                </w:p>
              </w:tc>
              <w:tc>
                <w:tcPr>
                  <w:tcW w:w="753"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eastAsia" w:cs="Times New Roman" w:eastAsiaTheme="minorEastAsia"/>
                      <w:b w:val="0"/>
                      <w:bCs w:val="0"/>
                      <w:color w:val="000000" w:themeColor="text1"/>
                      <w:sz w:val="18"/>
                      <w:szCs w:val="18"/>
                      <w:highlight w:val="none"/>
                      <w:u w:val="none"/>
                      <w:lang w:eastAsia="zh-CN"/>
                      <w14:textFill>
                        <w14:solidFill>
                          <w14:schemeClr w14:val="tx1"/>
                        </w14:solidFill>
                      </w14:textFill>
                    </w:rPr>
                    <w:t>污水处理设施清理污泥</w:t>
                  </w:r>
                </w:p>
              </w:tc>
              <w:tc>
                <w:tcPr>
                  <w:tcW w:w="632" w:type="pct"/>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危险</w:t>
                  </w: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固废</w:t>
                  </w:r>
                </w:p>
              </w:tc>
              <w:tc>
                <w:tcPr>
                  <w:tcW w:w="1060" w:type="pct"/>
                  <w:tcBorders>
                    <w:lef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HW</w:t>
                  </w:r>
                  <w:r>
                    <w:rPr>
                      <w:rFonts w:hint="eastAsia"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49</w:t>
                  </w:r>
                  <w:r>
                    <w:rPr>
                      <w:rFonts w:hint="eastAsia" w:cs="Times New Roman"/>
                      <w:color w:val="000000" w:themeColor="text1"/>
                      <w:kern w:val="2"/>
                      <w:sz w:val="18"/>
                      <w:szCs w:val="18"/>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772-006-49</w:t>
                  </w:r>
                </w:p>
              </w:tc>
              <w:tc>
                <w:tcPr>
                  <w:tcW w:w="60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eastAsia"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160</w:t>
                  </w:r>
                </w:p>
              </w:tc>
              <w:tc>
                <w:tcPr>
                  <w:tcW w:w="1550"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p>
              </w:tc>
            </w:tr>
            <w:tr>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PrEx>
              <w:trPr>
                <w:trHeight w:val="454" w:hRule="atLeast"/>
                <w:jc w:val="center"/>
              </w:trPr>
              <w:tc>
                <w:tcPr>
                  <w:tcW w:w="39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eastAsia" w:cs="Times New Roman" w:eastAsiaTheme="minorEastAsia"/>
                      <w:b w:val="0"/>
                      <w:bCs w:val="0"/>
                      <w:color w:val="000000" w:themeColor="text1"/>
                      <w:sz w:val="18"/>
                      <w:szCs w:val="18"/>
                      <w:highlight w:val="none"/>
                      <w:u w:val="none"/>
                      <w:lang w:val="en-US" w:eastAsia="zh-CN"/>
                      <w14:textFill>
                        <w14:solidFill>
                          <w14:schemeClr w14:val="tx1"/>
                        </w14:solidFill>
                      </w14:textFill>
                    </w:rPr>
                    <w:t>5</w:t>
                  </w:r>
                </w:p>
              </w:tc>
              <w:tc>
                <w:tcPr>
                  <w:tcW w:w="753"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高效蒸发浓缩残渣</w:t>
                  </w:r>
                </w:p>
              </w:tc>
              <w:tc>
                <w:tcPr>
                  <w:tcW w:w="632" w:type="pct"/>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危险</w:t>
                  </w: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固废</w:t>
                  </w:r>
                </w:p>
              </w:tc>
              <w:tc>
                <w:tcPr>
                  <w:tcW w:w="1060" w:type="pct"/>
                  <w:tcBorders>
                    <w:lef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HW</w:t>
                  </w:r>
                  <w:r>
                    <w:rPr>
                      <w:rFonts w:hint="eastAsia"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49</w:t>
                  </w:r>
                  <w:r>
                    <w:rPr>
                      <w:rFonts w:hint="eastAsia" w:cs="Times New Roman"/>
                      <w:color w:val="000000" w:themeColor="text1"/>
                      <w:kern w:val="2"/>
                      <w:sz w:val="18"/>
                      <w:szCs w:val="18"/>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772-006-49</w:t>
                  </w:r>
                </w:p>
              </w:tc>
              <w:tc>
                <w:tcPr>
                  <w:tcW w:w="60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eastAsia"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0.057</w:t>
                  </w:r>
                </w:p>
              </w:tc>
              <w:tc>
                <w:tcPr>
                  <w:tcW w:w="1550"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p>
              </w:tc>
            </w:tr>
            <w:tr>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9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eastAsia" w:cs="Times New Roman" w:eastAsiaTheme="minorEastAsia"/>
                      <w:b w:val="0"/>
                      <w:bCs w:val="0"/>
                      <w:color w:val="000000" w:themeColor="text1"/>
                      <w:sz w:val="18"/>
                      <w:szCs w:val="18"/>
                      <w:highlight w:val="none"/>
                      <w:u w:val="none"/>
                      <w:lang w:val="en-US" w:eastAsia="zh-CN"/>
                      <w14:textFill>
                        <w14:solidFill>
                          <w14:schemeClr w14:val="tx1"/>
                        </w14:solidFill>
                      </w14:textFill>
                    </w:rPr>
                    <w:t>6</w:t>
                  </w:r>
                </w:p>
              </w:tc>
              <w:tc>
                <w:tcPr>
                  <w:tcW w:w="753"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废RO过滤膜（含铬）</w:t>
                  </w:r>
                </w:p>
              </w:tc>
              <w:tc>
                <w:tcPr>
                  <w:tcW w:w="632" w:type="pct"/>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危险</w:t>
                  </w: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固废</w:t>
                  </w:r>
                </w:p>
              </w:tc>
              <w:tc>
                <w:tcPr>
                  <w:tcW w:w="1060" w:type="pct"/>
                  <w:tcBorders>
                    <w:lef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HW49</w:t>
                  </w:r>
                  <w:r>
                    <w:rPr>
                      <w:rFonts w:hint="eastAsia" w:cs="Times New Roman"/>
                      <w:color w:val="000000" w:themeColor="text1"/>
                      <w:kern w:val="2"/>
                      <w:sz w:val="18"/>
                      <w:szCs w:val="18"/>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900-041-49</w:t>
                  </w:r>
                </w:p>
              </w:tc>
              <w:tc>
                <w:tcPr>
                  <w:tcW w:w="60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eastAsia"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0.05</w:t>
                  </w:r>
                </w:p>
              </w:tc>
              <w:tc>
                <w:tcPr>
                  <w:tcW w:w="1550"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p>
              </w:tc>
            </w:tr>
            <w:tr>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PrEx>
              <w:trPr>
                <w:trHeight w:val="454" w:hRule="atLeast"/>
                <w:jc w:val="center"/>
              </w:trPr>
              <w:tc>
                <w:tcPr>
                  <w:tcW w:w="39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eastAsia" w:cs="Times New Roman" w:eastAsiaTheme="minorEastAsia"/>
                      <w:b w:val="0"/>
                      <w:bCs w:val="0"/>
                      <w:color w:val="000000" w:themeColor="text1"/>
                      <w:sz w:val="18"/>
                      <w:szCs w:val="18"/>
                      <w:highlight w:val="none"/>
                      <w:u w:val="none"/>
                      <w:lang w:val="en-US" w:eastAsia="zh-CN"/>
                      <w14:textFill>
                        <w14:solidFill>
                          <w14:schemeClr w14:val="tx1"/>
                        </w14:solidFill>
                      </w14:textFill>
                    </w:rPr>
                    <w:t>7</w:t>
                  </w:r>
                </w:p>
              </w:tc>
              <w:tc>
                <w:tcPr>
                  <w:tcW w:w="753"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废边角料</w:t>
                  </w:r>
                </w:p>
              </w:tc>
              <w:tc>
                <w:tcPr>
                  <w:tcW w:w="632" w:type="pct"/>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一般固废</w:t>
                  </w:r>
                </w:p>
              </w:tc>
              <w:tc>
                <w:tcPr>
                  <w:tcW w:w="1060" w:type="pct"/>
                  <w:tcBorders>
                    <w:lef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c>
                <w:tcPr>
                  <w:tcW w:w="60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eastAsia" w:cs="Times New Roman" w:eastAsiaTheme="minorEastAsia"/>
                      <w:b w:val="0"/>
                      <w:bCs w:val="0"/>
                      <w:color w:val="000000" w:themeColor="text1"/>
                      <w:sz w:val="18"/>
                      <w:szCs w:val="18"/>
                      <w:highlight w:val="none"/>
                      <w:u w:val="none"/>
                      <w:lang w:val="en-US" w:eastAsia="zh-CN"/>
                      <w14:textFill>
                        <w14:solidFill>
                          <w14:schemeClr w14:val="tx1"/>
                        </w14:solidFill>
                      </w14:textFill>
                    </w:rPr>
                    <w:t>1300</w:t>
                  </w:r>
                </w:p>
              </w:tc>
              <w:tc>
                <w:tcPr>
                  <w:tcW w:w="1550" w:type="pct"/>
                  <w:vMerge w:val="restart"/>
                  <w:tcBorders>
                    <w:top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cyan"/>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一般固废暂存</w:t>
                  </w: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间</w:t>
                  </w: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暂存后</w:t>
                  </w: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，定期外售废品回收单位</w:t>
                  </w:r>
                </w:p>
              </w:tc>
            </w:tr>
            <w:tr>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9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eastAsia"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8</w:t>
                  </w:r>
                </w:p>
              </w:tc>
              <w:tc>
                <w:tcPr>
                  <w:tcW w:w="753"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废包装</w:t>
                  </w:r>
                </w:p>
              </w:tc>
              <w:tc>
                <w:tcPr>
                  <w:tcW w:w="632" w:type="pct"/>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一般固废</w:t>
                  </w:r>
                </w:p>
              </w:tc>
              <w:tc>
                <w:tcPr>
                  <w:tcW w:w="1060" w:type="pct"/>
                  <w:tcBorders>
                    <w:lef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w:t>
                  </w:r>
                </w:p>
              </w:tc>
              <w:tc>
                <w:tcPr>
                  <w:tcW w:w="60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eastAsia" w:cs="Times New Roman" w:eastAsiaTheme="minorEastAsia"/>
                      <w:b w:val="0"/>
                      <w:bCs w:val="0"/>
                      <w:color w:val="000000" w:themeColor="text1"/>
                      <w:sz w:val="18"/>
                      <w:szCs w:val="18"/>
                      <w:highlight w:val="none"/>
                      <w:u w:val="none"/>
                      <w:lang w:val="en-US" w:eastAsia="zh-CN"/>
                      <w14:textFill>
                        <w14:solidFill>
                          <w14:schemeClr w14:val="tx1"/>
                        </w14:solidFill>
                      </w14:textFill>
                    </w:rPr>
                    <w:t>3.293</w:t>
                  </w:r>
                </w:p>
              </w:tc>
              <w:tc>
                <w:tcPr>
                  <w:tcW w:w="1550"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cyan"/>
                      <w:u w:val="none"/>
                      <w14:textFill>
                        <w14:solidFill>
                          <w14:schemeClr w14:val="tx1"/>
                        </w14:solidFill>
                      </w14:textFill>
                    </w:rPr>
                  </w:pPr>
                </w:p>
              </w:tc>
            </w:tr>
            <w:tr>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9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eastAsia"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9</w:t>
                  </w:r>
                </w:p>
              </w:tc>
              <w:tc>
                <w:tcPr>
                  <w:tcW w:w="753"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袋式除尘器集尘</w:t>
                  </w:r>
                </w:p>
              </w:tc>
              <w:tc>
                <w:tcPr>
                  <w:tcW w:w="632" w:type="pct"/>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一般固废</w:t>
                  </w:r>
                </w:p>
              </w:tc>
              <w:tc>
                <w:tcPr>
                  <w:tcW w:w="1060" w:type="pct"/>
                  <w:tcBorders>
                    <w:lef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w:t>
                  </w:r>
                </w:p>
              </w:tc>
              <w:tc>
                <w:tcPr>
                  <w:tcW w:w="605"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宋体" w:cs="Times New Roman"/>
                      <w:i w:val="0"/>
                      <w:iCs w:val="0"/>
                      <w:color w:val="000000" w:themeColor="text1"/>
                      <w:kern w:val="2"/>
                      <w:sz w:val="18"/>
                      <w:szCs w:val="18"/>
                      <w:highlight w:val="none"/>
                      <w:u w:val="none"/>
                      <w:lang w:val="en-US" w:eastAsia="zh-CN" w:bidi="ar-SA"/>
                      <w14:textFill>
                        <w14:solidFill>
                          <w14:schemeClr w14:val="tx1"/>
                        </w14:solidFill>
                      </w14:textFill>
                    </w:rPr>
                  </w:pPr>
                  <w:r>
                    <w:rPr>
                      <w:rFonts w:hint="eastAsia" w:cs="Times New Roman"/>
                      <w:i w:val="0"/>
                      <w:iCs w:val="0"/>
                      <w:color w:val="000000" w:themeColor="text1"/>
                      <w:kern w:val="2"/>
                      <w:sz w:val="18"/>
                      <w:szCs w:val="18"/>
                      <w:highlight w:val="none"/>
                      <w:u w:val="none"/>
                      <w:lang w:val="en-US" w:eastAsia="zh-CN" w:bidi="ar-SA"/>
                      <w14:textFill>
                        <w14:solidFill>
                          <w14:schemeClr w14:val="tx1"/>
                        </w14:solidFill>
                      </w14:textFill>
                    </w:rPr>
                    <w:t>100.8299</w:t>
                  </w:r>
                </w:p>
              </w:tc>
              <w:tc>
                <w:tcPr>
                  <w:tcW w:w="1550"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cyan"/>
                      <w:u w:val="none"/>
                      <w14:textFill>
                        <w14:solidFill>
                          <w14:schemeClr w14:val="tx1"/>
                        </w14:solidFill>
                      </w14:textFill>
                    </w:rPr>
                  </w:pPr>
                </w:p>
              </w:tc>
            </w:tr>
            <w:tr>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9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eastAsia"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10</w:t>
                  </w:r>
                </w:p>
              </w:tc>
              <w:tc>
                <w:tcPr>
                  <w:tcW w:w="753"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废焊渣</w:t>
                  </w:r>
                </w:p>
              </w:tc>
              <w:tc>
                <w:tcPr>
                  <w:tcW w:w="632" w:type="pct"/>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一般固废</w:t>
                  </w:r>
                </w:p>
              </w:tc>
              <w:tc>
                <w:tcPr>
                  <w:tcW w:w="1060" w:type="pct"/>
                  <w:tcBorders>
                    <w:lef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t>/</w:t>
                  </w:r>
                </w:p>
              </w:tc>
              <w:tc>
                <w:tcPr>
                  <w:tcW w:w="60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eastAsia" w:cs="Times New Roman" w:eastAsiaTheme="minorEastAsia"/>
                      <w:b w:val="0"/>
                      <w:bCs w:val="0"/>
                      <w:color w:val="000000" w:themeColor="text1"/>
                      <w:sz w:val="18"/>
                      <w:szCs w:val="18"/>
                      <w:highlight w:val="none"/>
                      <w:u w:val="none"/>
                      <w:lang w:val="en-US" w:eastAsia="zh-CN"/>
                      <w14:textFill>
                        <w14:solidFill>
                          <w14:schemeClr w14:val="tx1"/>
                        </w14:solidFill>
                      </w14:textFill>
                    </w:rPr>
                    <w:t>2.4</w:t>
                  </w:r>
                </w:p>
              </w:tc>
              <w:tc>
                <w:tcPr>
                  <w:tcW w:w="1550" w:type="pct"/>
                  <w:vMerge w:val="continue"/>
                  <w:tcBorders>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cyan"/>
                      <w:u w:val="none"/>
                      <w14:textFill>
                        <w14:solidFill>
                          <w14:schemeClr w14:val="tx1"/>
                        </w14:solidFill>
                      </w14:textFill>
                    </w:rPr>
                  </w:pPr>
                </w:p>
              </w:tc>
            </w:tr>
            <w:tr>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97"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eastAsia"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11</w:t>
                  </w:r>
                </w:p>
              </w:tc>
              <w:tc>
                <w:tcPr>
                  <w:tcW w:w="753"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生活垃圾</w:t>
                  </w:r>
                </w:p>
              </w:tc>
              <w:tc>
                <w:tcPr>
                  <w:tcW w:w="632" w:type="pct"/>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14:textFill>
                        <w14:solidFill>
                          <w14:schemeClr w14:val="tx1"/>
                        </w14:solidFill>
                      </w14:textFill>
                    </w:rPr>
                    <w:t>一般固废</w:t>
                  </w:r>
                </w:p>
              </w:tc>
              <w:tc>
                <w:tcPr>
                  <w:tcW w:w="1060" w:type="pct"/>
                  <w:tcBorders>
                    <w:lef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w:t>
                  </w:r>
                </w:p>
              </w:tc>
              <w:tc>
                <w:tcPr>
                  <w:tcW w:w="60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3</w:t>
                  </w:r>
                </w:p>
              </w:tc>
              <w:tc>
                <w:tcPr>
                  <w:tcW w:w="1550" w:type="pct"/>
                  <w:tcBorders>
                    <w:top w:val="single" w:color="auto" w:sz="4" w:space="0"/>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垃圾收集箱收集后，定期委托环卫部门清运处理</w:t>
                  </w:r>
                </w:p>
              </w:tc>
            </w:tr>
          </w:tbl>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危险废物产生及处置情况汇总表</w:t>
            </w:r>
          </w:p>
          <w:tbl>
            <w:tblPr>
              <w:tblStyle w:val="21"/>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326"/>
              <w:gridCol w:w="572"/>
              <w:gridCol w:w="657"/>
              <w:gridCol w:w="940"/>
              <w:gridCol w:w="818"/>
              <w:gridCol w:w="828"/>
              <w:gridCol w:w="627"/>
              <w:gridCol w:w="727"/>
              <w:gridCol w:w="556"/>
              <w:gridCol w:w="556"/>
              <w:gridCol w:w="499"/>
              <w:gridCol w:w="1202"/>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54" w:hRule="atLeast"/>
                <w:jc w:val="center"/>
              </w:trPr>
              <w:tc>
                <w:tcPr>
                  <w:tcW w:w="196" w:type="pct"/>
                  <w:tcBorders>
                    <w:top w:val="single" w:color="auto" w:sz="8"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序号</w:t>
                  </w:r>
                </w:p>
              </w:tc>
              <w:tc>
                <w:tcPr>
                  <w:tcW w:w="344" w:type="pct"/>
                  <w:tcBorders>
                    <w:top w:val="single" w:color="auto" w:sz="8"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危险废物名称</w:t>
                  </w:r>
                </w:p>
              </w:tc>
              <w:tc>
                <w:tcPr>
                  <w:tcW w:w="395" w:type="pct"/>
                  <w:tcBorders>
                    <w:top w:val="single" w:color="auto" w:sz="8"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危险废物类别</w:t>
                  </w:r>
                </w:p>
              </w:tc>
              <w:tc>
                <w:tcPr>
                  <w:tcW w:w="565" w:type="pct"/>
                  <w:tcBorders>
                    <w:top w:val="single" w:color="auto" w:sz="8"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危险废物代码</w:t>
                  </w:r>
                </w:p>
              </w:tc>
              <w:tc>
                <w:tcPr>
                  <w:tcW w:w="492" w:type="pct"/>
                  <w:tcBorders>
                    <w:top w:val="single" w:color="auto" w:sz="8"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产生量（吨/年）</w:t>
                  </w:r>
                </w:p>
              </w:tc>
              <w:tc>
                <w:tcPr>
                  <w:tcW w:w="498" w:type="pct"/>
                  <w:tcBorders>
                    <w:top w:val="single" w:color="auto" w:sz="8"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产生工序及装置</w:t>
                  </w:r>
                </w:p>
              </w:tc>
              <w:tc>
                <w:tcPr>
                  <w:tcW w:w="377" w:type="pct"/>
                  <w:tcBorders>
                    <w:top w:val="single" w:color="auto" w:sz="8"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形态</w:t>
                  </w:r>
                </w:p>
              </w:tc>
              <w:tc>
                <w:tcPr>
                  <w:tcW w:w="437" w:type="pct"/>
                  <w:tcBorders>
                    <w:top w:val="single" w:color="auto" w:sz="8"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主要</w:t>
                  </w:r>
                </w:p>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成分</w:t>
                  </w:r>
                </w:p>
              </w:tc>
              <w:tc>
                <w:tcPr>
                  <w:tcW w:w="334" w:type="pct"/>
                  <w:tcBorders>
                    <w:top w:val="single" w:color="auto" w:sz="8"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有害成分</w:t>
                  </w:r>
                </w:p>
              </w:tc>
              <w:tc>
                <w:tcPr>
                  <w:tcW w:w="334" w:type="pct"/>
                  <w:tcBorders>
                    <w:top w:val="single" w:color="auto" w:sz="8"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产废周期</w:t>
                  </w:r>
                </w:p>
              </w:tc>
              <w:tc>
                <w:tcPr>
                  <w:tcW w:w="300" w:type="pct"/>
                  <w:tcBorders>
                    <w:top w:val="single" w:color="auto" w:sz="8"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危险</w:t>
                  </w:r>
                </w:p>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特性</w:t>
                  </w:r>
                </w:p>
              </w:tc>
              <w:tc>
                <w:tcPr>
                  <w:tcW w:w="722" w:type="pct"/>
                  <w:tcBorders>
                    <w:top w:val="single" w:color="auto" w:sz="8" w:space="0"/>
                    <w:left w:val="single" w:color="auto" w:sz="4" w:space="0"/>
                    <w:bottom w:val="single" w:color="auto" w:sz="4" w:space="0"/>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污染防治措施</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9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w:t>
                  </w:r>
                </w:p>
              </w:tc>
              <w:tc>
                <w:tcPr>
                  <w:tcW w:w="34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废液压油</w:t>
                  </w:r>
                </w:p>
              </w:tc>
              <w:tc>
                <w:tcPr>
                  <w:tcW w:w="39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HW08</w:t>
                  </w:r>
                </w:p>
              </w:tc>
              <w:tc>
                <w:tcPr>
                  <w:tcW w:w="56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t>900-218-08</w:t>
                  </w:r>
                </w:p>
              </w:tc>
              <w:tc>
                <w:tcPr>
                  <w:tcW w:w="4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t>2.2</w:t>
                  </w:r>
                </w:p>
              </w:tc>
              <w:tc>
                <w:tcPr>
                  <w:tcW w:w="4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设备维</w:t>
                  </w:r>
                </w:p>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护过程</w:t>
                  </w:r>
                </w:p>
              </w:tc>
              <w:tc>
                <w:tcPr>
                  <w:tcW w:w="37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液态</w:t>
                  </w:r>
                </w:p>
              </w:tc>
              <w:tc>
                <w:tcPr>
                  <w:tcW w:w="43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废液</w:t>
                  </w:r>
                </w:p>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压油</w:t>
                  </w:r>
                </w:p>
              </w:tc>
              <w:tc>
                <w:tcPr>
                  <w:tcW w:w="33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废液</w:t>
                  </w:r>
                </w:p>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压油</w:t>
                  </w:r>
                </w:p>
              </w:tc>
              <w:tc>
                <w:tcPr>
                  <w:tcW w:w="33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6个月</w:t>
                  </w:r>
                </w:p>
              </w:tc>
              <w:tc>
                <w:tcPr>
                  <w:tcW w:w="3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T</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I</w:t>
                  </w:r>
                </w:p>
              </w:tc>
              <w:tc>
                <w:tcPr>
                  <w:tcW w:w="722" w:type="pct"/>
                  <w:vMerge w:val="restart"/>
                  <w:tcBorders>
                    <w:top w:val="single" w:color="auto" w:sz="4" w:space="0"/>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收集后暂存于危险废物暂存间，委托有处理资质的单位定期安全处置</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9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w:t>
                  </w:r>
                </w:p>
              </w:tc>
              <w:tc>
                <w:tcPr>
                  <w:tcW w:w="34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废润滑油</w:t>
                  </w:r>
                </w:p>
              </w:tc>
              <w:tc>
                <w:tcPr>
                  <w:tcW w:w="39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HW08</w:t>
                  </w:r>
                </w:p>
              </w:tc>
              <w:tc>
                <w:tcPr>
                  <w:tcW w:w="56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900-21</w:t>
                  </w: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7</w:t>
                  </w: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-08</w:t>
                  </w:r>
                </w:p>
              </w:tc>
              <w:tc>
                <w:tcPr>
                  <w:tcW w:w="4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0.5</w:t>
                  </w:r>
                </w:p>
              </w:tc>
              <w:tc>
                <w:tcPr>
                  <w:tcW w:w="4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设备维</w:t>
                  </w:r>
                </w:p>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护过程</w:t>
                  </w:r>
                </w:p>
              </w:tc>
              <w:tc>
                <w:tcPr>
                  <w:tcW w:w="37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液态</w:t>
                  </w:r>
                </w:p>
              </w:tc>
              <w:tc>
                <w:tcPr>
                  <w:tcW w:w="43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废润</w:t>
                  </w:r>
                </w:p>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滑油</w:t>
                  </w:r>
                </w:p>
              </w:tc>
              <w:tc>
                <w:tcPr>
                  <w:tcW w:w="33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废润滑油</w:t>
                  </w:r>
                </w:p>
              </w:tc>
              <w:tc>
                <w:tcPr>
                  <w:tcW w:w="33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6个月</w:t>
                  </w:r>
                </w:p>
              </w:tc>
              <w:tc>
                <w:tcPr>
                  <w:tcW w:w="3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T</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I</w:t>
                  </w:r>
                </w:p>
              </w:tc>
              <w:tc>
                <w:tcPr>
                  <w:tcW w:w="722" w:type="pct"/>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9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3</w:t>
                  </w:r>
                </w:p>
              </w:tc>
              <w:tc>
                <w:tcPr>
                  <w:tcW w:w="34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eastAsia" w:cs="Times New Roman" w:eastAsiaTheme="minorEastAsia"/>
                      <w:b w:val="0"/>
                      <w:bCs w:val="0"/>
                      <w:color w:val="000000" w:themeColor="text1"/>
                      <w:sz w:val="18"/>
                      <w:szCs w:val="18"/>
                      <w:highlight w:val="none"/>
                      <w:u w:val="none"/>
                      <w:lang w:eastAsia="zh-CN"/>
                      <w14:textFill>
                        <w14:solidFill>
                          <w14:schemeClr w14:val="tx1"/>
                        </w14:solidFill>
                      </w14:textFill>
                    </w:rPr>
                    <w:t>隔油池油污</w:t>
                  </w:r>
                </w:p>
              </w:tc>
              <w:tc>
                <w:tcPr>
                  <w:tcW w:w="39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HW08</w:t>
                  </w:r>
                </w:p>
              </w:tc>
              <w:tc>
                <w:tcPr>
                  <w:tcW w:w="56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cs="Times New Roman"/>
                      <w:color w:val="000000" w:themeColor="text1"/>
                      <w:kern w:val="2"/>
                      <w:sz w:val="18"/>
                      <w:szCs w:val="18"/>
                      <w:highlight w:val="none"/>
                      <w:lang w:val="en-US" w:eastAsia="zh-CN" w:bidi="ar-SA"/>
                      <w14:textFill>
                        <w14:solidFill>
                          <w14:schemeClr w14:val="tx1"/>
                        </w14:solidFill>
                      </w14:textFill>
                    </w:rPr>
                    <w:t>900-210-08</w:t>
                  </w:r>
                </w:p>
              </w:tc>
              <w:tc>
                <w:tcPr>
                  <w:tcW w:w="4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0.0005</w:t>
                  </w:r>
                </w:p>
              </w:tc>
              <w:tc>
                <w:tcPr>
                  <w:tcW w:w="4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eastAsia" w:cs="Times New Roman"/>
                      <w:color w:val="000000" w:themeColor="text1"/>
                      <w:sz w:val="18"/>
                      <w:szCs w:val="18"/>
                      <w:highlight w:val="none"/>
                      <w:lang w:eastAsia="zh-CN"/>
                      <w14:textFill>
                        <w14:solidFill>
                          <w14:schemeClr w14:val="tx1"/>
                        </w14:solidFill>
                      </w14:textFill>
                    </w:rPr>
                    <w:t>废水处理设施</w:t>
                  </w:r>
                </w:p>
              </w:tc>
              <w:tc>
                <w:tcPr>
                  <w:tcW w:w="37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半固态</w:t>
                  </w:r>
                </w:p>
              </w:tc>
              <w:tc>
                <w:tcPr>
                  <w:tcW w:w="43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矿物油渣</w:t>
                  </w:r>
                </w:p>
              </w:tc>
              <w:tc>
                <w:tcPr>
                  <w:tcW w:w="33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废矿物油</w:t>
                  </w:r>
                </w:p>
              </w:tc>
              <w:tc>
                <w:tcPr>
                  <w:tcW w:w="33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个月</w:t>
                  </w:r>
                </w:p>
              </w:tc>
              <w:tc>
                <w:tcPr>
                  <w:tcW w:w="3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T</w:t>
                  </w:r>
                </w:p>
              </w:tc>
              <w:tc>
                <w:tcPr>
                  <w:tcW w:w="722" w:type="pct"/>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54" w:hRule="atLeast"/>
                <w:jc w:val="center"/>
              </w:trPr>
              <w:tc>
                <w:tcPr>
                  <w:tcW w:w="19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4</w:t>
                  </w:r>
                </w:p>
              </w:tc>
              <w:tc>
                <w:tcPr>
                  <w:tcW w:w="34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清理污泥</w:t>
                  </w:r>
                </w:p>
              </w:tc>
              <w:tc>
                <w:tcPr>
                  <w:tcW w:w="39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HW</w:t>
                  </w:r>
                  <w:r>
                    <w:rPr>
                      <w:rFonts w:hint="eastAsia"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49</w:t>
                  </w:r>
                </w:p>
              </w:tc>
              <w:tc>
                <w:tcPr>
                  <w:tcW w:w="56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772-006-49</w:t>
                  </w:r>
                </w:p>
              </w:tc>
              <w:tc>
                <w:tcPr>
                  <w:tcW w:w="4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160</w:t>
                  </w:r>
                </w:p>
              </w:tc>
              <w:tc>
                <w:tcPr>
                  <w:tcW w:w="4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eastAsia" w:cs="Times New Roman"/>
                      <w:color w:val="000000" w:themeColor="text1"/>
                      <w:sz w:val="18"/>
                      <w:szCs w:val="18"/>
                      <w:highlight w:val="none"/>
                      <w:lang w:eastAsia="zh-CN"/>
                      <w14:textFill>
                        <w14:solidFill>
                          <w14:schemeClr w14:val="tx1"/>
                        </w14:solidFill>
                      </w14:textFill>
                    </w:rPr>
                    <w:t>废水处理设施</w:t>
                  </w:r>
                </w:p>
              </w:tc>
              <w:tc>
                <w:tcPr>
                  <w:tcW w:w="37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eastAsia" w:cs="Times New Roman"/>
                      <w:color w:val="000000" w:themeColor="text1"/>
                      <w:sz w:val="18"/>
                      <w:szCs w:val="18"/>
                      <w:highlight w:val="none"/>
                      <w:lang w:eastAsia="zh-CN"/>
                      <w14:textFill>
                        <w14:solidFill>
                          <w14:schemeClr w14:val="tx1"/>
                        </w14:solidFill>
                      </w14:textFill>
                    </w:rPr>
                    <w:t>半固体</w:t>
                  </w:r>
                </w:p>
              </w:tc>
              <w:tc>
                <w:tcPr>
                  <w:tcW w:w="43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eastAsia" w:cs="Times New Roman"/>
                      <w:color w:val="000000" w:themeColor="text1"/>
                      <w:sz w:val="18"/>
                      <w:szCs w:val="18"/>
                      <w:highlight w:val="none"/>
                      <w:lang w:eastAsia="zh-CN"/>
                      <w14:textFill>
                        <w14:solidFill>
                          <w14:schemeClr w14:val="tx1"/>
                        </w14:solidFill>
                      </w14:textFill>
                    </w:rPr>
                    <w:t>含铬、镍等重金属污泥</w:t>
                  </w:r>
                </w:p>
              </w:tc>
              <w:tc>
                <w:tcPr>
                  <w:tcW w:w="33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铬、镍等重金属</w:t>
                  </w:r>
                </w:p>
              </w:tc>
              <w:tc>
                <w:tcPr>
                  <w:tcW w:w="33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1</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个月</w:t>
                  </w:r>
                </w:p>
              </w:tc>
              <w:tc>
                <w:tcPr>
                  <w:tcW w:w="3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T/In</w:t>
                  </w:r>
                </w:p>
              </w:tc>
              <w:tc>
                <w:tcPr>
                  <w:tcW w:w="722" w:type="pct"/>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9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5</w:t>
                  </w:r>
                </w:p>
              </w:tc>
              <w:tc>
                <w:tcPr>
                  <w:tcW w:w="34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高效蒸发浓缩残渣</w:t>
                  </w:r>
                </w:p>
              </w:tc>
              <w:tc>
                <w:tcPr>
                  <w:tcW w:w="39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HW</w:t>
                  </w:r>
                  <w:r>
                    <w:rPr>
                      <w:rFonts w:hint="eastAsia"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49</w:t>
                  </w:r>
                </w:p>
              </w:tc>
              <w:tc>
                <w:tcPr>
                  <w:tcW w:w="56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772-006-49</w:t>
                  </w:r>
                </w:p>
              </w:tc>
              <w:tc>
                <w:tcPr>
                  <w:tcW w:w="4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0.057</w:t>
                  </w:r>
                </w:p>
              </w:tc>
              <w:tc>
                <w:tcPr>
                  <w:tcW w:w="4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eastAsia" w:cs="Times New Roman"/>
                      <w:color w:val="000000" w:themeColor="text1"/>
                      <w:sz w:val="18"/>
                      <w:szCs w:val="18"/>
                      <w:highlight w:val="none"/>
                      <w:lang w:eastAsia="zh-CN"/>
                      <w14:textFill>
                        <w14:solidFill>
                          <w14:schemeClr w14:val="tx1"/>
                        </w14:solidFill>
                      </w14:textFill>
                    </w:rPr>
                    <w:t>废水处理设施</w:t>
                  </w:r>
                </w:p>
              </w:tc>
              <w:tc>
                <w:tcPr>
                  <w:tcW w:w="37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eastAsia" w:cs="Times New Roman"/>
                      <w:color w:val="000000" w:themeColor="text1"/>
                      <w:sz w:val="18"/>
                      <w:szCs w:val="18"/>
                      <w:highlight w:val="none"/>
                      <w:lang w:eastAsia="zh-CN"/>
                      <w14:textFill>
                        <w14:solidFill>
                          <w14:schemeClr w14:val="tx1"/>
                        </w14:solidFill>
                      </w14:textFill>
                    </w:rPr>
                    <w:t>固体</w:t>
                  </w:r>
                </w:p>
              </w:tc>
              <w:tc>
                <w:tcPr>
                  <w:tcW w:w="43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eastAsia" w:cs="Times New Roman"/>
                      <w:color w:val="000000" w:themeColor="text1"/>
                      <w:sz w:val="18"/>
                      <w:szCs w:val="18"/>
                      <w:highlight w:val="none"/>
                      <w:lang w:eastAsia="zh-CN"/>
                      <w14:textFill>
                        <w14:solidFill>
                          <w14:schemeClr w14:val="tx1"/>
                        </w14:solidFill>
                      </w14:textFill>
                    </w:rPr>
                    <w:t>含铬、镍等重金属残渣</w:t>
                  </w:r>
                </w:p>
              </w:tc>
              <w:tc>
                <w:tcPr>
                  <w:tcW w:w="33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铬、镍等重金属</w:t>
                  </w:r>
                </w:p>
              </w:tc>
              <w:tc>
                <w:tcPr>
                  <w:tcW w:w="33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1</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个月</w:t>
                  </w:r>
                </w:p>
              </w:tc>
              <w:tc>
                <w:tcPr>
                  <w:tcW w:w="3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T/In</w:t>
                  </w:r>
                </w:p>
              </w:tc>
              <w:tc>
                <w:tcPr>
                  <w:tcW w:w="722" w:type="pct"/>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54" w:hRule="atLeast"/>
                <w:jc w:val="center"/>
              </w:trPr>
              <w:tc>
                <w:tcPr>
                  <w:tcW w:w="19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6</w:t>
                  </w:r>
                </w:p>
              </w:tc>
              <w:tc>
                <w:tcPr>
                  <w:tcW w:w="34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val="en-US" w:eastAsia="zh-CN"/>
                      <w14:textFill>
                        <w14:solidFill>
                          <w14:schemeClr w14:val="tx1"/>
                        </w14:solidFill>
                      </w14:textFill>
                    </w:rPr>
                  </w:pPr>
                  <w:r>
                    <w:rPr>
                      <w:rFonts w:hint="eastAsia" w:cs="Times New Roman" w:eastAsiaTheme="minorEastAsia"/>
                      <w:b w:val="0"/>
                      <w:bCs w:val="0"/>
                      <w:color w:val="000000" w:themeColor="text1"/>
                      <w:sz w:val="18"/>
                      <w:szCs w:val="18"/>
                      <w:highlight w:val="none"/>
                      <w:u w:val="none"/>
                      <w:lang w:val="en-US" w:eastAsia="zh-CN"/>
                      <w14:textFill>
                        <w14:solidFill>
                          <w14:schemeClr w14:val="tx1"/>
                        </w14:solidFill>
                      </w14:textFill>
                    </w:rPr>
                    <w:t>RO反渗透膜</w:t>
                  </w:r>
                </w:p>
              </w:tc>
              <w:tc>
                <w:tcPr>
                  <w:tcW w:w="39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HW</w:t>
                  </w:r>
                  <w:r>
                    <w:rPr>
                      <w:rFonts w:hint="eastAsia"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49</w:t>
                  </w:r>
                </w:p>
              </w:tc>
              <w:tc>
                <w:tcPr>
                  <w:tcW w:w="56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900-041-49</w:t>
                  </w:r>
                </w:p>
              </w:tc>
              <w:tc>
                <w:tcPr>
                  <w:tcW w:w="4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pPr>
                  <w:r>
                    <w:rPr>
                      <w:rFonts w:hint="eastAsia" w:cs="Times New Roman" w:eastAsiaTheme="minorEastAsia"/>
                      <w:b w:val="0"/>
                      <w:bCs w:val="0"/>
                      <w:color w:val="000000" w:themeColor="text1"/>
                      <w:kern w:val="2"/>
                      <w:sz w:val="18"/>
                      <w:szCs w:val="18"/>
                      <w:highlight w:val="none"/>
                      <w:u w:val="none"/>
                      <w:lang w:val="en-US" w:eastAsia="zh-CN" w:bidi="ar-SA"/>
                      <w14:textFill>
                        <w14:solidFill>
                          <w14:schemeClr w14:val="tx1"/>
                        </w14:solidFill>
                      </w14:textFill>
                    </w:rPr>
                    <w:t>0.05</w:t>
                  </w:r>
                </w:p>
              </w:tc>
              <w:tc>
                <w:tcPr>
                  <w:tcW w:w="4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eastAsia" w:cs="Times New Roman"/>
                      <w:color w:val="000000" w:themeColor="text1"/>
                      <w:sz w:val="18"/>
                      <w:szCs w:val="18"/>
                      <w:highlight w:val="none"/>
                      <w:lang w:eastAsia="zh-CN"/>
                      <w14:textFill>
                        <w14:solidFill>
                          <w14:schemeClr w14:val="tx1"/>
                        </w14:solidFill>
                      </w14:textFill>
                    </w:rPr>
                  </w:pPr>
                  <w:r>
                    <w:rPr>
                      <w:rFonts w:hint="eastAsia" w:cs="Times New Roman"/>
                      <w:color w:val="000000" w:themeColor="text1"/>
                      <w:sz w:val="18"/>
                      <w:szCs w:val="18"/>
                      <w:highlight w:val="none"/>
                      <w:lang w:eastAsia="zh-CN"/>
                      <w14:textFill>
                        <w14:solidFill>
                          <w14:schemeClr w14:val="tx1"/>
                        </w14:solidFill>
                      </w14:textFill>
                    </w:rPr>
                    <w:t>废水处理设施</w:t>
                  </w:r>
                </w:p>
              </w:tc>
              <w:tc>
                <w:tcPr>
                  <w:tcW w:w="37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eastAsia" w:cs="Times New Roman"/>
                      <w:color w:val="000000" w:themeColor="text1"/>
                      <w:sz w:val="18"/>
                      <w:szCs w:val="18"/>
                      <w:highlight w:val="none"/>
                      <w:lang w:eastAsia="zh-CN"/>
                      <w14:textFill>
                        <w14:solidFill>
                          <w14:schemeClr w14:val="tx1"/>
                        </w14:solidFill>
                      </w14:textFill>
                    </w:rPr>
                  </w:pPr>
                  <w:r>
                    <w:rPr>
                      <w:rFonts w:hint="eastAsia" w:cs="Times New Roman"/>
                      <w:color w:val="000000" w:themeColor="text1"/>
                      <w:sz w:val="18"/>
                      <w:szCs w:val="18"/>
                      <w:highlight w:val="none"/>
                      <w:lang w:eastAsia="zh-CN"/>
                      <w14:textFill>
                        <w14:solidFill>
                          <w14:schemeClr w14:val="tx1"/>
                        </w14:solidFill>
                      </w14:textFill>
                    </w:rPr>
                    <w:t>固体</w:t>
                  </w:r>
                </w:p>
              </w:tc>
              <w:tc>
                <w:tcPr>
                  <w:tcW w:w="43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eastAsia" w:cs="Times New Roman"/>
                      <w:color w:val="000000" w:themeColor="text1"/>
                      <w:sz w:val="18"/>
                      <w:szCs w:val="18"/>
                      <w:highlight w:val="none"/>
                      <w:lang w:eastAsia="zh-CN"/>
                      <w14:textFill>
                        <w14:solidFill>
                          <w14:schemeClr w14:val="tx1"/>
                        </w14:solidFill>
                      </w14:textFill>
                    </w:rPr>
                  </w:pPr>
                  <w:r>
                    <w:rPr>
                      <w:rFonts w:hint="eastAsia" w:cs="Times New Roman"/>
                      <w:color w:val="000000" w:themeColor="text1"/>
                      <w:sz w:val="18"/>
                      <w:szCs w:val="18"/>
                      <w:highlight w:val="none"/>
                      <w:lang w:eastAsia="zh-CN"/>
                      <w14:textFill>
                        <w14:solidFill>
                          <w14:schemeClr w14:val="tx1"/>
                        </w14:solidFill>
                      </w14:textFill>
                    </w:rPr>
                    <w:t>含铬、镍等过滤膜</w:t>
                  </w:r>
                </w:p>
              </w:tc>
              <w:tc>
                <w:tcPr>
                  <w:tcW w:w="33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eastAsia"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铬、镍等重金属</w:t>
                  </w:r>
                </w:p>
              </w:tc>
              <w:tc>
                <w:tcPr>
                  <w:tcW w:w="33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eastAsia"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1</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个月</w:t>
                  </w:r>
                </w:p>
              </w:tc>
              <w:tc>
                <w:tcPr>
                  <w:tcW w:w="3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eastAsia"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T/In</w:t>
                  </w:r>
                </w:p>
              </w:tc>
              <w:tc>
                <w:tcPr>
                  <w:tcW w:w="722" w:type="pct"/>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r>
          </w:tbl>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危险废物贮存场所基本情况表</w:t>
            </w:r>
          </w:p>
          <w:tbl>
            <w:tblPr>
              <w:tblStyle w:val="21"/>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624"/>
              <w:gridCol w:w="803"/>
              <w:gridCol w:w="981"/>
              <w:gridCol w:w="981"/>
              <w:gridCol w:w="1266"/>
              <w:gridCol w:w="875"/>
              <w:gridCol w:w="547"/>
              <w:gridCol w:w="1051"/>
              <w:gridCol w:w="589"/>
              <w:gridCol w:w="59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37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序号</w:t>
                  </w:r>
                </w:p>
              </w:tc>
              <w:tc>
                <w:tcPr>
                  <w:tcW w:w="483"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贮存场所</w:t>
                  </w:r>
                </w:p>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名称</w:t>
                  </w:r>
                </w:p>
              </w:tc>
              <w:tc>
                <w:tcPr>
                  <w:tcW w:w="590"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危险废物</w:t>
                  </w:r>
                </w:p>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名称</w:t>
                  </w:r>
                </w:p>
              </w:tc>
              <w:tc>
                <w:tcPr>
                  <w:tcW w:w="590"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危险废物</w:t>
                  </w:r>
                </w:p>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类别</w:t>
                  </w:r>
                </w:p>
              </w:tc>
              <w:tc>
                <w:tcPr>
                  <w:tcW w:w="761"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危险废物代码</w:t>
                  </w:r>
                </w:p>
              </w:tc>
              <w:tc>
                <w:tcPr>
                  <w:tcW w:w="52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位置</w:t>
                  </w:r>
                </w:p>
              </w:tc>
              <w:tc>
                <w:tcPr>
                  <w:tcW w:w="3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占地</w:t>
                  </w:r>
                </w:p>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面积</w:t>
                  </w:r>
                </w:p>
              </w:tc>
              <w:tc>
                <w:tcPr>
                  <w:tcW w:w="6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贮存</w:t>
                  </w:r>
                </w:p>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方式</w:t>
                  </w:r>
                </w:p>
              </w:tc>
              <w:tc>
                <w:tcPr>
                  <w:tcW w:w="35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贮存</w:t>
                  </w:r>
                </w:p>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能力</w:t>
                  </w:r>
                </w:p>
              </w:tc>
              <w:tc>
                <w:tcPr>
                  <w:tcW w:w="35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贮存</w:t>
                  </w:r>
                </w:p>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周期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375"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1</w:t>
                  </w:r>
                </w:p>
              </w:tc>
              <w:tc>
                <w:tcPr>
                  <w:tcW w:w="483" w:type="pct"/>
                  <w:vMerge w:val="restar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危险废物</w:t>
                  </w:r>
                </w:p>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暂存间</w:t>
                  </w:r>
                </w:p>
              </w:tc>
              <w:tc>
                <w:tcPr>
                  <w:tcW w:w="590" w:type="pct"/>
                  <w:tcBorders>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废液压油</w:t>
                  </w:r>
                </w:p>
              </w:tc>
              <w:tc>
                <w:tcPr>
                  <w:tcW w:w="590" w:type="pct"/>
                  <w:tcBorders>
                    <w:bottom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HW08</w:t>
                  </w:r>
                </w:p>
              </w:tc>
              <w:tc>
                <w:tcPr>
                  <w:tcW w:w="761" w:type="pct"/>
                  <w:tcBorders>
                    <w:bottom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r>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t>900-218-08</w:t>
                  </w:r>
                </w:p>
              </w:tc>
              <w:tc>
                <w:tcPr>
                  <w:tcW w:w="526" w:type="pct"/>
                  <w:vMerge w:val="restart"/>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3#生产车间东侧</w:t>
                  </w:r>
                </w:p>
              </w:tc>
              <w:tc>
                <w:tcPr>
                  <w:tcW w:w="329"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w:t>
                  </w:r>
                  <w:r>
                    <w:rPr>
                      <w:rFonts w:hint="eastAsia" w:cs="Times New Roman"/>
                      <w:color w:val="000000" w:themeColor="text1"/>
                      <w:sz w:val="18"/>
                      <w:szCs w:val="18"/>
                      <w:highlight w:val="none"/>
                      <w:lang w:val="en-US" w:eastAsia="zh-CN"/>
                      <w14:textFill>
                        <w14:solidFill>
                          <w14:schemeClr w14:val="tx1"/>
                        </w14:solidFill>
                      </w14:textFill>
                    </w:rPr>
                    <w:t>5</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m</w:t>
                  </w:r>
                  <w:r>
                    <w:rPr>
                      <w:rFonts w:hint="default" w:ascii="Times New Roman" w:hAnsi="Times New Roman" w:cs="Times New Roman"/>
                      <w:color w:val="000000" w:themeColor="text1"/>
                      <w:sz w:val="18"/>
                      <w:szCs w:val="18"/>
                      <w:highlight w:val="none"/>
                      <w:vertAlign w:val="superscript"/>
                      <w:lang w:val="en-US" w:eastAsia="zh-CN"/>
                      <w14:textFill>
                        <w14:solidFill>
                          <w14:schemeClr w14:val="tx1"/>
                        </w14:solidFill>
                      </w14:textFill>
                    </w:rPr>
                    <w:t>2</w:t>
                  </w:r>
                </w:p>
              </w:tc>
              <w:tc>
                <w:tcPr>
                  <w:tcW w:w="632"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由密闭容器收集，存放</w:t>
                  </w:r>
                </w:p>
              </w:tc>
              <w:tc>
                <w:tcPr>
                  <w:tcW w:w="354"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5t</w:t>
                  </w:r>
                </w:p>
              </w:tc>
              <w:tc>
                <w:tcPr>
                  <w:tcW w:w="355" w:type="pct"/>
                  <w:vMerge w:val="restart"/>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pacing w:val="-6"/>
                      <w:sz w:val="18"/>
                      <w:szCs w:val="18"/>
                      <w:highlight w:val="none"/>
                      <w14:textFill>
                        <w14:solidFill>
                          <w14:schemeClr w14:val="tx1"/>
                        </w14:solidFill>
                      </w14:textFill>
                    </w:rPr>
                    <w:t>1年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37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483"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974" w:type="dxa"/>
                  <w:tcBorders>
                    <w:bottom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废润滑油</w:t>
                  </w:r>
                </w:p>
              </w:tc>
              <w:tc>
                <w:tcPr>
                  <w:tcW w:w="974" w:type="dxa"/>
                  <w:tcBorders>
                    <w:bottom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HW08</w:t>
                  </w:r>
                </w:p>
              </w:tc>
              <w:tc>
                <w:tcPr>
                  <w:tcW w:w="1257" w:type="dxa"/>
                  <w:tcBorders>
                    <w:bottom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18"/>
                      <w:szCs w:val="18"/>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900-21</w:t>
                  </w:r>
                  <w:r>
                    <w:rPr>
                      <w:rFonts w:hint="default" w:ascii="Times New Roman" w:hAnsi="Times New Roman" w:cs="Times New Roman"/>
                      <w:color w:val="000000" w:themeColor="text1"/>
                      <w:kern w:val="2"/>
                      <w:sz w:val="18"/>
                      <w:szCs w:val="18"/>
                      <w:highlight w:val="none"/>
                      <w:lang w:val="en-US" w:eastAsia="zh-CN" w:bidi="ar-SA"/>
                      <w14:textFill>
                        <w14:solidFill>
                          <w14:schemeClr w14:val="tx1"/>
                        </w14:solidFill>
                      </w14:textFill>
                    </w:rPr>
                    <w:t>7</w:t>
                  </w: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-08</w:t>
                  </w:r>
                </w:p>
              </w:tc>
              <w:tc>
                <w:tcPr>
                  <w:tcW w:w="526"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p>
              </w:tc>
              <w:tc>
                <w:tcPr>
                  <w:tcW w:w="329"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p>
              </w:tc>
              <w:tc>
                <w:tcPr>
                  <w:tcW w:w="63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354"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p>
              </w:tc>
              <w:tc>
                <w:tcPr>
                  <w:tcW w:w="355"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pacing w:val="-6"/>
                      <w:sz w:val="18"/>
                      <w:szCs w:val="18"/>
                      <w:highlight w:val="none"/>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37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483"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974" w:type="dxa"/>
                  <w:tcBorders>
                    <w:bottom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eastAsia" w:cs="Times New Roman" w:eastAsiaTheme="minorEastAsia"/>
                      <w:b w:val="0"/>
                      <w:bCs w:val="0"/>
                      <w:color w:val="000000" w:themeColor="text1"/>
                      <w:sz w:val="18"/>
                      <w:szCs w:val="18"/>
                      <w:highlight w:val="none"/>
                      <w:u w:val="none"/>
                      <w:lang w:eastAsia="zh-CN"/>
                      <w14:textFill>
                        <w14:solidFill>
                          <w14:schemeClr w14:val="tx1"/>
                        </w14:solidFill>
                      </w14:textFill>
                    </w:rPr>
                    <w:t>隔油池油污</w:t>
                  </w:r>
                </w:p>
              </w:tc>
              <w:tc>
                <w:tcPr>
                  <w:tcW w:w="974" w:type="dxa"/>
                  <w:tcBorders>
                    <w:bottom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HW08</w:t>
                  </w:r>
                </w:p>
              </w:tc>
              <w:tc>
                <w:tcPr>
                  <w:tcW w:w="1257" w:type="dxa"/>
                  <w:tcBorders>
                    <w:bottom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eastAsia" w:cs="Times New Roman"/>
                      <w:color w:val="000000" w:themeColor="text1"/>
                      <w:kern w:val="2"/>
                      <w:sz w:val="18"/>
                      <w:szCs w:val="18"/>
                      <w:highlight w:val="none"/>
                      <w:lang w:val="en-US" w:eastAsia="zh-CN" w:bidi="ar-SA"/>
                      <w14:textFill>
                        <w14:solidFill>
                          <w14:schemeClr w14:val="tx1"/>
                        </w14:solidFill>
                      </w14:textFill>
                    </w:rPr>
                    <w:t>900-210-08</w:t>
                  </w:r>
                </w:p>
              </w:tc>
              <w:tc>
                <w:tcPr>
                  <w:tcW w:w="526"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p>
              </w:tc>
              <w:tc>
                <w:tcPr>
                  <w:tcW w:w="329"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p>
              </w:tc>
              <w:tc>
                <w:tcPr>
                  <w:tcW w:w="63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354"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p>
              </w:tc>
              <w:tc>
                <w:tcPr>
                  <w:tcW w:w="355"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pacing w:val="-6"/>
                      <w:sz w:val="18"/>
                      <w:szCs w:val="18"/>
                      <w:highlight w:val="none"/>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37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483"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974" w:type="dxa"/>
                  <w:tcBorders>
                    <w:bottom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清理污泥</w:t>
                  </w:r>
                </w:p>
              </w:tc>
              <w:tc>
                <w:tcPr>
                  <w:tcW w:w="974" w:type="dxa"/>
                  <w:tcBorders>
                    <w:bottom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HW</w:t>
                  </w:r>
                  <w:r>
                    <w:rPr>
                      <w:rFonts w:hint="eastAsia"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49</w:t>
                  </w:r>
                </w:p>
              </w:tc>
              <w:tc>
                <w:tcPr>
                  <w:tcW w:w="1257" w:type="dxa"/>
                  <w:tcBorders>
                    <w:bottom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772-006-49</w:t>
                  </w:r>
                </w:p>
              </w:tc>
              <w:tc>
                <w:tcPr>
                  <w:tcW w:w="526"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p>
              </w:tc>
              <w:tc>
                <w:tcPr>
                  <w:tcW w:w="329"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p>
              </w:tc>
              <w:tc>
                <w:tcPr>
                  <w:tcW w:w="63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354"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p>
              </w:tc>
              <w:tc>
                <w:tcPr>
                  <w:tcW w:w="355"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pacing w:val="-6"/>
                      <w:sz w:val="18"/>
                      <w:szCs w:val="18"/>
                      <w:highlight w:val="none"/>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30" w:hRule="atLeast"/>
                <w:jc w:val="center"/>
              </w:trPr>
              <w:tc>
                <w:tcPr>
                  <w:tcW w:w="37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483"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974" w:type="dxa"/>
                  <w:tcBorders>
                    <w:top w:val="single" w:color="000000" w:sz="4" w:space="0"/>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t>高效蒸发浓缩残渣</w:t>
                  </w:r>
                </w:p>
              </w:tc>
              <w:tc>
                <w:tcPr>
                  <w:tcW w:w="974" w:type="dxa"/>
                  <w:tcBorders>
                    <w:top w:val="single" w:color="000000" w:sz="4" w:space="0"/>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HW</w:t>
                  </w:r>
                  <w:r>
                    <w:rPr>
                      <w:rFonts w:hint="eastAsia"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49</w:t>
                  </w:r>
                </w:p>
              </w:tc>
              <w:tc>
                <w:tcPr>
                  <w:tcW w:w="1257" w:type="dxa"/>
                  <w:tcBorders>
                    <w:top w:val="single" w:color="000000" w:sz="4" w:space="0"/>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772-006-49</w:t>
                  </w:r>
                </w:p>
              </w:tc>
              <w:tc>
                <w:tcPr>
                  <w:tcW w:w="526"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pacing w:val="-6"/>
                      <w:sz w:val="18"/>
                      <w:szCs w:val="18"/>
                      <w:highlight w:val="cyan"/>
                      <w:lang w:val="en-US" w:eastAsia="zh-CN"/>
                      <w14:textFill>
                        <w14:solidFill>
                          <w14:schemeClr w14:val="tx1"/>
                        </w14:solidFill>
                      </w14:textFill>
                    </w:rPr>
                  </w:pPr>
                </w:p>
              </w:tc>
              <w:tc>
                <w:tcPr>
                  <w:tcW w:w="329"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cyan"/>
                      <w:lang w:val="en-US" w:eastAsia="zh-CN"/>
                      <w14:textFill>
                        <w14:solidFill>
                          <w14:schemeClr w14:val="tx1"/>
                        </w14:solidFill>
                      </w14:textFill>
                    </w:rPr>
                  </w:pPr>
                </w:p>
              </w:tc>
              <w:tc>
                <w:tcPr>
                  <w:tcW w:w="63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354"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355"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pacing w:val="-6"/>
                      <w:sz w:val="18"/>
                      <w:szCs w:val="18"/>
                      <w:highlight w:val="cya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30" w:hRule="atLeast"/>
                <w:jc w:val="center"/>
              </w:trPr>
              <w:tc>
                <w:tcPr>
                  <w:tcW w:w="375"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483"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p>
              </w:tc>
              <w:tc>
                <w:tcPr>
                  <w:tcW w:w="974" w:type="dxa"/>
                  <w:tcBorders>
                    <w:top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sz w:val="18"/>
                      <w:szCs w:val="18"/>
                      <w:highlight w:val="none"/>
                      <w:u w:val="none"/>
                      <w:lang w:eastAsia="zh-CN"/>
                      <w14:textFill>
                        <w14:solidFill>
                          <w14:schemeClr w14:val="tx1"/>
                        </w14:solidFill>
                      </w14:textFill>
                    </w:rPr>
                  </w:pPr>
                  <w:r>
                    <w:rPr>
                      <w:rFonts w:hint="eastAsia" w:cs="Times New Roman" w:eastAsiaTheme="minorEastAsia"/>
                      <w:b w:val="0"/>
                      <w:bCs w:val="0"/>
                      <w:color w:val="000000" w:themeColor="text1"/>
                      <w:sz w:val="18"/>
                      <w:szCs w:val="18"/>
                      <w:highlight w:val="none"/>
                      <w:u w:val="none"/>
                      <w:lang w:val="en-US" w:eastAsia="zh-CN"/>
                      <w14:textFill>
                        <w14:solidFill>
                          <w14:schemeClr w14:val="tx1"/>
                        </w14:solidFill>
                      </w14:textFill>
                    </w:rPr>
                    <w:t>RO反渗透膜</w:t>
                  </w:r>
                </w:p>
              </w:tc>
              <w:tc>
                <w:tcPr>
                  <w:tcW w:w="974" w:type="dxa"/>
                  <w:tcBorders>
                    <w:top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HW</w:t>
                  </w:r>
                  <w:r>
                    <w:rPr>
                      <w:rFonts w:hint="eastAsia"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49</w:t>
                  </w:r>
                </w:p>
              </w:tc>
              <w:tc>
                <w:tcPr>
                  <w:tcW w:w="1257" w:type="dxa"/>
                  <w:tcBorders>
                    <w:top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18"/>
                      <w:szCs w:val="18"/>
                      <w:highlight w:val="none"/>
                      <w:lang w:val="en-US" w:eastAsia="zh-CN" w:bidi="ar-SA"/>
                      <w14:textFill>
                        <w14:solidFill>
                          <w14:schemeClr w14:val="tx1"/>
                        </w14:solidFill>
                      </w14:textFill>
                    </w:rPr>
                    <w:t>900-041-49</w:t>
                  </w:r>
                </w:p>
              </w:tc>
              <w:tc>
                <w:tcPr>
                  <w:tcW w:w="526"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pacing w:val="-6"/>
                      <w:sz w:val="18"/>
                      <w:szCs w:val="18"/>
                      <w:highlight w:val="cyan"/>
                      <w:lang w:val="en-US" w:eastAsia="zh-CN"/>
                      <w14:textFill>
                        <w14:solidFill>
                          <w14:schemeClr w14:val="tx1"/>
                        </w14:solidFill>
                      </w14:textFill>
                    </w:rPr>
                  </w:pPr>
                </w:p>
              </w:tc>
              <w:tc>
                <w:tcPr>
                  <w:tcW w:w="329"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cyan"/>
                      <w:lang w:val="en-US" w:eastAsia="zh-CN"/>
                      <w14:textFill>
                        <w14:solidFill>
                          <w14:schemeClr w14:val="tx1"/>
                        </w14:solidFill>
                      </w14:textFill>
                    </w:rPr>
                  </w:pPr>
                </w:p>
              </w:tc>
              <w:tc>
                <w:tcPr>
                  <w:tcW w:w="632"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354"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z w:val="18"/>
                      <w:szCs w:val="18"/>
                      <w:highlight w:val="cyan"/>
                      <w14:textFill>
                        <w14:solidFill>
                          <w14:schemeClr w14:val="tx1"/>
                        </w14:solidFill>
                      </w14:textFill>
                    </w:rPr>
                  </w:pPr>
                </w:p>
              </w:tc>
              <w:tc>
                <w:tcPr>
                  <w:tcW w:w="355" w:type="pct"/>
                  <w:vMerge w:val="continue"/>
                  <w:noWrap w:val="0"/>
                  <w:vAlign w:val="center"/>
                </w:tcPr>
                <w:p>
                  <w:pPr>
                    <w:keepNext w:val="0"/>
                    <w:keepLines w:val="0"/>
                    <w:pageBreakBefore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cs="Times New Roman"/>
                      <w:color w:val="000000" w:themeColor="text1"/>
                      <w:spacing w:val="-6"/>
                      <w:sz w:val="18"/>
                      <w:szCs w:val="18"/>
                      <w:highlight w:val="cyan"/>
                      <w14:textFill>
                        <w14:solidFill>
                          <w14:schemeClr w14:val="tx1"/>
                        </w14:solidFill>
                      </w14:textFill>
                    </w:rPr>
                  </w:pPr>
                </w:p>
              </w:tc>
            </w:tr>
          </w:tbl>
          <w:p>
            <w:pPr>
              <w:keepNext w:val="0"/>
              <w:keepLines w:val="0"/>
              <w:pageBreakBefore w:val="0"/>
              <w:widowControl w:val="0"/>
              <w:kinsoku/>
              <w:wordWrap/>
              <w:overflowPunct/>
              <w:topLinePunct w:val="0"/>
              <w:autoSpaceDE w:val="0"/>
              <w:autoSpaceDN w:val="0"/>
              <w:bidi w:val="0"/>
              <w:adjustRightInd/>
              <w:snapToGrid/>
              <w:spacing w:line="360" w:lineRule="auto"/>
              <w:ind w:firstLine="422" w:firstLineChars="200"/>
              <w:jc w:val="both"/>
              <w:textAlignment w:val="auto"/>
              <w:rPr>
                <w:rFonts w:hint="default" w:ascii="Times New Roman" w:hAnsi="Times New Roman" w:cs="Times New Roman"/>
                <w:b/>
                <w:bCs/>
                <w:color w:val="000000" w:themeColor="text1"/>
                <w:kern w:val="0"/>
                <w:szCs w:val="21"/>
                <w:highlight w:val="none"/>
                <w14:textFill>
                  <w14:solidFill>
                    <w14:schemeClr w14:val="tx1"/>
                  </w14:solidFill>
                </w14:textFill>
              </w:rPr>
            </w:pPr>
            <w:r>
              <w:rPr>
                <w:rFonts w:hint="default" w:ascii="Times New Roman" w:hAnsi="Times New Roman" w:cs="Times New Roman"/>
                <w:b/>
                <w:bCs/>
                <w:color w:val="000000" w:themeColor="text1"/>
                <w:kern w:val="0"/>
                <w:szCs w:val="21"/>
                <w:highlight w:val="none"/>
                <w14:textFill>
                  <w14:solidFill>
                    <w14:schemeClr w14:val="tx1"/>
                  </w14:solidFill>
                </w14:textFill>
              </w:rPr>
              <w:t>（2）固废环境管理要求</w:t>
            </w:r>
          </w:p>
          <w:p>
            <w:pPr>
              <w:keepNext w:val="0"/>
              <w:keepLines w:val="0"/>
              <w:pageBreakBefore w:val="0"/>
              <w:widowControl w:val="0"/>
              <w:kinsoku/>
              <w:wordWrap/>
              <w:overflowPunct/>
              <w:topLinePunct w:val="0"/>
              <w:bidi w:val="0"/>
              <w:adjustRightInd/>
              <w:snapToGrid/>
              <w:spacing w:line="360" w:lineRule="auto"/>
              <w:ind w:firstLine="422" w:firstLineChars="200"/>
              <w:jc w:val="both"/>
              <w:textAlignment w:val="auto"/>
              <w:rPr>
                <w:rFonts w:hint="default" w:ascii="Times New Roman" w:hAnsi="Times New Roman" w:eastAsia="宋体" w:cs="Times New Roman"/>
                <w:b/>
                <w:bCs/>
                <w:color w:val="000000" w:themeColor="text1"/>
                <w:kern w:val="0"/>
                <w:szCs w:val="21"/>
                <w:highlight w:val="none"/>
                <w:lang w:eastAsia="zh-CN"/>
                <w14:textFill>
                  <w14:solidFill>
                    <w14:schemeClr w14:val="tx1"/>
                  </w14:solidFill>
                </w14:textFill>
              </w:rPr>
            </w:pPr>
            <w:r>
              <w:rPr>
                <w:rFonts w:hint="default" w:ascii="Times New Roman" w:hAnsi="Times New Roman" w:cs="Times New Roman"/>
                <w:b/>
                <w:bCs/>
                <w:color w:val="000000" w:themeColor="text1"/>
                <w:kern w:val="0"/>
                <w:szCs w:val="21"/>
                <w:highlight w:val="none"/>
                <w14:textFill>
                  <w14:solidFill>
                    <w14:schemeClr w14:val="tx1"/>
                  </w14:solidFill>
                </w14:textFill>
              </w:rPr>
              <w:fldChar w:fldCharType="begin"/>
            </w:r>
            <w:r>
              <w:rPr>
                <w:rFonts w:hint="default" w:ascii="Times New Roman" w:hAnsi="Times New Roman" w:cs="Times New Roman"/>
                <w:b/>
                <w:bCs/>
                <w:color w:val="000000" w:themeColor="text1"/>
                <w:kern w:val="0"/>
                <w:szCs w:val="21"/>
                <w:highlight w:val="none"/>
                <w14:textFill>
                  <w14:solidFill>
                    <w14:schemeClr w14:val="tx1"/>
                  </w14:solidFill>
                </w14:textFill>
              </w:rPr>
              <w:instrText xml:space="preserve"> = 1 \* GB3 \* MERGEFORMAT </w:instrText>
            </w:r>
            <w:r>
              <w:rPr>
                <w:rFonts w:hint="default" w:ascii="Times New Roman" w:hAnsi="Times New Roman" w:cs="Times New Roman"/>
                <w:b/>
                <w:bCs/>
                <w:color w:val="000000" w:themeColor="text1"/>
                <w:kern w:val="0"/>
                <w:szCs w:val="21"/>
                <w:highlight w:val="none"/>
                <w14:textFill>
                  <w14:solidFill>
                    <w14:schemeClr w14:val="tx1"/>
                  </w14:solidFill>
                </w14:textFill>
              </w:rPr>
              <w:fldChar w:fldCharType="separate"/>
            </w:r>
            <w:r>
              <w:rPr>
                <w:rFonts w:hint="default" w:ascii="Times New Roman" w:hAnsi="Times New Roman" w:cs="Times New Roman"/>
                <w:b/>
                <w:bCs/>
                <w:color w:val="000000" w:themeColor="text1"/>
                <w:highlight w:val="none"/>
                <w14:textFill>
                  <w14:solidFill>
                    <w14:schemeClr w14:val="tx1"/>
                  </w14:solidFill>
                </w14:textFill>
              </w:rPr>
              <w:t>①</w:t>
            </w:r>
            <w:r>
              <w:rPr>
                <w:rFonts w:hint="default" w:ascii="Times New Roman" w:hAnsi="Times New Roman" w:cs="Times New Roman"/>
                <w:b/>
                <w:bCs/>
                <w:color w:val="000000" w:themeColor="text1"/>
                <w:kern w:val="0"/>
                <w:szCs w:val="21"/>
                <w:highlight w:val="none"/>
                <w14:textFill>
                  <w14:solidFill>
                    <w14:schemeClr w14:val="tx1"/>
                  </w14:solidFill>
                </w14:textFill>
              </w:rPr>
              <w:fldChar w:fldCharType="end"/>
            </w:r>
            <w:r>
              <w:rPr>
                <w:rFonts w:hint="default" w:ascii="Times New Roman" w:hAnsi="Times New Roman" w:cs="Times New Roman"/>
                <w:b/>
                <w:bCs/>
                <w:color w:val="000000" w:themeColor="text1"/>
                <w:kern w:val="0"/>
                <w:szCs w:val="21"/>
                <w:highlight w:val="none"/>
                <w:lang w:eastAsia="zh-CN"/>
                <w14:textFill>
                  <w14:solidFill>
                    <w14:schemeClr w14:val="tx1"/>
                  </w14:solidFill>
                </w14:textFill>
              </w:rPr>
              <w:t>危险固废管理要求</w:t>
            </w:r>
          </w:p>
          <w:p>
            <w:pPr>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依据《危险废物贮存污染控制标准》（GB18597-2001</w:t>
            </w:r>
            <w:r>
              <w:rPr>
                <w:rFonts w:hint="default" w:ascii="Times New Roman" w:hAnsi="Times New Roman" w:eastAsia="宋体" w:cs="Times New Roman"/>
                <w:color w:val="000000" w:themeColor="text1"/>
                <w:sz w:val="21"/>
                <w:szCs w:val="21"/>
                <w:highlight w:val="none"/>
                <w14:textFill>
                  <w14:solidFill>
                    <w14:schemeClr w14:val="tx1"/>
                  </w14:solidFill>
                </w14:textFill>
              </w:rPr>
              <w:t>）及其</w:t>
            </w:r>
            <w:r>
              <w:rPr>
                <w:rFonts w:hint="default" w:ascii="Times New Roman" w:hAnsi="Times New Roman" w:cs="Times New Roman"/>
                <w:color w:val="000000" w:themeColor="text1"/>
                <w:sz w:val="21"/>
                <w:szCs w:val="21"/>
                <w:highlight w:val="none"/>
                <w14:textFill>
                  <w14:solidFill>
                    <w14:schemeClr w14:val="tx1"/>
                  </w14:solidFill>
                </w14:textFill>
              </w:rPr>
              <w:t>2013</w:t>
            </w:r>
            <w:r>
              <w:rPr>
                <w:rFonts w:hint="default" w:ascii="Times New Roman" w:hAnsi="Times New Roman" w:eastAsia="宋体" w:cs="Times New Roman"/>
                <w:color w:val="000000" w:themeColor="text1"/>
                <w:sz w:val="21"/>
                <w:szCs w:val="21"/>
                <w:highlight w:val="none"/>
                <w14:textFill>
                  <w14:solidFill>
                    <w14:schemeClr w14:val="tx1"/>
                  </w14:solidFill>
                </w14:textFill>
              </w:rPr>
              <w:t>年修改单、《建设项目危险废物环境影响评价指南》相关内容，本次评价对项目危废管理提出如下要求：</w:t>
            </w:r>
          </w:p>
          <w:p>
            <w:pPr>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危险废物储存容器储存要求：</w:t>
            </w:r>
          </w:p>
          <w:p>
            <w:pPr>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a</w:t>
            </w:r>
            <w:r>
              <w:rPr>
                <w:rFonts w:hint="default" w:ascii="Times New Roman" w:hAnsi="Times New Roman" w:eastAsia="宋体" w:cs="Times New Roman"/>
                <w:color w:val="000000" w:themeColor="text1"/>
                <w:sz w:val="21"/>
                <w:szCs w:val="21"/>
                <w:highlight w:val="none"/>
                <w14:textFill>
                  <w14:solidFill>
                    <w14:schemeClr w14:val="tx1"/>
                  </w14:solidFill>
                </w14:textFill>
              </w:rPr>
              <w:t>、必须将危险废物装入容器内；应当使用符合标准的容器盛装危险废物；</w:t>
            </w:r>
          </w:p>
          <w:p>
            <w:pPr>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b</w:t>
            </w:r>
            <w:r>
              <w:rPr>
                <w:rFonts w:hint="default" w:ascii="Times New Roman" w:hAnsi="Times New Roman" w:eastAsia="宋体" w:cs="Times New Roman"/>
                <w:color w:val="000000" w:themeColor="text1"/>
                <w:sz w:val="21"/>
                <w:szCs w:val="21"/>
                <w:highlight w:val="none"/>
                <w14:textFill>
                  <w14:solidFill>
                    <w14:schemeClr w14:val="tx1"/>
                  </w14:solidFill>
                </w14:textFill>
              </w:rPr>
              <w:t>、禁止将不相容（相互反应）的危险废物在同一容器内混装；</w:t>
            </w:r>
          </w:p>
          <w:p>
            <w:pPr>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c</w:t>
            </w:r>
            <w:r>
              <w:rPr>
                <w:rFonts w:hint="default" w:ascii="Times New Roman" w:hAnsi="Times New Roman" w:eastAsia="宋体" w:cs="Times New Roman"/>
                <w:color w:val="000000" w:themeColor="text1"/>
                <w:sz w:val="21"/>
                <w:szCs w:val="21"/>
                <w:highlight w:val="none"/>
                <w14:textFill>
                  <w14:solidFill>
                    <w14:schemeClr w14:val="tx1"/>
                  </w14:solidFill>
                </w14:textFill>
              </w:rPr>
              <w:t>、盛装危险废物的容器上必须粘贴符合《危险废物贮存污染控制标准》（</w:t>
            </w:r>
            <w:r>
              <w:rPr>
                <w:rFonts w:hint="default" w:ascii="Times New Roman" w:hAnsi="Times New Roman" w:cs="Times New Roman"/>
                <w:color w:val="000000" w:themeColor="text1"/>
                <w:sz w:val="21"/>
                <w:szCs w:val="21"/>
                <w:highlight w:val="none"/>
                <w14:textFill>
                  <w14:solidFill>
                    <w14:schemeClr w14:val="tx1"/>
                  </w14:solidFill>
                </w14:textFill>
              </w:rPr>
              <w:t>GB18597-2001</w:t>
            </w:r>
            <w:r>
              <w:rPr>
                <w:rFonts w:hint="default" w:ascii="Times New Roman" w:hAnsi="Times New Roman" w:eastAsia="宋体" w:cs="Times New Roman"/>
                <w:color w:val="000000" w:themeColor="text1"/>
                <w:sz w:val="21"/>
                <w:szCs w:val="21"/>
                <w:highlight w:val="none"/>
                <w14:textFill>
                  <w14:solidFill>
                    <w14:schemeClr w14:val="tx1"/>
                  </w14:solidFill>
                </w14:textFill>
              </w:rPr>
              <w:t>）附录</w:t>
            </w:r>
            <w:r>
              <w:rPr>
                <w:rFonts w:hint="default" w:ascii="Times New Roman" w:hAnsi="Times New Roman" w:cs="Times New Roman"/>
                <w:color w:val="000000" w:themeColor="text1"/>
                <w:sz w:val="21"/>
                <w:szCs w:val="21"/>
                <w:highlight w:val="none"/>
                <w14:textFill>
                  <w14:solidFill>
                    <w14:schemeClr w14:val="tx1"/>
                  </w14:solidFill>
                </w14:textFill>
              </w:rPr>
              <w:t>A</w:t>
            </w:r>
            <w:r>
              <w:rPr>
                <w:rFonts w:hint="default" w:ascii="Times New Roman" w:hAnsi="Times New Roman" w:eastAsia="宋体" w:cs="Times New Roman"/>
                <w:color w:val="000000" w:themeColor="text1"/>
                <w:sz w:val="21"/>
                <w:szCs w:val="21"/>
                <w:highlight w:val="none"/>
                <w14:textFill>
                  <w14:solidFill>
                    <w14:schemeClr w14:val="tx1"/>
                  </w14:solidFill>
                </w14:textFill>
              </w:rPr>
              <w:t>所示的标签；</w:t>
            </w:r>
          </w:p>
          <w:p>
            <w:pPr>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d</w:t>
            </w:r>
            <w:r>
              <w:rPr>
                <w:rFonts w:hint="default" w:ascii="Times New Roman" w:hAnsi="Times New Roman" w:eastAsia="宋体" w:cs="Times New Roman"/>
                <w:color w:val="000000" w:themeColor="text1"/>
                <w:sz w:val="21"/>
                <w:szCs w:val="21"/>
                <w:highlight w:val="none"/>
                <w14:textFill>
                  <w14:solidFill>
                    <w14:schemeClr w14:val="tx1"/>
                  </w14:solidFill>
                </w14:textFill>
              </w:rPr>
              <w:t>、装载危险废物的容器及材质要满足相应的强度要求；</w:t>
            </w:r>
          </w:p>
          <w:p>
            <w:pPr>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e</w:t>
            </w:r>
            <w:r>
              <w:rPr>
                <w:rFonts w:hint="default" w:ascii="Times New Roman" w:hAnsi="Times New Roman" w:eastAsia="宋体" w:cs="Times New Roman"/>
                <w:color w:val="000000" w:themeColor="text1"/>
                <w:sz w:val="21"/>
                <w:szCs w:val="21"/>
                <w:highlight w:val="none"/>
                <w14:textFill>
                  <w14:solidFill>
                    <w14:schemeClr w14:val="tx1"/>
                  </w14:solidFill>
                </w14:textFill>
              </w:rPr>
              <w:t>、装载危险废物的容器必须完好无损；</w:t>
            </w:r>
          </w:p>
          <w:p>
            <w:pPr>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f</w:t>
            </w:r>
            <w:r>
              <w:rPr>
                <w:rFonts w:hint="default" w:ascii="Times New Roman" w:hAnsi="Times New Roman" w:eastAsia="宋体" w:cs="Times New Roman"/>
                <w:color w:val="000000" w:themeColor="text1"/>
                <w:sz w:val="21"/>
                <w:szCs w:val="21"/>
                <w:highlight w:val="none"/>
                <w14:textFill>
                  <w14:solidFill>
                    <w14:schemeClr w14:val="tx1"/>
                  </w14:solidFill>
                </w14:textFill>
              </w:rPr>
              <w:t>、盛装危险废物的容器材质和衬里要与危险废物相容（不相互反应）；</w:t>
            </w:r>
          </w:p>
          <w:p>
            <w:pPr>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危险废物暂存间储存要求：</w:t>
            </w:r>
          </w:p>
          <w:p>
            <w:pPr>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危废间设置应</w:t>
            </w:r>
            <w:r>
              <w:rPr>
                <w:rFonts w:hint="default" w:ascii="Times New Roman" w:hAnsi="Times New Roman" w:cs="Times New Roman"/>
                <w:color w:val="000000" w:themeColor="text1"/>
                <w:sz w:val="21"/>
                <w:szCs w:val="21"/>
                <w:highlight w:val="none"/>
                <w14:textFill>
                  <w14:solidFill>
                    <w14:schemeClr w14:val="tx1"/>
                  </w14:solidFill>
                </w14:textFill>
              </w:rPr>
              <w:t>做好防雨、防渗、防腐措施，且危废间基础周围设置围堰和地沟，以防止其中某些危险废物中产生的泄漏液、溢流等意外污染事故，同时地沟容积不低于堵截最大容器的最大储量或总储量的五分之一，使危废暂存库中产生的泄露液排入地沟（地沟作防渗处理），经地沟收集后送有资质的单位进行处理。并且严格按照危险废物暂存储运相关要求进行。危险废物暂存储运相关要求如下：</w:t>
            </w:r>
          </w:p>
          <w:p>
            <w:pPr>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a</w:t>
            </w:r>
            <w:r>
              <w:rPr>
                <w:rFonts w:hint="default" w:ascii="Times New Roman" w:hAnsi="Times New Roman" w:eastAsia="宋体" w:cs="Times New Roman"/>
                <w:color w:val="000000" w:themeColor="text1"/>
                <w:sz w:val="21"/>
                <w:szCs w:val="21"/>
                <w:highlight w:val="none"/>
                <w14:textFill>
                  <w14:solidFill>
                    <w14:schemeClr w14:val="tx1"/>
                  </w14:solidFill>
                </w14:textFill>
              </w:rPr>
              <w:t>、按《危险废物贮存污染控制标准》（</w:t>
            </w:r>
            <w:r>
              <w:rPr>
                <w:rFonts w:hint="default" w:ascii="Times New Roman" w:hAnsi="Times New Roman" w:cs="Times New Roman"/>
                <w:color w:val="000000" w:themeColor="text1"/>
                <w:sz w:val="21"/>
                <w:szCs w:val="21"/>
                <w:highlight w:val="none"/>
                <w14:textFill>
                  <w14:solidFill>
                    <w14:schemeClr w14:val="tx1"/>
                  </w14:solidFill>
                </w14:textFill>
              </w:rPr>
              <w:t>GB18597-2001</w:t>
            </w:r>
            <w:r>
              <w:rPr>
                <w:rFonts w:hint="default" w:ascii="Times New Roman" w:hAnsi="Times New Roman" w:eastAsia="宋体" w:cs="Times New Roman"/>
                <w:color w:val="000000" w:themeColor="text1"/>
                <w:sz w:val="21"/>
                <w:szCs w:val="21"/>
                <w:highlight w:val="none"/>
                <w14:textFill>
                  <w14:solidFill>
                    <w14:schemeClr w14:val="tx1"/>
                  </w14:solidFill>
                </w14:textFill>
              </w:rPr>
              <w:t>）及</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2013年</w:t>
            </w:r>
            <w:r>
              <w:rPr>
                <w:rFonts w:hint="default" w:ascii="Times New Roman" w:hAnsi="Times New Roman" w:eastAsia="宋体" w:cs="Times New Roman"/>
                <w:color w:val="000000" w:themeColor="text1"/>
                <w:sz w:val="21"/>
                <w:szCs w:val="21"/>
                <w:highlight w:val="none"/>
                <w14:textFill>
                  <w14:solidFill>
                    <w14:schemeClr w14:val="tx1"/>
                  </w14:solidFill>
                </w14:textFill>
              </w:rPr>
              <w:t>修改单要求建造专用的危险废物贮存设施（暂存间）；</w:t>
            </w:r>
          </w:p>
          <w:p>
            <w:pPr>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b</w:t>
            </w:r>
            <w:r>
              <w:rPr>
                <w:rFonts w:hint="default" w:ascii="Times New Roman" w:hAnsi="Times New Roman" w:eastAsia="宋体" w:cs="Times New Roman"/>
                <w:color w:val="000000" w:themeColor="text1"/>
                <w:sz w:val="21"/>
                <w:szCs w:val="21"/>
                <w:highlight w:val="none"/>
                <w14:textFill>
                  <w14:solidFill>
                    <w14:schemeClr w14:val="tx1"/>
                  </w14:solidFill>
                </w14:textFill>
              </w:rPr>
              <w:t>、储存间应采取防风、防雨、防晒、防渗等</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四防</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措施</w:t>
            </w:r>
            <w:r>
              <w:rPr>
                <w:rFonts w:hint="default" w:ascii="Times New Roman" w:hAnsi="Times New Roman" w:cs="Times New Roman"/>
                <w:color w:val="000000" w:themeColor="text1"/>
                <w:sz w:val="21"/>
                <w:szCs w:val="21"/>
                <w:highlight w:val="none"/>
                <w:lang w:eastAsia="zh-CN"/>
                <w14:textFill>
                  <w14:solidFill>
                    <w14:schemeClr w14:val="tx1"/>
                  </w14:solidFill>
                </w14:textFill>
              </w:rPr>
              <w:t>，确保雨水无法进入，渗漏液也无法外溢进入环境，地面与裙脚要用坚固、防渗的材料建造，防渗层为至少lm厚粘土层（渗透系数≤10</w:t>
            </w:r>
            <w:r>
              <w:rPr>
                <w:rFonts w:hint="default" w:ascii="Times New Roman" w:hAnsi="Times New Roman" w:cs="Times New Roman"/>
                <w:color w:val="000000" w:themeColor="text1"/>
                <w:sz w:val="21"/>
                <w:szCs w:val="21"/>
                <w:highlight w:val="none"/>
                <w:vertAlign w:val="superscript"/>
                <w:lang w:eastAsia="zh-CN"/>
                <w14:textFill>
                  <w14:solidFill>
                    <w14:schemeClr w14:val="tx1"/>
                  </w14:solidFill>
                </w14:textFill>
              </w:rPr>
              <w:t>-7</w:t>
            </w:r>
            <w:r>
              <w:rPr>
                <w:rFonts w:hint="default" w:ascii="Times New Roman" w:hAnsi="Times New Roman" w:cs="Times New Roman"/>
                <w:color w:val="000000" w:themeColor="text1"/>
                <w:sz w:val="21"/>
                <w:szCs w:val="21"/>
                <w:highlight w:val="none"/>
                <w:lang w:eastAsia="zh-CN"/>
                <w14:textFill>
                  <w14:solidFill>
                    <w14:schemeClr w14:val="tx1"/>
                  </w14:solidFill>
                </w14:textFill>
              </w:rPr>
              <w:t>cm/s），或2mm厚高密度聚乙烯，或至少2mm厚的其它人工材料，渗透系数≤10</w:t>
            </w:r>
            <w:r>
              <w:rPr>
                <w:rFonts w:hint="default" w:ascii="Times New Roman" w:hAnsi="Times New Roman" w:cs="Times New Roman"/>
                <w:color w:val="000000" w:themeColor="text1"/>
                <w:sz w:val="21"/>
                <w:szCs w:val="21"/>
                <w:highlight w:val="none"/>
                <w:vertAlign w:val="superscript"/>
                <w:lang w:eastAsia="zh-CN"/>
                <w14:textFill>
                  <w14:solidFill>
                    <w14:schemeClr w14:val="tx1"/>
                  </w14:solidFill>
                </w14:textFill>
              </w:rPr>
              <w:t>-10</w:t>
            </w:r>
            <w:r>
              <w:rPr>
                <w:rFonts w:hint="default" w:ascii="Times New Roman" w:hAnsi="Times New Roman" w:cs="Times New Roman"/>
                <w:color w:val="000000" w:themeColor="text1"/>
                <w:sz w:val="21"/>
                <w:szCs w:val="21"/>
                <w:highlight w:val="none"/>
                <w:lang w:eastAsia="zh-CN"/>
                <w14:textFill>
                  <w14:solidFill>
                    <w14:schemeClr w14:val="tx1"/>
                  </w14:solidFill>
                </w14:textFill>
              </w:rPr>
              <w:t>cm/s，堆放危险废物的高度应根据地面承载能力确定</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c</w:t>
            </w:r>
            <w:r>
              <w:rPr>
                <w:rFonts w:hint="default" w:ascii="Times New Roman" w:hAnsi="Times New Roman" w:eastAsia="宋体" w:cs="Times New Roman"/>
                <w:color w:val="000000" w:themeColor="text1"/>
                <w:sz w:val="21"/>
                <w:szCs w:val="21"/>
                <w:highlight w:val="none"/>
                <w14:textFill>
                  <w14:solidFill>
                    <w14:schemeClr w14:val="tx1"/>
                  </w14:solidFill>
                </w14:textFill>
              </w:rPr>
              <w:t>、建立危废管理制度及台账，严格管理。</w:t>
            </w:r>
          </w:p>
          <w:p>
            <w:pPr>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危废管理要求：</w:t>
            </w:r>
          </w:p>
          <w:p>
            <w:pPr>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a</w:t>
            </w:r>
            <w:r>
              <w:rPr>
                <w:rFonts w:hint="default" w:ascii="Times New Roman" w:hAnsi="Times New Roman" w:eastAsia="宋体" w:cs="Times New Roman"/>
                <w:color w:val="000000" w:themeColor="text1"/>
                <w:sz w:val="21"/>
                <w:szCs w:val="21"/>
                <w:highlight w:val="none"/>
                <w14:textFill>
                  <w14:solidFill>
                    <w14:schemeClr w14:val="tx1"/>
                  </w14:solidFill>
                </w14:textFill>
              </w:rPr>
              <w:t>、建立危险废物的管理制度，配备专职人员，设立危险废物的产生、收集、贮存、处置台帐，记录反映整个危废物品的产生量、收集量、处置去向和处置数量，做到记录详细、完整。记录上注明危险废物的名称、来源、数量、特性和包装容器的类别、入库日期、存放库位、废物出库日期及接收单位名称。</w:t>
            </w:r>
          </w:p>
          <w:p>
            <w:pPr>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b</w:t>
            </w:r>
            <w:r>
              <w:rPr>
                <w:rFonts w:hint="default" w:ascii="Times New Roman" w:hAnsi="Times New Roman" w:eastAsia="宋体" w:cs="Times New Roman"/>
                <w:color w:val="000000" w:themeColor="text1"/>
                <w:sz w:val="21"/>
                <w:szCs w:val="21"/>
                <w:highlight w:val="none"/>
                <w14:textFill>
                  <w14:solidFill>
                    <w14:schemeClr w14:val="tx1"/>
                  </w14:solidFill>
                </w14:textFill>
              </w:rPr>
              <w:t>、危险废物交由资质的单位处置或回收、利用，在转运过程中应按环保规定向主管的环保部门提出申请办理转移联单，杜绝非法转移。</w:t>
            </w:r>
          </w:p>
          <w:p>
            <w:pPr>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c</w:t>
            </w:r>
            <w:r>
              <w:rPr>
                <w:rFonts w:hint="default" w:ascii="Times New Roman" w:hAnsi="Times New Roman" w:eastAsia="宋体" w:cs="Times New Roman"/>
                <w:color w:val="000000" w:themeColor="text1"/>
                <w:sz w:val="21"/>
                <w:szCs w:val="21"/>
                <w:highlight w:val="none"/>
                <w14:textFill>
                  <w14:solidFill>
                    <w14:schemeClr w14:val="tx1"/>
                  </w14:solidFill>
                </w14:textFill>
              </w:rPr>
              <w:t>、定期对所贮存的危险废物包装容器及贮存设施进行检查，发现破损，应及时采取措施清理更换，杜绝跑、冒、滴、漏现象的产生。</w:t>
            </w:r>
          </w:p>
          <w:p>
            <w:pPr>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d</w:t>
            </w:r>
            <w:r>
              <w:rPr>
                <w:rFonts w:hint="default" w:ascii="Times New Roman" w:hAnsi="Times New Roman" w:eastAsia="宋体" w:cs="Times New Roman"/>
                <w:color w:val="000000" w:themeColor="text1"/>
                <w:sz w:val="21"/>
                <w:szCs w:val="21"/>
                <w:highlight w:val="none"/>
                <w14:textFill>
                  <w14:solidFill>
                    <w14:schemeClr w14:val="tx1"/>
                  </w14:solidFill>
                </w14:textFill>
              </w:rPr>
              <w:t>、禁止将危险废物混入非危险废物中贮存。</w:t>
            </w:r>
          </w:p>
          <w:p>
            <w:pPr>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e</w:t>
            </w:r>
            <w:r>
              <w:rPr>
                <w:rFonts w:hint="default" w:ascii="Times New Roman" w:hAnsi="Times New Roman" w:eastAsia="宋体" w:cs="Times New Roman"/>
                <w:color w:val="000000" w:themeColor="text1"/>
                <w:sz w:val="21"/>
                <w:szCs w:val="21"/>
                <w:highlight w:val="none"/>
                <w14:textFill>
                  <w14:solidFill>
                    <w14:schemeClr w14:val="tx1"/>
                  </w14:solidFill>
                </w14:textFill>
              </w:rPr>
              <w:t>、企业设置危废管理人员，责任到人，制定相关的管理条例及制度，规定上墙，危废日常管理应做到</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定点、定岗、定责</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，杜绝人为事故污染。</w:t>
            </w:r>
          </w:p>
          <w:p>
            <w:pPr>
              <w:keepNext w:val="0"/>
              <w:keepLines w:val="0"/>
              <w:pageBreakBefore w:val="0"/>
              <w:widowControl w:val="0"/>
              <w:kinsoku/>
              <w:wordWrap/>
              <w:overflowPunct/>
              <w:topLinePunct w:val="0"/>
              <w:autoSpaceDE/>
              <w:autoSpaceDN/>
              <w:bidi w:val="0"/>
              <w:adjustRightInd/>
              <w:snapToGrid/>
              <w:spacing w:line="360" w:lineRule="auto"/>
              <w:ind w:firstLine="482"/>
              <w:jc w:val="both"/>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f</w:t>
            </w:r>
            <w:r>
              <w:rPr>
                <w:rFonts w:hint="default" w:ascii="Times New Roman" w:hAnsi="Times New Roman" w:eastAsia="宋体" w:cs="Times New Roman"/>
                <w:color w:val="000000" w:themeColor="text1"/>
                <w:sz w:val="21"/>
                <w:szCs w:val="21"/>
                <w:highlight w:val="none"/>
                <w14:textFill>
                  <w14:solidFill>
                    <w14:schemeClr w14:val="tx1"/>
                  </w14:solidFill>
                </w14:textFill>
              </w:rPr>
              <w:t>、危废暂存间按照《危险废物贮存污染控制标准》（</w:t>
            </w:r>
            <w:r>
              <w:rPr>
                <w:rFonts w:hint="default" w:ascii="Times New Roman" w:hAnsi="Times New Roman" w:cs="Times New Roman"/>
                <w:color w:val="000000" w:themeColor="text1"/>
                <w:sz w:val="21"/>
                <w:szCs w:val="21"/>
                <w:highlight w:val="none"/>
                <w14:textFill>
                  <w14:solidFill>
                    <w14:schemeClr w14:val="tx1"/>
                  </w14:solidFill>
                </w14:textFill>
              </w:rPr>
              <w:t>GB18597-2001</w:t>
            </w:r>
            <w:r>
              <w:rPr>
                <w:rFonts w:hint="default" w:ascii="Times New Roman" w:hAnsi="Times New Roman" w:eastAsia="宋体" w:cs="Times New Roman"/>
                <w:color w:val="000000" w:themeColor="text1"/>
                <w:sz w:val="21"/>
                <w:szCs w:val="21"/>
                <w:highlight w:val="none"/>
                <w14:textFill>
                  <w14:solidFill>
                    <w14:schemeClr w14:val="tx1"/>
                  </w14:solidFill>
                </w14:textFill>
              </w:rPr>
              <w:t>）及</w:t>
            </w:r>
            <w:r>
              <w:rPr>
                <w:rFonts w:hint="default" w:ascii="Times New Roman" w:hAnsi="Times New Roman" w:cs="Times New Roman"/>
                <w:color w:val="000000" w:themeColor="text1"/>
                <w:sz w:val="21"/>
                <w:szCs w:val="21"/>
                <w:highlight w:val="none"/>
                <w14:textFill>
                  <w14:solidFill>
                    <w14:schemeClr w14:val="tx1"/>
                  </w14:solidFill>
                </w14:textFill>
              </w:rPr>
              <w:t>2013</w:t>
            </w:r>
            <w:r>
              <w:rPr>
                <w:rFonts w:hint="default" w:ascii="Times New Roman" w:hAnsi="Times New Roman" w:eastAsia="宋体" w:cs="Times New Roman"/>
                <w:color w:val="000000" w:themeColor="text1"/>
                <w:sz w:val="21"/>
                <w:szCs w:val="21"/>
                <w:highlight w:val="none"/>
                <w14:textFill>
                  <w14:solidFill>
                    <w14:schemeClr w14:val="tx1"/>
                  </w14:solidFill>
                </w14:textFill>
              </w:rPr>
              <w:t>年修改单要求进行设计建设。严格制定并执行国家危险废物管理台帐制度、危险废物申报登记制度、危险废物转移联单制度，便于企业管理及环保部门的监督检查</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w:t>
            </w:r>
          </w:p>
          <w:p>
            <w:pPr>
              <w:keepNext w:val="0"/>
              <w:keepLines w:val="0"/>
              <w:pageBreakBefore w:val="0"/>
              <w:widowControl w:val="0"/>
              <w:kinsoku/>
              <w:wordWrap/>
              <w:overflowPunct/>
              <w:topLinePunct w:val="0"/>
              <w:bidi w:val="0"/>
              <w:adjustRightInd/>
              <w:snapToGrid/>
              <w:spacing w:line="360" w:lineRule="auto"/>
              <w:ind w:firstLine="422" w:firstLineChars="200"/>
              <w:jc w:val="both"/>
              <w:textAlignment w:val="auto"/>
              <w:rPr>
                <w:rFonts w:hint="default" w:ascii="Times New Roman" w:hAnsi="Times New Roman" w:eastAsia="宋体" w:cs="Times New Roman"/>
                <w:b/>
                <w:bCs/>
                <w:color w:val="000000" w:themeColor="text1"/>
                <w:kern w:val="0"/>
                <w:szCs w:val="21"/>
                <w:highlight w:val="none"/>
                <w:lang w:eastAsia="zh-CN"/>
                <w14:textFill>
                  <w14:solidFill>
                    <w14:schemeClr w14:val="tx1"/>
                  </w14:solidFill>
                </w14:textFill>
              </w:rPr>
            </w:pPr>
            <w:r>
              <w:rPr>
                <w:rFonts w:hint="default" w:ascii="Times New Roman" w:hAnsi="Times New Roman" w:cs="Times New Roman"/>
                <w:b/>
                <w:bCs/>
                <w:color w:val="000000" w:themeColor="text1"/>
                <w:kern w:val="0"/>
                <w:szCs w:val="21"/>
                <w:highlight w:val="none"/>
                <w14:textFill>
                  <w14:solidFill>
                    <w14:schemeClr w14:val="tx1"/>
                  </w14:solidFill>
                </w14:textFill>
              </w:rPr>
              <w:fldChar w:fldCharType="begin"/>
            </w:r>
            <w:r>
              <w:rPr>
                <w:rFonts w:hint="default" w:ascii="Times New Roman" w:hAnsi="Times New Roman" w:cs="Times New Roman"/>
                <w:b/>
                <w:bCs/>
                <w:color w:val="000000" w:themeColor="text1"/>
                <w:kern w:val="0"/>
                <w:szCs w:val="21"/>
                <w:highlight w:val="none"/>
                <w14:textFill>
                  <w14:solidFill>
                    <w14:schemeClr w14:val="tx1"/>
                  </w14:solidFill>
                </w14:textFill>
              </w:rPr>
              <w:instrText xml:space="preserve"> = 2 \* GB3 \* MERGEFORMAT </w:instrText>
            </w:r>
            <w:r>
              <w:rPr>
                <w:rFonts w:hint="default" w:ascii="Times New Roman" w:hAnsi="Times New Roman" w:cs="Times New Roman"/>
                <w:b/>
                <w:bCs/>
                <w:color w:val="000000" w:themeColor="text1"/>
                <w:kern w:val="0"/>
                <w:szCs w:val="21"/>
                <w:highlight w:val="none"/>
                <w14:textFill>
                  <w14:solidFill>
                    <w14:schemeClr w14:val="tx1"/>
                  </w14:solidFill>
                </w14:textFill>
              </w:rPr>
              <w:fldChar w:fldCharType="separate"/>
            </w:r>
            <w:r>
              <w:rPr>
                <w:rFonts w:hint="default" w:ascii="Times New Roman" w:hAnsi="Times New Roman" w:cs="Times New Roman"/>
                <w:b/>
                <w:bCs/>
                <w:color w:val="000000" w:themeColor="text1"/>
                <w:highlight w:val="none"/>
                <w14:textFill>
                  <w14:solidFill>
                    <w14:schemeClr w14:val="tx1"/>
                  </w14:solidFill>
                </w14:textFill>
              </w:rPr>
              <w:t>②</w:t>
            </w:r>
            <w:r>
              <w:rPr>
                <w:rFonts w:hint="default" w:ascii="Times New Roman" w:hAnsi="Times New Roman" w:cs="Times New Roman"/>
                <w:b/>
                <w:bCs/>
                <w:color w:val="000000" w:themeColor="text1"/>
                <w:kern w:val="0"/>
                <w:szCs w:val="21"/>
                <w:highlight w:val="none"/>
                <w14:textFill>
                  <w14:solidFill>
                    <w14:schemeClr w14:val="tx1"/>
                  </w14:solidFill>
                </w14:textFill>
              </w:rPr>
              <w:fldChar w:fldCharType="end"/>
            </w:r>
            <w:r>
              <w:rPr>
                <w:rFonts w:hint="default" w:ascii="Times New Roman" w:hAnsi="Times New Roman" w:cs="Times New Roman"/>
                <w:b/>
                <w:bCs/>
                <w:color w:val="000000" w:themeColor="text1"/>
                <w:kern w:val="0"/>
                <w:szCs w:val="21"/>
                <w:highlight w:val="none"/>
                <w:lang w:eastAsia="zh-CN"/>
                <w14:textFill>
                  <w14:solidFill>
                    <w14:schemeClr w14:val="tx1"/>
                  </w14:solidFill>
                </w14:textFill>
              </w:rPr>
              <w:t>一般固废管理要求</w:t>
            </w:r>
          </w:p>
          <w:p>
            <w:pPr>
              <w:keepNext w:val="0"/>
              <w:keepLines w:val="0"/>
              <w:pageBreakBefore w:val="0"/>
              <w:widowControl w:val="0"/>
              <w:kinsoku/>
              <w:wordWrap/>
              <w:overflowPunct/>
              <w:topLinePunct w:val="0"/>
              <w:bidi w:val="0"/>
              <w:adjustRightInd/>
              <w:snapToGrid/>
              <w:spacing w:line="360" w:lineRule="auto"/>
              <w:ind w:firstLine="420" w:firstLineChars="200"/>
              <w:jc w:val="both"/>
              <w:textAlignment w:val="auto"/>
              <w:rPr>
                <w:rFonts w:hint="default" w:ascii="Times New Roman" w:hAnsi="Times New Roman" w:cs="Times New Roman"/>
                <w:bCs/>
                <w:color w:val="000000" w:themeColor="text1"/>
                <w:kern w:val="0"/>
                <w:szCs w:val="21"/>
                <w:highlight w:val="none"/>
                <w:lang w:eastAsia="zh-CN"/>
                <w14:textFill>
                  <w14:solidFill>
                    <w14:schemeClr w14:val="tx1"/>
                  </w14:solidFill>
                </w14:textFill>
              </w:rPr>
            </w:pPr>
            <w:r>
              <w:rPr>
                <w:rFonts w:hint="default" w:ascii="Times New Roman" w:hAnsi="Times New Roman" w:cs="Times New Roman"/>
                <w:bCs/>
                <w:color w:val="000000" w:themeColor="text1"/>
                <w:kern w:val="0"/>
                <w:szCs w:val="21"/>
                <w:highlight w:val="none"/>
                <w14:textFill>
                  <w14:solidFill>
                    <w14:schemeClr w14:val="tx1"/>
                  </w14:solidFill>
                </w14:textFill>
              </w:rPr>
              <w:t>企业</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拟</w:t>
            </w:r>
            <w:r>
              <w:rPr>
                <w:rFonts w:hint="default" w:ascii="Times New Roman" w:hAnsi="Times New Roman" w:cs="Times New Roman"/>
                <w:bCs/>
                <w:color w:val="000000" w:themeColor="text1"/>
                <w:kern w:val="0"/>
                <w:szCs w:val="21"/>
                <w:highlight w:val="none"/>
                <w14:textFill>
                  <w14:solidFill>
                    <w14:schemeClr w14:val="tx1"/>
                  </w14:solidFill>
                </w14:textFill>
              </w:rPr>
              <w:t>在</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3#</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生产车间</w:t>
            </w:r>
            <w:r>
              <w:rPr>
                <w:rFonts w:hint="default" w:ascii="Times New Roman" w:hAnsi="Times New Roman" w:cs="Times New Roman"/>
                <w:bCs/>
                <w:color w:val="000000" w:themeColor="text1"/>
                <w:kern w:val="0"/>
                <w:szCs w:val="21"/>
                <w:highlight w:val="none"/>
                <w14:textFill>
                  <w14:solidFill>
                    <w14:schemeClr w14:val="tx1"/>
                  </w14:solidFill>
                </w14:textFill>
              </w:rPr>
              <w:t>内设置</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35</w:t>
            </w:r>
            <w:r>
              <w:rPr>
                <w:rFonts w:hint="default" w:ascii="Times New Roman" w:hAnsi="Times New Roman" w:cs="Times New Roman"/>
                <w:bCs/>
                <w:color w:val="000000" w:themeColor="text1"/>
                <w:kern w:val="0"/>
                <w:szCs w:val="21"/>
                <w:highlight w:val="none"/>
                <w14:textFill>
                  <w14:solidFill>
                    <w14:schemeClr w14:val="tx1"/>
                  </w14:solidFill>
                </w14:textFill>
              </w:rPr>
              <w:t>m</w:t>
            </w:r>
            <w:r>
              <w:rPr>
                <w:rFonts w:hint="default" w:ascii="Times New Roman" w:hAnsi="Times New Roman" w:cs="Times New Roman"/>
                <w:bCs/>
                <w:color w:val="000000" w:themeColor="text1"/>
                <w:kern w:val="0"/>
                <w:szCs w:val="21"/>
                <w:highlight w:val="none"/>
                <w:vertAlign w:val="superscript"/>
                <w14:textFill>
                  <w14:solidFill>
                    <w14:schemeClr w14:val="tx1"/>
                  </w14:solidFill>
                </w14:textFill>
              </w:rPr>
              <w:t>2</w:t>
            </w:r>
            <w:r>
              <w:rPr>
                <w:rFonts w:hint="default" w:ascii="Times New Roman" w:hAnsi="Times New Roman" w:cs="Times New Roman"/>
                <w:bCs/>
                <w:color w:val="000000" w:themeColor="text1"/>
                <w:kern w:val="0"/>
                <w:szCs w:val="21"/>
                <w:highlight w:val="none"/>
                <w14:textFill>
                  <w14:solidFill>
                    <w14:schemeClr w14:val="tx1"/>
                  </w14:solidFill>
                </w14:textFill>
              </w:rPr>
              <w:t>一般固废暂存</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区域</w:t>
            </w:r>
            <w:r>
              <w:rPr>
                <w:rFonts w:hint="default" w:ascii="Times New Roman" w:hAnsi="Times New Roman" w:cs="Times New Roman"/>
                <w:bCs/>
                <w:color w:val="000000" w:themeColor="text1"/>
                <w:kern w:val="0"/>
                <w:szCs w:val="21"/>
                <w:highlight w:val="none"/>
                <w14:textFill>
                  <w14:solidFill>
                    <w14:schemeClr w14:val="tx1"/>
                  </w14:solidFill>
                </w14:textFill>
              </w:rPr>
              <w:t>，用于产生的一般固体废物暂存，本项目一般固废贮存采用库房，根据《一般工业固体废物贮存和填埋污染控制标准》（GB18599-2020）中试用范围，“采用库房、包装工具（罐、桶、包装袋等）贮存一般工业固体废物过程的污染控制，不适用本标准，其贮存过程应满足相应防渗漏、防雨淋、防扬尘等环境保护要求”，因此不适用于本项目的一般固废暂存间，一般固废贮存过程应满足相应防渗漏、防雨淋、防扬尘等环境保护要求</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w:t>
            </w:r>
          </w:p>
          <w:p>
            <w:pPr>
              <w:keepNext w:val="0"/>
              <w:keepLines w:val="0"/>
              <w:pageBreakBefore w:val="0"/>
              <w:widowControl w:val="0"/>
              <w:kinsoku/>
              <w:wordWrap/>
              <w:overflowPunct/>
              <w:topLinePunct w:val="0"/>
              <w:bidi w:val="0"/>
              <w:adjustRightInd/>
              <w:snapToGrid/>
              <w:spacing w:line="360" w:lineRule="auto"/>
              <w:ind w:firstLine="420" w:firstLineChars="200"/>
              <w:jc w:val="both"/>
              <w:textAlignment w:val="auto"/>
              <w:rPr>
                <w:rFonts w:hint="default" w:ascii="Times New Roman" w:hAnsi="Times New Roman" w:cs="Times New Roman"/>
                <w:bCs/>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kern w:val="0"/>
                <w:szCs w:val="21"/>
                <w:highlight w:val="none"/>
                <w14:textFill>
                  <w14:solidFill>
                    <w14:schemeClr w14:val="tx1"/>
                  </w14:solidFill>
                </w14:textFill>
              </w:rPr>
              <w:t>综上，项目各类固废能得到合理利用，妥善处置，不擅自向环境排放，符合国家对固体废物减量化、资源化、无害化的要求，不会对周围环境造成影响，因此本项目固废处置方案可行。</w:t>
            </w:r>
          </w:p>
          <w:p>
            <w:pPr>
              <w:pStyle w:val="2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22" w:firstLineChars="200"/>
              <w:jc w:val="both"/>
              <w:textAlignment w:val="auto"/>
              <w:rPr>
                <w:rFonts w:hint="default" w:ascii="Times New Roman" w:hAnsi="Times New Roman" w:cs="Times New Roman"/>
                <w:b/>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bCs w:val="0"/>
                <w:color w:val="000000" w:themeColor="text1"/>
                <w:kern w:val="0"/>
                <w:sz w:val="21"/>
                <w:szCs w:val="21"/>
                <w:highlight w:val="none"/>
                <w:lang w:val="en-US" w:eastAsia="zh-CN"/>
                <w14:textFill>
                  <w14:solidFill>
                    <w14:schemeClr w14:val="tx1"/>
                  </w14:solidFill>
                </w14:textFill>
              </w:rPr>
              <w:t>5、地下水、土壤</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主要是对生产过程中产生的废气、废水和固体废物进行治理。生产过程中产生的颗粒物废气采用脉冲袋式除尘器处理后，经15m高排气筒排放。加热炉废气采用1套选择性催化还原（SCR）装置处理后，经15m高排气筒达标排放</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生活污水经新建化粪池处理后，通过区域污水管网排入新乡县综合污水处理厂</w:t>
            </w:r>
            <w:r>
              <w:rPr>
                <w:rFonts w:hint="eastAsia" w:cs="Times New Roman"/>
                <w:color w:val="000000" w:themeColor="text1"/>
                <w:highlight w:val="none"/>
                <w:lang w:val="en-US" w:eastAsia="zh-CN"/>
                <w14:textFill>
                  <w14:solidFill>
                    <w14:schemeClr w14:val="tx1"/>
                  </w14:solidFill>
                </w14:textFill>
              </w:rPr>
              <w:t>，生产过程中酸洗工序产生废水采用1套污水处理设施进行生产废水处理（处理设施工艺为：隔油沉淀+调节+气浮+pH调节（调酸）+芬顿氧化+中和（调碱）+混凝沉淀+中和+水解酸化+MBR（微滤）+RO过滤+高效蒸发器），经污水处理设施处理后清水回用于冲洗环节，浓水经高效蒸发处理后，蒸发残渣作为危险固废处置；</w:t>
            </w:r>
            <w:r>
              <w:rPr>
                <w:rFonts w:hint="default" w:ascii="Times New Roman" w:hAnsi="Times New Roman" w:cs="Times New Roman"/>
                <w:color w:val="000000" w:themeColor="text1"/>
                <w:highlight w:val="none"/>
                <w:lang w:val="en-US" w:eastAsia="zh-CN"/>
                <w14:textFill>
                  <w14:solidFill>
                    <w14:schemeClr w14:val="tx1"/>
                  </w14:solidFill>
                </w14:textFill>
              </w:rPr>
              <w:t xml:space="preserve">项目一般固废贮存采用库房，不适用《一般工业固体废物贮存和填埋污染控制标准》（GB18599-2020），其贮存过程应满足相应防渗漏、防雨淋、防扬尘等环境保护要求；危险废物暂存间按照《危险废物贮存污染控制标准》（GB18597-2001）（2013修改）的要求进行控制，正常情况下不会发生泄露入渗污染土壤和地下水的现象。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本项目可能对地下水环境造成影响的环节主要包括：危废暂存间、</w:t>
            </w:r>
            <w:r>
              <w:rPr>
                <w:rFonts w:hint="eastAsia" w:cs="Times New Roman"/>
                <w:color w:val="000000" w:themeColor="text1"/>
                <w:highlight w:val="none"/>
                <w:lang w:val="en-US" w:eastAsia="zh-CN"/>
                <w14:textFill>
                  <w14:solidFill>
                    <w14:schemeClr w14:val="tx1"/>
                  </w14:solidFill>
                </w14:textFill>
              </w:rPr>
              <w:t>酸洗车间</w:t>
            </w:r>
            <w:r>
              <w:rPr>
                <w:rFonts w:hint="default" w:ascii="Times New Roman" w:hAnsi="Times New Roman" w:cs="Times New Roman"/>
                <w:color w:val="000000" w:themeColor="text1"/>
                <w:highlight w:val="none"/>
                <w:lang w:val="en-US" w:eastAsia="zh-CN"/>
                <w14:textFill>
                  <w14:solidFill>
                    <w14:schemeClr w14:val="tx1"/>
                  </w14:solidFill>
                </w14:textFill>
              </w:rPr>
              <w:t>、污水处理</w:t>
            </w:r>
            <w:r>
              <w:rPr>
                <w:rFonts w:hint="eastAsia" w:cs="Times New Roman"/>
                <w:color w:val="000000" w:themeColor="text1"/>
                <w:highlight w:val="none"/>
                <w:lang w:val="en-US" w:eastAsia="zh-CN"/>
                <w14:textFill>
                  <w14:solidFill>
                    <w14:schemeClr w14:val="tx1"/>
                  </w14:solidFill>
                </w14:textFill>
              </w:rPr>
              <w:t>设施</w:t>
            </w:r>
            <w:r>
              <w:rPr>
                <w:rFonts w:hint="default" w:ascii="Times New Roman" w:hAnsi="Times New Roman" w:cs="Times New Roman"/>
                <w:color w:val="000000" w:themeColor="text1"/>
                <w:highlight w:val="none"/>
                <w:lang w:val="en-US" w:eastAsia="zh-CN"/>
                <w14:textFill>
                  <w14:solidFill>
                    <w14:schemeClr w14:val="tx1"/>
                  </w14:solidFill>
                </w14:textFill>
              </w:rPr>
              <w:t>，污染物进入</w:t>
            </w:r>
            <w:r>
              <w:rPr>
                <w:rFonts w:hint="eastAsia" w:cs="Times New Roman"/>
                <w:color w:val="000000" w:themeColor="text1"/>
                <w:highlight w:val="none"/>
                <w:lang w:val="en-US" w:eastAsia="zh-CN"/>
                <w14:textFill>
                  <w14:solidFill>
                    <w14:schemeClr w14:val="tx1"/>
                  </w14:solidFill>
                </w14:textFill>
              </w:rPr>
              <w:t>土壤和</w:t>
            </w:r>
            <w:r>
              <w:rPr>
                <w:rFonts w:hint="default" w:ascii="Times New Roman" w:hAnsi="Times New Roman" w:cs="Times New Roman"/>
                <w:color w:val="000000" w:themeColor="text1"/>
                <w:highlight w:val="none"/>
                <w:lang w:val="en-US" w:eastAsia="zh-CN"/>
                <w14:textFill>
                  <w14:solidFill>
                    <w14:schemeClr w14:val="tx1"/>
                  </w14:solidFill>
                </w14:textFill>
              </w:rPr>
              <w:t>地下水。为减轻或避免对</w:t>
            </w:r>
            <w:r>
              <w:rPr>
                <w:rFonts w:hint="eastAsia" w:cs="Times New Roman"/>
                <w:color w:val="000000" w:themeColor="text1"/>
                <w:highlight w:val="none"/>
                <w:lang w:val="en-US" w:eastAsia="zh-CN"/>
                <w14:textFill>
                  <w14:solidFill>
                    <w14:schemeClr w14:val="tx1"/>
                  </w14:solidFill>
                </w14:textFill>
              </w:rPr>
              <w:t>土壤和</w:t>
            </w:r>
            <w:r>
              <w:rPr>
                <w:rFonts w:hint="default" w:ascii="Times New Roman" w:hAnsi="Times New Roman" w:cs="Times New Roman"/>
                <w:color w:val="000000" w:themeColor="text1"/>
                <w:highlight w:val="none"/>
                <w:lang w:val="en-US" w:eastAsia="zh-CN"/>
                <w14:textFill>
                  <w14:solidFill>
                    <w14:schemeClr w14:val="tx1"/>
                  </w14:solidFill>
                </w14:textFill>
              </w:rPr>
              <w:t>地下水造成不利影响，评价对项目建设提出相应的控制措施，主要从源头控制、过程控制措施等方面来说，具体如下：</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2" w:firstLineChars="200"/>
              <w:jc w:val="both"/>
              <w:textAlignment w:val="auto"/>
              <w:rPr>
                <w:rFonts w:hint="default" w:ascii="Times New Roman" w:hAnsi="Times New Roman" w:cs="Times New Roman"/>
                <w:b/>
                <w:bCs/>
                <w:color w:val="000000" w:themeColor="text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（1）源头控制</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污染源主要为废气、废水、固体废物，企业应加强管理，做好节能减排和清洁生产工作，一方面减少污染物产生量，另一方面降低污染物排放浓度和排放量，对废水进行合理的治理和综合利用，以先进工艺、管道、设备、污废水储存，尽可能从源头上减少可能污染物产生；严格按照国家相关规范要求，对工艺、道、设备、污废水储存及处理构筑物采取相应的措施，以防止和降低可能污染物的跑、冒、滴、漏，将废水泄漏的环境风险事故降低到最低程度；优化排水系统设计；管线铺设尽量采用“可视化”原则，即管道尽可能地上铺设，做到污染物“早发现、早处理”，以减少由于埋地管道泄漏而可能造成的地下水</w:t>
            </w:r>
            <w:r>
              <w:rPr>
                <w:rFonts w:hint="eastAsia" w:cs="Times New Roman"/>
                <w:color w:val="000000" w:themeColor="text1"/>
                <w:highlight w:val="none"/>
                <w:lang w:val="en-US" w:eastAsia="zh-CN"/>
                <w14:textFill>
                  <w14:solidFill>
                    <w14:schemeClr w14:val="tx1"/>
                  </w14:solidFill>
                </w14:textFill>
              </w:rPr>
              <w:t>和土壤</w:t>
            </w:r>
            <w:r>
              <w:rPr>
                <w:rFonts w:hint="default" w:ascii="Times New Roman" w:hAnsi="Times New Roman" w:cs="Times New Roman"/>
                <w:color w:val="000000" w:themeColor="text1"/>
                <w:highlight w:val="none"/>
                <w:lang w:val="en-US" w:eastAsia="zh-CN"/>
                <w14:textFill>
                  <w14:solidFill>
                    <w14:schemeClr w14:val="tx1"/>
                  </w14:solidFill>
                </w14:textFill>
              </w:rPr>
              <w:t xml:space="preserve">的影响。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leftChars="0" w:firstLine="422" w:firstLineChars="200"/>
              <w:jc w:val="both"/>
              <w:textAlignment w:val="auto"/>
              <w:rPr>
                <w:rFonts w:hint="default" w:ascii="Times New Roman" w:hAnsi="Times New Roman" w:cs="Times New Roman"/>
                <w:b/>
                <w:bCs/>
                <w:color w:val="000000" w:themeColor="text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 xml:space="preserve">（2）过程防控措施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①做好环保设备维护</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项目投运后，做好袋式除尘器、酸雾净化塔、</w:t>
            </w:r>
            <w:r>
              <w:rPr>
                <w:rFonts w:hint="eastAsia" w:cs="Times New Roman"/>
                <w:color w:val="000000" w:themeColor="text1"/>
                <w:highlight w:val="none"/>
                <w:lang w:val="en-US" w:eastAsia="zh-CN"/>
                <w14:textFill>
                  <w14:solidFill>
                    <w14:schemeClr w14:val="tx1"/>
                  </w14:solidFill>
                </w14:textFill>
              </w:rPr>
              <w:t>选择性催化还原（SCR）脱硝装置和废水治理设施</w:t>
            </w:r>
            <w:r>
              <w:rPr>
                <w:rFonts w:hint="default" w:ascii="Times New Roman" w:hAnsi="Times New Roman" w:cs="Times New Roman"/>
                <w:color w:val="000000" w:themeColor="text1"/>
                <w:highlight w:val="none"/>
                <w:lang w:val="en-US" w:eastAsia="zh-CN"/>
                <w14:textFill>
                  <w14:solidFill>
                    <w14:schemeClr w14:val="tx1"/>
                  </w14:solidFill>
                </w14:textFill>
              </w:rPr>
              <w:t>的运行和管理，确保污染治理设备的高效稳定运行，出现故障及时修复，尽可能降低污染物的排放量。</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②做好防渗工作</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生产过程中产生的颗粒物废气采用脉冲袋式除尘器处理，加热炉废气采用1套选择性催化还原（SCR）装置处理，日常生产过程应确保废气处置过程环保措施的运行稳定，使废气污染物达标排放，最大程度降低废气入环境总量，降低大气沉降累积污染；</w:t>
            </w:r>
            <w:r>
              <w:rPr>
                <w:rFonts w:hint="eastAsia" w:cs="Times New Roman"/>
                <w:color w:val="000000" w:themeColor="text1"/>
                <w:highlight w:val="none"/>
                <w:lang w:val="en-US" w:eastAsia="zh-CN"/>
                <w14:textFill>
                  <w14:solidFill>
                    <w14:schemeClr w14:val="tx1"/>
                  </w14:solidFill>
                </w14:textFill>
              </w:rPr>
              <w:t>生活污水化粪池和酸洗工序配套废水处理设施</w:t>
            </w:r>
            <w:r>
              <w:rPr>
                <w:rFonts w:hint="default" w:ascii="Times New Roman" w:hAnsi="Times New Roman" w:cs="Times New Roman"/>
                <w:color w:val="000000" w:themeColor="text1"/>
                <w:highlight w:val="none"/>
                <w:lang w:val="en-US" w:eastAsia="zh-CN"/>
                <w14:textFill>
                  <w14:solidFill>
                    <w14:schemeClr w14:val="tx1"/>
                  </w14:solidFill>
                </w14:textFill>
              </w:rPr>
              <w:t>及配套管线应做防渗、防泄漏处理，</w:t>
            </w:r>
            <w:r>
              <w:rPr>
                <w:rFonts w:hint="eastAsia" w:cs="Times New Roman"/>
                <w:color w:val="000000" w:themeColor="text1"/>
                <w:highlight w:val="none"/>
                <w:lang w:val="en-US" w:eastAsia="zh-CN"/>
                <w14:textFill>
                  <w14:solidFill>
                    <w14:schemeClr w14:val="tx1"/>
                  </w14:solidFill>
                </w14:textFill>
              </w:rPr>
              <w:t>且对于酸洗区域和污水处理设施区域，建议采用三层防渗措施。其中，下层采用混凝土防渗层的强度等级不小于《混凝土结构设计规范》（GB50010-2010）规定的混凝土强度等级C20，中间层采用2mm厚高密度聚乙烯（HDPE）或至少2mm厚的其它人工材料，渗透系数≤10</w:t>
            </w:r>
            <w:r>
              <w:rPr>
                <w:rFonts w:hint="eastAsia" w:cs="Times New Roman"/>
                <w:color w:val="000000" w:themeColor="text1"/>
                <w:highlight w:val="none"/>
                <w:vertAlign w:val="superscript"/>
                <w:lang w:val="en-US" w:eastAsia="zh-CN"/>
                <w14:textFill>
                  <w14:solidFill>
                    <w14:schemeClr w14:val="tx1"/>
                  </w14:solidFill>
                </w14:textFill>
              </w:rPr>
              <w:t>-10</w:t>
            </w:r>
            <w:r>
              <w:rPr>
                <w:rFonts w:hint="eastAsia" w:cs="Times New Roman"/>
                <w:color w:val="000000" w:themeColor="text1"/>
                <w:highlight w:val="none"/>
                <w:lang w:val="en-US" w:eastAsia="zh-CN"/>
                <w14:textFill>
                  <w14:solidFill>
                    <w14:schemeClr w14:val="tx1"/>
                  </w14:solidFill>
                </w14:textFill>
              </w:rPr>
              <w:t>cm/s；上层采用环氧树脂防渗材料。</w:t>
            </w:r>
            <w:r>
              <w:rPr>
                <w:rFonts w:hint="default" w:ascii="Times New Roman" w:hAnsi="Times New Roman" w:cs="Times New Roman"/>
                <w:color w:val="000000" w:themeColor="text1"/>
                <w:highlight w:val="none"/>
                <w:lang w:val="en-US" w:eastAsia="zh-CN"/>
                <w14:textFill>
                  <w14:solidFill>
                    <w14:schemeClr w14:val="tx1"/>
                  </w14:solidFill>
                </w14:textFill>
              </w:rPr>
              <w:t>同时建设单位应加强监控和巡检，如果发生泄漏要及时处理，不得漫流到与土壤接触的地面；</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一般</w:t>
            </w:r>
            <w:r>
              <w:rPr>
                <w:rFonts w:hint="default" w:ascii="Times New Roman" w:hAnsi="Times New Roman" w:cs="Times New Roman"/>
                <w:bCs/>
                <w:color w:val="000000" w:themeColor="text1"/>
                <w:kern w:val="0"/>
                <w:szCs w:val="21"/>
                <w:highlight w:val="none"/>
                <w14:textFill>
                  <w14:solidFill>
                    <w14:schemeClr w14:val="tx1"/>
                  </w14:solidFill>
                </w14:textFill>
              </w:rPr>
              <w:t>固废</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储存区域应地面硬化，严格按照</w:t>
            </w:r>
            <w:r>
              <w:rPr>
                <w:rFonts w:hint="default" w:ascii="Times New Roman" w:hAnsi="Times New Roman" w:cs="Times New Roman"/>
                <w:bCs/>
                <w:color w:val="000000" w:themeColor="text1"/>
                <w:kern w:val="0"/>
                <w:szCs w:val="21"/>
                <w:highlight w:val="none"/>
                <w14:textFill>
                  <w14:solidFill>
                    <w14:schemeClr w14:val="tx1"/>
                  </w14:solidFill>
                </w14:textFill>
              </w:rPr>
              <w:t>用于产生的一般固体废物暂存，一般固废暂存场所应</w:t>
            </w:r>
            <w:r>
              <w:rPr>
                <w:rFonts w:hint="default" w:ascii="Times New Roman" w:hAnsi="Times New Roman" w:cs="Times New Roman"/>
                <w:b w:val="0"/>
                <w:bCs/>
                <w:color w:val="000000" w:themeColor="text1"/>
                <w:kern w:val="0"/>
                <w:szCs w:val="21"/>
                <w:highlight w:val="none"/>
                <w:u w:val="none"/>
                <w14:textFill>
                  <w14:solidFill>
                    <w14:schemeClr w14:val="tx1"/>
                  </w14:solidFill>
                </w14:textFill>
              </w:rPr>
              <w:t>按照</w:t>
            </w:r>
            <w:r>
              <w:rPr>
                <w:rFonts w:hint="default" w:ascii="Times New Roman" w:hAnsi="Times New Roman" w:cs="Times New Roman"/>
                <w:b w:val="0"/>
                <w:bCs/>
                <w:color w:val="000000" w:themeColor="text1"/>
                <w:kern w:val="0"/>
                <w:szCs w:val="21"/>
                <w:highlight w:val="none"/>
                <w:u w:val="none"/>
                <w:lang w:eastAsia="zh-CN"/>
                <w14:textFill>
                  <w14:solidFill>
                    <w14:schemeClr w14:val="tx1"/>
                  </w14:solidFill>
                </w14:textFill>
              </w:rPr>
              <w:t>《一般工业固体废物贮存和填埋污染控制标准》（</w:t>
            </w:r>
            <w:r>
              <w:rPr>
                <w:rFonts w:hint="default" w:ascii="Times New Roman" w:hAnsi="Times New Roman" w:cs="Times New Roman"/>
                <w:b w:val="0"/>
                <w:bCs/>
                <w:color w:val="000000" w:themeColor="text1"/>
                <w:kern w:val="0"/>
                <w:szCs w:val="21"/>
                <w:highlight w:val="none"/>
                <w:u w:val="none"/>
                <w:lang w:val="en-US" w:eastAsia="zh-CN"/>
                <w14:textFill>
                  <w14:solidFill>
                    <w14:schemeClr w14:val="tx1"/>
                  </w14:solidFill>
                </w14:textFill>
              </w:rPr>
              <w:t>GB18599-2020</w:t>
            </w:r>
            <w:r>
              <w:rPr>
                <w:rFonts w:hint="default" w:ascii="Times New Roman" w:hAnsi="Times New Roman" w:cs="Times New Roman"/>
                <w:b w:val="0"/>
                <w:bCs/>
                <w:color w:val="000000" w:themeColor="text1"/>
                <w:kern w:val="0"/>
                <w:szCs w:val="21"/>
                <w:highlight w:val="none"/>
                <w:u w:val="none"/>
                <w:lang w:eastAsia="zh-CN"/>
                <w14:textFill>
                  <w14:solidFill>
                    <w14:schemeClr w14:val="tx1"/>
                  </w14:solidFill>
                </w14:textFill>
              </w:rPr>
              <w:t>）</w:t>
            </w:r>
            <w:r>
              <w:rPr>
                <w:rFonts w:hint="default" w:ascii="Times New Roman" w:hAnsi="Times New Roman" w:cs="Times New Roman"/>
                <w:b w:val="0"/>
                <w:bCs/>
                <w:color w:val="000000" w:themeColor="text1"/>
                <w:kern w:val="0"/>
                <w:szCs w:val="21"/>
                <w:highlight w:val="none"/>
                <w:u w:val="none"/>
                <w14:textFill>
                  <w14:solidFill>
                    <w14:schemeClr w14:val="tx1"/>
                  </w14:solidFill>
                </w14:textFill>
              </w:rPr>
              <w:t>进行设置，</w:t>
            </w:r>
            <w:r>
              <w:rPr>
                <w:rFonts w:hint="default" w:ascii="Times New Roman" w:hAnsi="Times New Roman" w:cs="Times New Roman"/>
                <w:b w:val="0"/>
                <w:bCs/>
                <w:color w:val="000000" w:themeColor="text1"/>
                <w:kern w:val="0"/>
                <w:szCs w:val="21"/>
                <w:highlight w:val="none"/>
                <w:u w:val="none"/>
                <w:lang w:eastAsia="zh-CN"/>
                <w14:textFill>
                  <w14:solidFill>
                    <w14:schemeClr w14:val="tx1"/>
                  </w14:solidFill>
                </w14:textFill>
              </w:rPr>
              <w:t>同时应</w:t>
            </w:r>
            <w:r>
              <w:rPr>
                <w:rFonts w:hint="default" w:ascii="Times New Roman" w:hAnsi="Times New Roman" w:cs="Times New Roman"/>
                <w:b w:val="0"/>
                <w:bCs/>
                <w:color w:val="000000" w:themeColor="text1"/>
                <w:kern w:val="0"/>
                <w:szCs w:val="21"/>
                <w:highlight w:val="none"/>
                <w:u w:val="none"/>
                <w14:textFill>
                  <w14:solidFill>
                    <w14:schemeClr w14:val="tx1"/>
                  </w14:solidFill>
                </w14:textFill>
              </w:rPr>
              <w:t>能够满足“</w:t>
            </w:r>
            <w:r>
              <w:rPr>
                <w:rFonts w:hint="default" w:ascii="Times New Roman" w:hAnsi="Times New Roman" w:cs="Times New Roman"/>
                <w:b w:val="0"/>
                <w:bCs/>
                <w:color w:val="000000" w:themeColor="text1"/>
                <w:kern w:val="0"/>
                <w:szCs w:val="21"/>
                <w:highlight w:val="none"/>
                <w:u w:val="none"/>
                <w:lang w:eastAsia="zh-CN"/>
                <w14:textFill>
                  <w14:solidFill>
                    <w14:schemeClr w14:val="tx1"/>
                  </w14:solidFill>
                </w14:textFill>
              </w:rPr>
              <w:t>防渗漏</w:t>
            </w:r>
            <w:r>
              <w:rPr>
                <w:rFonts w:hint="default" w:ascii="Times New Roman" w:hAnsi="Times New Roman" w:cs="Times New Roman"/>
                <w:b w:val="0"/>
                <w:bCs/>
                <w:color w:val="000000" w:themeColor="text1"/>
                <w:kern w:val="0"/>
                <w:szCs w:val="21"/>
                <w:highlight w:val="none"/>
                <w:u w:val="none"/>
                <w14:textFill>
                  <w14:solidFill>
                    <w14:schemeClr w14:val="tx1"/>
                  </w14:solidFill>
                </w14:textFill>
              </w:rPr>
              <w:t>、防</w:t>
            </w:r>
            <w:r>
              <w:rPr>
                <w:rFonts w:hint="default" w:ascii="Times New Roman" w:hAnsi="Times New Roman" w:cs="Times New Roman"/>
                <w:bCs/>
                <w:color w:val="000000" w:themeColor="text1"/>
                <w:kern w:val="0"/>
                <w:szCs w:val="21"/>
                <w:highlight w:val="none"/>
                <w14:textFill>
                  <w14:solidFill>
                    <w14:schemeClr w14:val="tx1"/>
                  </w14:solidFill>
                </w14:textFill>
              </w:rPr>
              <w:t>雨</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淋</w:t>
            </w:r>
            <w:r>
              <w:rPr>
                <w:rFonts w:hint="default" w:ascii="Times New Roman" w:hAnsi="Times New Roman" w:cs="Times New Roman"/>
                <w:bCs/>
                <w:color w:val="000000" w:themeColor="text1"/>
                <w:kern w:val="0"/>
                <w:szCs w:val="21"/>
                <w:highlight w:val="none"/>
                <w14:textFill>
                  <w14:solidFill>
                    <w14:schemeClr w14:val="tx1"/>
                  </w14:solidFill>
                </w14:textFill>
              </w:rPr>
              <w:t>、</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防扬尘</w:t>
            </w:r>
            <w:r>
              <w:rPr>
                <w:rFonts w:hint="default" w:ascii="Times New Roman" w:hAnsi="Times New Roman" w:cs="Times New Roman"/>
                <w:bCs/>
                <w:color w:val="000000" w:themeColor="text1"/>
                <w:kern w:val="0"/>
                <w:szCs w:val="21"/>
                <w:highlight w:val="none"/>
                <w14:textFill>
                  <w14:solidFill>
                    <w14:schemeClr w14:val="tx1"/>
                  </w14:solidFill>
                </w14:textFill>
              </w:rPr>
              <w:t>”要求。不得直接接触土壤。危险废物应</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使</w:t>
            </w:r>
            <w:r>
              <w:rPr>
                <w:rFonts w:hint="default" w:ascii="Times New Roman" w:hAnsi="Times New Roman" w:cs="Times New Roman"/>
                <w:bCs/>
                <w:color w:val="000000" w:themeColor="text1"/>
                <w:kern w:val="0"/>
                <w:szCs w:val="21"/>
                <w:highlight w:val="none"/>
                <w14:textFill>
                  <w14:solidFill>
                    <w14:schemeClr w14:val="tx1"/>
                  </w14:solidFill>
                </w14:textFill>
              </w:rPr>
              <w:t>用规范的容器包装</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，并设置在单独危险固废暂存间内分类存放</w:t>
            </w:r>
            <w:r>
              <w:rPr>
                <w:rFonts w:hint="default" w:ascii="Times New Roman" w:hAnsi="Times New Roman" w:cs="Times New Roman"/>
                <w:bCs/>
                <w:color w:val="000000" w:themeColor="text1"/>
                <w:kern w:val="0"/>
                <w:szCs w:val="21"/>
                <w:highlight w:val="none"/>
                <w14:textFill>
                  <w14:solidFill>
                    <w14:schemeClr w14:val="tx1"/>
                  </w14:solidFill>
                </w14:textFill>
              </w:rPr>
              <w:t>，危废在从工艺装置中卸出、包装、暂存到按照管理要求装车转移过程，均不得接触土壤</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，同时危险固废暂存间应严格按照</w:t>
            </w:r>
            <w:r>
              <w:rPr>
                <w:rFonts w:hint="default" w:ascii="Times New Roman" w:hAnsi="Times New Roman" w:cs="Times New Roman"/>
                <w:bCs/>
                <w:color w:val="000000" w:themeColor="text1"/>
                <w:sz w:val="21"/>
                <w:szCs w:val="21"/>
                <w:highlight w:val="none"/>
                <w14:textFill>
                  <w14:solidFill>
                    <w14:schemeClr w14:val="tx1"/>
                  </w14:solidFill>
                </w14:textFill>
              </w:rPr>
              <w:t>《危险废物贮存污染控制标准》（GBl8597-2001）</w:t>
            </w:r>
            <w:r>
              <w:rPr>
                <w:rFonts w:hint="default" w:ascii="Times New Roman" w:hAnsi="Times New Roman" w:eastAsia="宋体" w:cs="Times New Roman"/>
                <w:color w:val="000000" w:themeColor="text1"/>
                <w:sz w:val="21"/>
                <w:szCs w:val="21"/>
                <w:highlight w:val="none"/>
                <w14:textFill>
                  <w14:solidFill>
                    <w14:schemeClr w14:val="tx1"/>
                  </w14:solidFill>
                </w14:textFill>
              </w:rPr>
              <w:t>采取防风、防雨、防晒、防渗等</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四防</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措施</w:t>
            </w:r>
            <w:r>
              <w:rPr>
                <w:rFonts w:hint="default" w:ascii="Times New Roman" w:hAnsi="Times New Roman" w:cs="Times New Roman"/>
                <w:color w:val="000000" w:themeColor="text1"/>
                <w:sz w:val="21"/>
                <w:szCs w:val="21"/>
                <w:highlight w:val="none"/>
                <w:lang w:eastAsia="zh-CN"/>
                <w14:textFill>
                  <w14:solidFill>
                    <w14:schemeClr w14:val="tx1"/>
                  </w14:solidFill>
                </w14:textFill>
              </w:rPr>
              <w:t>，确保雨水无法进入，渗漏液也无法外溢进入环境，地面与裙脚要用坚固、防渗的材料建造，防渗层为至少lm厚粘土层（渗透系数≤10</w:t>
            </w:r>
            <w:r>
              <w:rPr>
                <w:rFonts w:hint="default" w:ascii="Times New Roman" w:hAnsi="Times New Roman" w:cs="Times New Roman"/>
                <w:color w:val="000000" w:themeColor="text1"/>
                <w:sz w:val="21"/>
                <w:szCs w:val="21"/>
                <w:highlight w:val="none"/>
                <w:vertAlign w:val="superscript"/>
                <w:lang w:eastAsia="zh-CN"/>
                <w14:textFill>
                  <w14:solidFill>
                    <w14:schemeClr w14:val="tx1"/>
                  </w14:solidFill>
                </w14:textFill>
              </w:rPr>
              <w:t>-7</w:t>
            </w:r>
            <w:r>
              <w:rPr>
                <w:rFonts w:hint="default" w:ascii="Times New Roman" w:hAnsi="Times New Roman" w:cs="Times New Roman"/>
                <w:color w:val="000000" w:themeColor="text1"/>
                <w:sz w:val="21"/>
                <w:szCs w:val="21"/>
                <w:highlight w:val="none"/>
                <w:lang w:eastAsia="zh-CN"/>
                <w14:textFill>
                  <w14:solidFill>
                    <w14:schemeClr w14:val="tx1"/>
                  </w14:solidFill>
                </w14:textFill>
              </w:rPr>
              <w:t>cm/s），或2mm厚高密度聚乙烯，或至少2mm厚的其它人工材料，渗透系数≤10</w:t>
            </w:r>
            <w:r>
              <w:rPr>
                <w:rFonts w:hint="default" w:ascii="Times New Roman" w:hAnsi="Times New Roman" w:cs="Times New Roman"/>
                <w:color w:val="000000" w:themeColor="text1"/>
                <w:sz w:val="21"/>
                <w:szCs w:val="21"/>
                <w:highlight w:val="none"/>
                <w:vertAlign w:val="superscript"/>
                <w:lang w:eastAsia="zh-CN"/>
                <w14:textFill>
                  <w14:solidFill>
                    <w14:schemeClr w14:val="tx1"/>
                  </w14:solidFill>
                </w14:textFill>
              </w:rPr>
              <w:t>-10</w:t>
            </w:r>
            <w:r>
              <w:rPr>
                <w:rFonts w:hint="default" w:ascii="Times New Roman" w:hAnsi="Times New Roman" w:cs="Times New Roman"/>
                <w:color w:val="000000" w:themeColor="text1"/>
                <w:sz w:val="21"/>
                <w:szCs w:val="21"/>
                <w:highlight w:val="none"/>
                <w:lang w:eastAsia="zh-CN"/>
                <w14:textFill>
                  <w14:solidFill>
                    <w14:schemeClr w14:val="tx1"/>
                  </w14:solidFill>
                </w14:textFill>
              </w:rPr>
              <w:t>cm/s，堆放危险废物的高度应根据地面承载能力确定</w:t>
            </w:r>
            <w:r>
              <w:rPr>
                <w:rFonts w:hint="default" w:ascii="Times New Roman" w:hAnsi="Times New Roman" w:cs="Times New Roman"/>
                <w:bCs/>
                <w:color w:val="000000" w:themeColor="text1"/>
                <w:kern w:val="0"/>
                <w:szCs w:val="21"/>
                <w:highlight w:val="none"/>
                <w14:textFill>
                  <w14:solidFill>
                    <w14:schemeClr w14:val="tx1"/>
                  </w14:solidFill>
                </w14:textFill>
              </w:rPr>
              <w:t>，</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同时企业应</w:t>
            </w:r>
            <w:r>
              <w:rPr>
                <w:rFonts w:hint="default" w:ascii="Times New Roman" w:hAnsi="Times New Roman" w:cs="Times New Roman"/>
                <w:bCs/>
                <w:color w:val="000000" w:themeColor="text1"/>
                <w:kern w:val="0"/>
                <w:szCs w:val="21"/>
                <w:highlight w:val="none"/>
                <w14:textFill>
                  <w14:solidFill>
                    <w14:schemeClr w14:val="tx1"/>
                  </w14:solidFill>
                </w14:textFill>
              </w:rPr>
              <w:t>经常</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性进行巡检，</w:t>
            </w:r>
            <w:r>
              <w:rPr>
                <w:rFonts w:hint="default" w:ascii="Times New Roman" w:hAnsi="Times New Roman" w:cs="Times New Roman"/>
                <w:bCs/>
                <w:color w:val="000000" w:themeColor="text1"/>
                <w:kern w:val="0"/>
                <w:szCs w:val="21"/>
                <w:highlight w:val="none"/>
                <w14:textFill>
                  <w14:solidFill>
                    <w14:schemeClr w14:val="tx1"/>
                  </w14:solidFill>
                </w14:textFill>
              </w:rPr>
              <w:t>发现包装渗漏等情况要及时处理。厂区道路及污水处理区均采用水泥硬化，做好重点防渗区以及一般防渗区的防渗工作，各种原料、产品、中间产物在卸出、装车、转运过程中均要在经过防渗的场地进行，不得发生物料接触土壤的情况，如果有事故状态发生要及时处置</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b/>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b/>
                <w:bCs w:val="0"/>
                <w:color w:val="000000" w:themeColor="text1"/>
                <w:kern w:val="0"/>
                <w:sz w:val="21"/>
                <w:szCs w:val="21"/>
                <w:highlight w:val="none"/>
                <w:lang w:val="en-US" w:eastAsia="zh-CN"/>
                <w14:textFill>
                  <w14:solidFill>
                    <w14:schemeClr w14:val="tx1"/>
                  </w14:solidFill>
                </w14:textFill>
              </w:rPr>
              <w:t>7、环境风险</w:t>
            </w:r>
          </w:p>
          <w:p>
            <w:pPr>
              <w:keepNext w:val="0"/>
              <w:keepLines w:val="0"/>
              <w:pageBreakBefore w:val="0"/>
              <w:widowControl w:val="0"/>
              <w:kinsoku/>
              <w:wordWrap/>
              <w:overflowPunct/>
              <w:topLinePunct w:val="0"/>
              <w:bidi w:val="0"/>
              <w:adjustRightInd/>
              <w:snapToGrid/>
              <w:spacing w:line="360" w:lineRule="auto"/>
              <w:ind w:firstLine="422" w:firstLineChars="200"/>
              <w:jc w:val="both"/>
              <w:textAlignment w:val="auto"/>
              <w:rPr>
                <w:rFonts w:hint="default" w:ascii="Times New Roman" w:hAnsi="Times New Roman" w:cs="Times New Roman"/>
                <w:b/>
                <w:color w:val="000000" w:themeColor="text1"/>
                <w:kern w:val="0"/>
                <w:szCs w:val="21"/>
                <w:highlight w:val="none"/>
                <w14:textFill>
                  <w14:solidFill>
                    <w14:schemeClr w14:val="tx1"/>
                  </w14:solidFill>
                </w14:textFill>
              </w:rPr>
            </w:pPr>
            <w:r>
              <w:rPr>
                <w:rFonts w:hint="default" w:ascii="Times New Roman" w:hAnsi="Times New Roman" w:cs="Times New Roman"/>
                <w:b/>
                <w:color w:val="000000" w:themeColor="text1"/>
                <w:kern w:val="0"/>
                <w:szCs w:val="21"/>
                <w:highlight w:val="none"/>
                <w14:textFill>
                  <w14:solidFill>
                    <w14:schemeClr w14:val="tx1"/>
                  </w14:solidFill>
                </w14:textFill>
              </w:rPr>
              <w:t>（1）风险物质</w:t>
            </w:r>
          </w:p>
          <w:p>
            <w:pPr>
              <w:keepNext w:val="0"/>
              <w:keepLines w:val="0"/>
              <w:pageBreakBefore w:val="0"/>
              <w:widowControl w:val="0"/>
              <w:kinsoku/>
              <w:wordWrap/>
              <w:overflowPunct/>
              <w:topLinePunct w:val="0"/>
              <w:bidi w:val="0"/>
              <w:adjustRightInd/>
              <w:snapToGrid/>
              <w:spacing w:line="360" w:lineRule="auto"/>
              <w:ind w:firstLine="420" w:firstLineChars="200"/>
              <w:jc w:val="both"/>
              <w:textAlignment w:val="auto"/>
              <w:rPr>
                <w:rFonts w:hint="default"/>
                <w:color w:val="000000" w:themeColor="text1"/>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14:textFill>
                  <w14:solidFill>
                    <w14:schemeClr w14:val="tx1"/>
                  </w14:solidFill>
                </w14:textFill>
              </w:rPr>
              <w:t>本项目涉及的危险物质为天然气</w:t>
            </w:r>
            <w:r>
              <w:rPr>
                <w:rFonts w:hint="default" w:ascii="Times New Roman" w:hAnsi="Times New Roman" w:cs="Times New Roman"/>
                <w:bCs/>
                <w:color w:val="000000" w:themeColor="text1"/>
                <w:kern w:val="0"/>
                <w:sz w:val="21"/>
                <w:szCs w:val="21"/>
                <w:lang w:eastAsia="zh-CN"/>
                <w14:textFill>
                  <w14:solidFill>
                    <w14:schemeClr w14:val="tx1"/>
                  </w14:solidFill>
                </w14:textFill>
              </w:rPr>
              <w:t>、丙烷、工业氨水和</w:t>
            </w:r>
            <w:r>
              <w:rPr>
                <w:rFonts w:hint="eastAsia" w:cs="Times New Roman"/>
                <w:bCs/>
                <w:color w:val="000000" w:themeColor="text1"/>
                <w:kern w:val="0"/>
                <w:sz w:val="21"/>
                <w:szCs w:val="21"/>
                <w:lang w:eastAsia="zh-CN"/>
                <w14:textFill>
                  <w14:solidFill>
                    <w14:schemeClr w14:val="tx1"/>
                  </w14:solidFill>
                </w14:textFill>
              </w:rPr>
              <w:t>酸洗钝化膏</w:t>
            </w:r>
            <w:r>
              <w:rPr>
                <w:rFonts w:hint="default" w:ascii="Times New Roman" w:hAnsi="Times New Roman" w:cs="Times New Roman"/>
                <w:bCs/>
                <w:color w:val="000000" w:themeColor="text1"/>
                <w:kern w:val="0"/>
                <w:sz w:val="21"/>
                <w:szCs w:val="21"/>
                <w:lang w:eastAsia="zh-CN"/>
                <w14:textFill>
                  <w14:solidFill>
                    <w14:schemeClr w14:val="tx1"/>
                  </w14:solidFill>
                </w14:textFill>
              </w:rPr>
              <w:t>。</w:t>
            </w:r>
            <w:r>
              <w:rPr>
                <w:rFonts w:hint="default" w:ascii="Times New Roman" w:hAnsi="Times New Roman" w:cs="Times New Roman"/>
                <w:bCs/>
                <w:color w:val="000000" w:themeColor="text1"/>
                <w:kern w:val="0"/>
                <w:sz w:val="21"/>
                <w:szCs w:val="21"/>
                <w:highlight w:val="none"/>
                <w14:textFill>
                  <w14:solidFill>
                    <w14:schemeClr w14:val="tx1"/>
                  </w14:solidFill>
                </w14:textFill>
              </w:rPr>
              <w:t>本项目</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天然气</w:t>
            </w:r>
            <w:r>
              <w:rPr>
                <w:rFonts w:hint="default" w:ascii="Times New Roman" w:hAnsi="Times New Roman" w:cs="Times New Roman"/>
                <w:bCs/>
                <w:color w:val="000000" w:themeColor="text1"/>
                <w:kern w:val="0"/>
                <w:sz w:val="21"/>
                <w:szCs w:val="21"/>
                <w:highlight w:val="none"/>
                <w14:textFill>
                  <w14:solidFill>
                    <w14:schemeClr w14:val="tx1"/>
                  </w14:solidFill>
                </w14:textFill>
              </w:rPr>
              <w:t>使用</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管道天然气</w:t>
            </w:r>
            <w:r>
              <w:rPr>
                <w:rFonts w:hint="default" w:ascii="Times New Roman" w:hAnsi="Times New Roman" w:cs="Times New Roman"/>
                <w:bCs/>
                <w:color w:val="000000" w:themeColor="text1"/>
                <w:kern w:val="0"/>
                <w:sz w:val="21"/>
                <w:szCs w:val="21"/>
                <w:highlight w:val="none"/>
                <w14:textFill>
                  <w14:solidFill>
                    <w14:schemeClr w14:val="tx1"/>
                  </w14:solidFill>
                </w14:textFill>
              </w:rPr>
              <w:t>，主要由甲烷组</w:t>
            </w:r>
            <w:r>
              <w:rPr>
                <w:rFonts w:hint="default" w:ascii="Times New Roman" w:hAnsi="Times New Roman" w:cs="Times New Roman"/>
                <w:bCs/>
                <w:color w:val="000000" w:themeColor="text1"/>
                <w:kern w:val="0"/>
                <w:sz w:val="21"/>
                <w:szCs w:val="21"/>
                <w14:textFill>
                  <w14:solidFill>
                    <w14:schemeClr w14:val="tx1"/>
                  </w14:solidFill>
                </w14:textFill>
              </w:rPr>
              <w:t>成，组分可能含油少量的乙烷、丙烷、氮或通常存在于天然气中的其他组分，</w:t>
            </w:r>
            <w:r>
              <w:rPr>
                <w:rFonts w:hint="default" w:ascii="Times New Roman" w:hAnsi="Times New Roman" w:cs="Times New Roman"/>
                <w:color w:val="000000" w:themeColor="text1"/>
                <w:kern w:val="0"/>
                <w:sz w:val="21"/>
                <w:szCs w:val="21"/>
                <w:highlight w:val="none"/>
                <w:lang w:eastAsia="zh-CN"/>
                <w14:textFill>
                  <w14:solidFill>
                    <w14:schemeClr w14:val="tx1"/>
                  </w14:solidFill>
                </w14:textFill>
              </w:rPr>
              <w:t>管道天然气利用租赁厂区外现有天然气管线引入厂区，并通过调压柜调压后经管道通入加热炉内使用。根据调查，厂区内燃气管道长度总计约按照</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80m计算</w:t>
            </w:r>
            <w:r>
              <w:rPr>
                <w:rFonts w:hint="default" w:ascii="Times New Roman" w:hAnsi="Times New Roman" w:cs="Times New Roman"/>
                <w:color w:val="000000" w:themeColor="text1"/>
                <w:kern w:val="0"/>
                <w:sz w:val="21"/>
                <w:szCs w:val="21"/>
                <w:highlight w:val="none"/>
                <w:lang w:eastAsia="zh-CN"/>
                <w14:textFill>
                  <w14:solidFill>
                    <w14:schemeClr w14:val="tx1"/>
                  </w14:solidFill>
                </w14:textFill>
              </w:rPr>
              <w:t>，管道直径约为</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2.5cm，经计算管道内天然气储存量约为0.0252m</w:t>
            </w:r>
            <w:r>
              <w:rPr>
                <w:rFonts w:hint="default" w:ascii="Times New Roman" w:hAnsi="Times New Roman" w:cs="Times New Roman"/>
                <w:color w:val="000000" w:themeColor="text1"/>
                <w:kern w:val="0"/>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kern w:val="0"/>
                <w:sz w:val="21"/>
                <w:szCs w:val="21"/>
                <w:highlight w:val="none"/>
                <w:lang w:eastAsia="zh-CN"/>
                <w14:textFill>
                  <w14:solidFill>
                    <w14:schemeClr w14:val="tx1"/>
                  </w14:solidFill>
                </w14:textFill>
              </w:rPr>
              <w:t>，</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燃气调压柜和蒸汽发生器燃气系统内天然气量按照0.02m</w:t>
            </w:r>
            <w:r>
              <w:rPr>
                <w:rFonts w:hint="default" w:ascii="Times New Roman" w:hAnsi="Times New Roman" w:cs="Times New Roman"/>
                <w:color w:val="000000" w:themeColor="text1"/>
                <w:kern w:val="0"/>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计算，</w:t>
            </w:r>
            <w:r>
              <w:rPr>
                <w:rFonts w:hint="default" w:ascii="Times New Roman" w:hAnsi="Times New Roman" w:cs="Times New Roman"/>
                <w:color w:val="000000" w:themeColor="text1"/>
                <w:kern w:val="0"/>
                <w:sz w:val="21"/>
                <w:szCs w:val="21"/>
                <w:highlight w:val="none"/>
                <w:lang w:eastAsia="zh-CN"/>
                <w14:textFill>
                  <w14:solidFill>
                    <w14:schemeClr w14:val="tx1"/>
                  </w14:solidFill>
                </w14:textFill>
              </w:rPr>
              <w:t>天然气密度按照</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0.75kg/m</w:t>
            </w:r>
            <w:r>
              <w:rPr>
                <w:rFonts w:hint="default" w:ascii="Times New Roman" w:hAnsi="Times New Roman" w:cs="Times New Roman"/>
                <w:color w:val="000000" w:themeColor="text1"/>
                <w:kern w:val="0"/>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计算，则管道内天然气储存量约为0.0000339t；项目丙烷采用30kg液化钢瓶装，于车间内丙烷钢瓶储存区存放，日常储存量为12瓶，经计算一次最大储存量为0.36t/a；项目SCR脱硝装置所用还原剂为氨水（25%），目前厂区设置1个10m</w:t>
            </w:r>
            <w:r>
              <w:rPr>
                <w:rFonts w:hint="default" w:ascii="Times New Roman" w:hAnsi="Times New Roman" w:cs="Times New Roman"/>
                <w:color w:val="000000" w:themeColor="text1"/>
                <w:kern w:val="0"/>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氨水储罐，容量按照95%计算，则一次最大储存量为8.645t</w:t>
            </w:r>
            <w:r>
              <w:rPr>
                <w:rFonts w:hint="eastAsia" w:cs="Times New Roman"/>
                <w:color w:val="000000" w:themeColor="text1"/>
                <w:kern w:val="0"/>
                <w:sz w:val="21"/>
                <w:szCs w:val="21"/>
                <w:highlight w:val="none"/>
                <w:lang w:val="en-US" w:eastAsia="zh-CN"/>
                <w14:textFill>
                  <w14:solidFill>
                    <w14:schemeClr w14:val="tx1"/>
                  </w14:solidFill>
                </w14:textFill>
              </w:rPr>
              <w:t>；项目酸洗所用酸洗钝化膏均为密闭瓶装，于车间内设置的化学品存放区存放，日常储存50箱（每箱24瓶），每箱净重5kg，则</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一次最大储存量为</w:t>
            </w: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250kg（</w:t>
            </w:r>
            <w:r>
              <w:rPr>
                <w:rFonts w:hint="eastAsia" w:cs="Times New Roman"/>
                <w:color w:val="000000" w:themeColor="text1"/>
                <w:kern w:val="0"/>
                <w:sz w:val="21"/>
                <w:szCs w:val="21"/>
                <w:highlight w:val="none"/>
                <w:lang w:val="en-US" w:eastAsia="zh-CN" w:bidi="ar"/>
                <w14:textFill>
                  <w14:solidFill>
                    <w14:schemeClr w14:val="tx1"/>
                  </w14:solidFill>
                </w14:textFill>
              </w:rPr>
              <w:t>酸洗钝化膏</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配比为硝酸（68%）含量27.5%、氢氟酸（40%）含量10.75%、增稠剂含量40%、水含量21.75%，则折纯后硝酸量约为</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46.75kg</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/a，氢氟酸量约为</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10.75</w:t>
            </w:r>
            <w:r>
              <w:rPr>
                <w:rFonts w:hint="eastAsia" w:ascii="Times New Roman" w:hAnsi="Times New Roman" w:cs="Times New Roman"/>
                <w:color w:val="000000" w:themeColor="text1"/>
                <w:kern w:val="0"/>
                <w:sz w:val="21"/>
                <w:szCs w:val="21"/>
                <w:highlight w:val="none"/>
                <w:lang w:val="en-US" w:eastAsia="zh-CN" w:bidi="ar"/>
                <w14:textFill>
                  <w14:solidFill>
                    <w14:schemeClr w14:val="tx1"/>
                  </w14:solidFill>
                </w14:textFill>
              </w:rPr>
              <w:t>kg</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/a</w:t>
            </w: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w:t>
            </w:r>
            <w:r>
              <w:rPr>
                <w:rFonts w:hint="eastAsia" w:cs="Times New Roman"/>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具体储存方式及储存量见下表。</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 xml:space="preserve">   项目风险物质储存方式及储存量一览表</w:t>
            </w:r>
          </w:p>
          <w:tbl>
            <w:tblPr>
              <w:tblStyle w:val="21"/>
              <w:tblW w:w="4996"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83"/>
              <w:gridCol w:w="2224"/>
              <w:gridCol w:w="1189"/>
              <w:gridCol w:w="1304"/>
              <w:gridCol w:w="220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名称</w:t>
                  </w:r>
                </w:p>
              </w:tc>
              <w:tc>
                <w:tcPr>
                  <w:tcW w:w="133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主要成分</w:t>
                  </w:r>
                </w:p>
              </w:tc>
              <w:tc>
                <w:tcPr>
                  <w:tcW w:w="71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形态</w:t>
                  </w:r>
                </w:p>
              </w:tc>
              <w:tc>
                <w:tcPr>
                  <w:tcW w:w="78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储存方式</w:t>
                  </w:r>
                </w:p>
              </w:tc>
              <w:tc>
                <w:tcPr>
                  <w:tcW w:w="132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一次最大储存量（t）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天然气</w:t>
                  </w:r>
                </w:p>
              </w:tc>
              <w:tc>
                <w:tcPr>
                  <w:tcW w:w="133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CH</w:t>
                  </w:r>
                  <w:r>
                    <w:rPr>
                      <w:rFonts w:hint="default" w:ascii="Times New Roman" w:hAnsi="Times New Roman" w:cs="Times New Roman"/>
                      <w:color w:val="000000" w:themeColor="text1"/>
                      <w:sz w:val="18"/>
                      <w:szCs w:val="18"/>
                      <w:highlight w:val="none"/>
                      <w:vertAlign w:val="subscript"/>
                      <w14:textFill>
                        <w14:solidFill>
                          <w14:schemeClr w14:val="tx1"/>
                        </w14:solidFill>
                      </w14:textFill>
                    </w:rPr>
                    <w:t>4</w:t>
                  </w:r>
                </w:p>
              </w:tc>
              <w:tc>
                <w:tcPr>
                  <w:tcW w:w="71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气态</w:t>
                  </w:r>
                </w:p>
              </w:tc>
              <w:tc>
                <w:tcPr>
                  <w:tcW w:w="78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燃气管道</w:t>
                  </w:r>
                </w:p>
              </w:tc>
              <w:tc>
                <w:tcPr>
                  <w:tcW w:w="132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0.0000339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丙烷</w:t>
                  </w:r>
                </w:p>
              </w:tc>
              <w:tc>
                <w:tcPr>
                  <w:tcW w:w="133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C</w:t>
                  </w:r>
                  <w:r>
                    <w:rPr>
                      <w:rFonts w:hint="default" w:ascii="Times New Roman" w:hAnsi="Times New Roman" w:cs="Times New Roman"/>
                      <w:color w:val="000000" w:themeColor="text1"/>
                      <w:sz w:val="18"/>
                      <w:szCs w:val="18"/>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H</w:t>
                  </w:r>
                  <w:r>
                    <w:rPr>
                      <w:rFonts w:hint="default" w:ascii="Times New Roman" w:hAnsi="Times New Roman" w:cs="Times New Roman"/>
                      <w:color w:val="000000" w:themeColor="text1"/>
                      <w:sz w:val="18"/>
                      <w:szCs w:val="18"/>
                      <w:highlight w:val="none"/>
                      <w:vertAlign w:val="subscript"/>
                      <w:lang w:val="en-US" w:eastAsia="zh-CN"/>
                      <w14:textFill>
                        <w14:solidFill>
                          <w14:schemeClr w14:val="tx1"/>
                        </w14:solidFill>
                      </w14:textFill>
                    </w:rPr>
                    <w:t>8</w:t>
                  </w:r>
                </w:p>
              </w:tc>
              <w:tc>
                <w:tcPr>
                  <w:tcW w:w="71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液态</w:t>
                  </w:r>
                </w:p>
              </w:tc>
              <w:tc>
                <w:tcPr>
                  <w:tcW w:w="78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钢瓶储存</w:t>
                  </w:r>
                </w:p>
              </w:tc>
              <w:tc>
                <w:tcPr>
                  <w:tcW w:w="132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0.36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33"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氨水（</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25%</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p>
              </w:tc>
              <w:tc>
                <w:tcPr>
                  <w:tcW w:w="133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NH</w:t>
                  </w:r>
                  <w:r>
                    <w:rPr>
                      <w:rFonts w:hint="default" w:ascii="Times New Roman" w:hAnsi="Times New Roman" w:cs="Times New Roman"/>
                      <w:color w:val="000000" w:themeColor="text1"/>
                      <w:sz w:val="18"/>
                      <w:szCs w:val="18"/>
                      <w:highlight w:val="none"/>
                      <w:vertAlign w:val="subscript"/>
                      <w:lang w:val="en-US" w:eastAsia="zh-CN"/>
                      <w14:textFill>
                        <w14:solidFill>
                          <w14:schemeClr w14:val="tx1"/>
                        </w14:solidFill>
                      </w14:textFill>
                    </w:rPr>
                    <w:t>4</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OH</w:t>
                  </w:r>
                </w:p>
              </w:tc>
              <w:tc>
                <w:tcPr>
                  <w:tcW w:w="71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液态</w:t>
                  </w:r>
                </w:p>
              </w:tc>
              <w:tc>
                <w:tcPr>
                  <w:tcW w:w="78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eastAsia" w:cs="Times New Roman"/>
                      <w:color w:val="000000" w:themeColor="text1"/>
                      <w:sz w:val="18"/>
                      <w:szCs w:val="18"/>
                      <w:highlight w:val="none"/>
                      <w:lang w:eastAsia="zh-CN"/>
                      <w14:textFill>
                        <w14:solidFill>
                          <w14:schemeClr w14:val="tx1"/>
                        </w14:solidFill>
                      </w14:textFill>
                    </w:rPr>
                    <w:t>储罐</w:t>
                  </w:r>
                </w:p>
              </w:tc>
              <w:tc>
                <w:tcPr>
                  <w:tcW w:w="132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8.645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33"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eastAsia" w:cs="Times New Roman"/>
                      <w:color w:val="000000" w:themeColor="text1"/>
                      <w:sz w:val="18"/>
                      <w:szCs w:val="18"/>
                      <w:highlight w:val="none"/>
                      <w:lang w:eastAsia="zh-CN"/>
                      <w14:textFill>
                        <w14:solidFill>
                          <w14:schemeClr w14:val="tx1"/>
                        </w14:solidFill>
                      </w14:textFill>
                    </w:rPr>
                    <w:t>酸洗钝化膏</w:t>
                  </w:r>
                </w:p>
              </w:tc>
              <w:tc>
                <w:tcPr>
                  <w:tcW w:w="133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HNO</w:t>
                  </w:r>
                  <w:r>
                    <w:rPr>
                      <w:rFonts w:hint="eastAsia" w:ascii="Times New Roman" w:hAnsi="Times New Roman" w:cs="Times New Roman"/>
                      <w:color w:val="000000" w:themeColor="text1"/>
                      <w:sz w:val="18"/>
                      <w:szCs w:val="18"/>
                      <w:highlight w:val="none"/>
                      <w:vertAlign w:val="subscript"/>
                      <w:lang w:val="en-US" w:eastAsia="zh-CN"/>
                      <w14:textFill>
                        <w14:solidFill>
                          <w14:schemeClr w14:val="tx1"/>
                        </w14:solidFill>
                      </w14:textFill>
                    </w:rPr>
                    <w:t>3</w:t>
                  </w:r>
                </w:p>
              </w:tc>
              <w:tc>
                <w:tcPr>
                  <w:tcW w:w="71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eastAsia" w:ascii="Times New Roman" w:hAnsi="Times New Roman" w:cs="Times New Roman"/>
                      <w:color w:val="000000" w:themeColor="text1"/>
                      <w:sz w:val="18"/>
                      <w:szCs w:val="18"/>
                      <w:highlight w:val="none"/>
                      <w:lang w:eastAsia="zh-CN"/>
                      <w14:textFill>
                        <w14:solidFill>
                          <w14:schemeClr w14:val="tx1"/>
                        </w14:solidFill>
                      </w14:textFill>
                    </w:rPr>
                    <w:t>半固态</w:t>
                  </w:r>
                </w:p>
              </w:tc>
              <w:tc>
                <w:tcPr>
                  <w:tcW w:w="78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eastAsia" w:ascii="Times New Roman" w:hAnsi="Times New Roman" w:cs="Times New Roman"/>
                      <w:color w:val="000000" w:themeColor="text1"/>
                      <w:sz w:val="18"/>
                      <w:szCs w:val="18"/>
                      <w:highlight w:val="none"/>
                      <w:lang w:eastAsia="zh-CN"/>
                      <w14:textFill>
                        <w14:solidFill>
                          <w14:schemeClr w14:val="tx1"/>
                        </w14:solidFill>
                      </w14:textFill>
                    </w:rPr>
                    <w:t>密闭桶装</w:t>
                  </w:r>
                </w:p>
              </w:tc>
              <w:tc>
                <w:tcPr>
                  <w:tcW w:w="132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0.04675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33"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cs="Times New Roman"/>
                      <w:color w:val="000000" w:themeColor="text1"/>
                      <w:sz w:val="18"/>
                      <w:szCs w:val="18"/>
                      <w:highlight w:val="none"/>
                      <w:lang w:eastAsia="zh-CN"/>
                      <w14:textFill>
                        <w14:solidFill>
                          <w14:schemeClr w14:val="tx1"/>
                        </w14:solidFill>
                      </w14:textFill>
                    </w:rPr>
                  </w:pPr>
                </w:p>
              </w:tc>
              <w:tc>
                <w:tcPr>
                  <w:tcW w:w="133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HF</w:t>
                  </w:r>
                </w:p>
              </w:tc>
              <w:tc>
                <w:tcPr>
                  <w:tcW w:w="71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eastAsia" w:ascii="Times New Roman" w:hAnsi="Times New Roman" w:cs="Times New Roman"/>
                      <w:color w:val="000000" w:themeColor="text1"/>
                      <w:sz w:val="18"/>
                      <w:szCs w:val="18"/>
                      <w:highlight w:val="none"/>
                      <w:lang w:eastAsia="zh-CN"/>
                      <w14:textFill>
                        <w14:solidFill>
                          <w14:schemeClr w14:val="tx1"/>
                        </w14:solidFill>
                      </w14:textFill>
                    </w:rPr>
                    <w:t>半固态</w:t>
                  </w:r>
                </w:p>
              </w:tc>
              <w:tc>
                <w:tcPr>
                  <w:tcW w:w="78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eastAsia" w:ascii="Times New Roman" w:hAnsi="Times New Roman" w:cs="Times New Roman"/>
                      <w:color w:val="000000" w:themeColor="text1"/>
                      <w:sz w:val="18"/>
                      <w:szCs w:val="18"/>
                      <w:highlight w:val="none"/>
                      <w:lang w:eastAsia="zh-CN"/>
                      <w14:textFill>
                        <w14:solidFill>
                          <w14:schemeClr w14:val="tx1"/>
                        </w14:solidFill>
                      </w14:textFill>
                    </w:rPr>
                    <w:t>密闭桶装</w:t>
                  </w:r>
                </w:p>
              </w:tc>
              <w:tc>
                <w:tcPr>
                  <w:tcW w:w="1325"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0.01075</w:t>
                  </w:r>
                </w:p>
              </w:tc>
            </w:tr>
          </w:tbl>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cs="Times New Roman"/>
                <w:b/>
                <w:color w:val="000000" w:themeColor="text1"/>
                <w:kern w:val="0"/>
                <w:szCs w:val="21"/>
                <w:highlight w:val="none"/>
                <w14:textFill>
                  <w14:solidFill>
                    <w14:schemeClr w14:val="tx1"/>
                  </w14:solidFill>
                </w14:textFill>
              </w:rPr>
            </w:pPr>
            <w:r>
              <w:rPr>
                <w:rFonts w:hint="default" w:ascii="Times New Roman" w:hAnsi="Times New Roman" w:cs="Times New Roman"/>
                <w:b/>
                <w:color w:val="000000" w:themeColor="text1"/>
                <w:kern w:val="0"/>
                <w:szCs w:val="21"/>
                <w:highlight w:val="none"/>
                <w:lang w:val="en-US" w:eastAsia="zh-CN"/>
                <w14:textFill>
                  <w14:solidFill>
                    <w14:schemeClr w14:val="tx1"/>
                  </w14:solidFill>
                </w14:textFill>
              </w:rPr>
              <w:t>（2）</w:t>
            </w:r>
            <w:r>
              <w:rPr>
                <w:rFonts w:hint="default" w:ascii="Times New Roman" w:hAnsi="Times New Roman" w:cs="Times New Roman"/>
                <w:b/>
                <w:color w:val="000000" w:themeColor="text1"/>
                <w:kern w:val="0"/>
                <w:szCs w:val="21"/>
                <w:highlight w:val="none"/>
                <w14:textFill>
                  <w14:solidFill>
                    <w14:schemeClr w14:val="tx1"/>
                  </w14:solidFill>
                </w14:textFill>
              </w:rPr>
              <w:t>危险物质数量与临界量比值（Q）</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根据《建设项目环境风险评价技术导则》（HJ169-2018）中规定，计算所涉及的每种危险物质在厂界内的最大存在总量与其在附录B 中对应临界量的比值Q。在不同厂区的同一种物质，按其在厂界内的最大存在总量计算。对于长输管线项目，按照两个截断阀室之间管段危险物质最大存在总量计算。</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当只涉及一种危险物质时，计算该物质的总量与其临界量比值，即为Q；</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当存在多种危险物质时，则按下式计算物质总量与其临界量比值（Q）：</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Q=q</w:t>
            </w:r>
            <w:r>
              <w:rPr>
                <w:rFonts w:hint="default" w:ascii="Times New Roman" w:hAnsi="Times New Roman" w:cs="Times New Roman"/>
                <w:color w:val="000000" w:themeColor="text1"/>
                <w:sz w:val="21"/>
                <w:szCs w:val="21"/>
                <w:vertAlign w:val="subscript"/>
                <w14:textFill>
                  <w14:solidFill>
                    <w14:schemeClr w14:val="tx1"/>
                  </w14:solidFill>
                </w14:textFill>
              </w:rPr>
              <w:t>1</w:t>
            </w:r>
            <w:r>
              <w:rPr>
                <w:rFonts w:hint="default" w:ascii="Times New Roman" w:hAnsi="Times New Roman" w:cs="Times New Roman"/>
                <w:color w:val="000000" w:themeColor="text1"/>
                <w:sz w:val="21"/>
                <w:szCs w:val="21"/>
                <w14:textFill>
                  <w14:solidFill>
                    <w14:schemeClr w14:val="tx1"/>
                  </w14:solidFill>
                </w14:textFill>
              </w:rPr>
              <w:t>/Q</w:t>
            </w:r>
            <w:r>
              <w:rPr>
                <w:rFonts w:hint="default" w:ascii="Times New Roman" w:hAnsi="Times New Roman" w:cs="Times New Roman"/>
                <w:color w:val="000000" w:themeColor="text1"/>
                <w:sz w:val="21"/>
                <w:szCs w:val="21"/>
                <w:vertAlign w:val="subscript"/>
                <w14:textFill>
                  <w14:solidFill>
                    <w14:schemeClr w14:val="tx1"/>
                  </w14:solidFill>
                </w14:textFill>
              </w:rPr>
              <w:t>1</w:t>
            </w:r>
            <w:r>
              <w:rPr>
                <w:rFonts w:hint="default" w:ascii="Times New Roman" w:hAnsi="Times New Roman" w:cs="Times New Roman"/>
                <w:color w:val="000000" w:themeColor="text1"/>
                <w:sz w:val="21"/>
                <w:szCs w:val="21"/>
                <w14:textFill>
                  <w14:solidFill>
                    <w14:schemeClr w14:val="tx1"/>
                  </w14:solidFill>
                </w14:textFill>
              </w:rPr>
              <w:t xml:space="preserve"> + q</w:t>
            </w:r>
            <w:r>
              <w:rPr>
                <w:rFonts w:hint="default" w:ascii="Times New Roman" w:hAnsi="Times New Roman" w:cs="Times New Roman"/>
                <w:color w:val="000000" w:themeColor="text1"/>
                <w:sz w:val="21"/>
                <w:szCs w:val="21"/>
                <w:vertAlign w:val="subscript"/>
                <w14:textFill>
                  <w14:solidFill>
                    <w14:schemeClr w14:val="tx1"/>
                  </w14:solidFill>
                </w14:textFill>
              </w:rPr>
              <w:t>2</w:t>
            </w:r>
            <w:r>
              <w:rPr>
                <w:rFonts w:hint="default" w:ascii="Times New Roman" w:hAnsi="Times New Roman" w:cs="Times New Roman"/>
                <w:color w:val="000000" w:themeColor="text1"/>
                <w:sz w:val="21"/>
                <w:szCs w:val="21"/>
                <w14:textFill>
                  <w14:solidFill>
                    <w14:schemeClr w14:val="tx1"/>
                  </w14:solidFill>
                </w14:textFill>
              </w:rPr>
              <w:t>/Q</w:t>
            </w:r>
            <w:r>
              <w:rPr>
                <w:rFonts w:hint="default" w:ascii="Times New Roman" w:hAnsi="Times New Roman" w:cs="Times New Roman"/>
                <w:color w:val="000000" w:themeColor="text1"/>
                <w:sz w:val="21"/>
                <w:szCs w:val="21"/>
                <w:vertAlign w:val="subscript"/>
                <w14:textFill>
                  <w14:solidFill>
                    <w14:schemeClr w14:val="tx1"/>
                  </w14:solidFill>
                </w14:textFill>
              </w:rPr>
              <w:t>2</w:t>
            </w:r>
            <w:r>
              <w:rPr>
                <w:rFonts w:hint="default" w:ascii="Times New Roman" w:hAnsi="Times New Roman" w:cs="Times New Roman"/>
                <w:color w:val="000000" w:themeColor="text1"/>
                <w:sz w:val="21"/>
                <w:szCs w:val="21"/>
                <w14:textFill>
                  <w14:solidFill>
                    <w14:schemeClr w14:val="tx1"/>
                  </w14:solidFill>
                </w14:textFill>
              </w:rPr>
              <w:t xml:space="preserve"> + q</w:t>
            </w:r>
            <w:r>
              <w:rPr>
                <w:rFonts w:hint="default" w:ascii="Times New Roman" w:hAnsi="Times New Roman" w:cs="Times New Roman"/>
                <w:color w:val="000000" w:themeColor="text1"/>
                <w:sz w:val="21"/>
                <w:szCs w:val="21"/>
                <w:vertAlign w:val="subscript"/>
                <w14:textFill>
                  <w14:solidFill>
                    <w14:schemeClr w14:val="tx1"/>
                  </w14:solidFill>
                </w14:textFill>
              </w:rPr>
              <w:t>3</w:t>
            </w:r>
            <w:r>
              <w:rPr>
                <w:rFonts w:hint="default" w:ascii="Times New Roman" w:hAnsi="Times New Roman" w:cs="Times New Roman"/>
                <w:color w:val="000000" w:themeColor="text1"/>
                <w:sz w:val="21"/>
                <w:szCs w:val="21"/>
                <w14:textFill>
                  <w14:solidFill>
                    <w14:schemeClr w14:val="tx1"/>
                  </w14:solidFill>
                </w14:textFill>
              </w:rPr>
              <w:t>/Q</w:t>
            </w:r>
            <w:r>
              <w:rPr>
                <w:rFonts w:hint="default" w:ascii="Times New Roman" w:hAnsi="Times New Roman" w:cs="Times New Roman"/>
                <w:color w:val="000000" w:themeColor="text1"/>
                <w:sz w:val="21"/>
                <w:szCs w:val="21"/>
                <w:vertAlign w:val="subscript"/>
                <w14:textFill>
                  <w14:solidFill>
                    <w14:schemeClr w14:val="tx1"/>
                  </w14:solidFill>
                </w14:textFill>
              </w:rPr>
              <w:t>3</w:t>
            </w:r>
            <w:r>
              <w:rPr>
                <w:rFonts w:hint="default" w:ascii="Times New Roman" w:hAnsi="Times New Roman" w:cs="Times New Roman"/>
                <w:color w:val="000000" w:themeColor="text1"/>
                <w:sz w:val="21"/>
                <w:szCs w:val="21"/>
                <w14:textFill>
                  <w14:solidFill>
                    <w14:schemeClr w14:val="tx1"/>
                  </w14:solidFill>
                </w14:textFill>
              </w:rPr>
              <w:t>+…… + q</w:t>
            </w:r>
            <w:r>
              <w:rPr>
                <w:rFonts w:hint="default" w:ascii="Times New Roman" w:hAnsi="Times New Roman" w:cs="Times New Roman"/>
                <w:color w:val="000000" w:themeColor="text1"/>
                <w:sz w:val="21"/>
                <w:szCs w:val="21"/>
                <w:vertAlign w:val="subscript"/>
                <w14:textFill>
                  <w14:solidFill>
                    <w14:schemeClr w14:val="tx1"/>
                  </w14:solidFill>
                </w14:textFill>
              </w:rPr>
              <w:t>n</w:t>
            </w:r>
            <w:r>
              <w:rPr>
                <w:rFonts w:hint="default" w:ascii="Times New Roman" w:hAnsi="Times New Roman" w:cs="Times New Roman"/>
                <w:color w:val="000000" w:themeColor="text1"/>
                <w:sz w:val="21"/>
                <w:szCs w:val="21"/>
                <w14:textFill>
                  <w14:solidFill>
                    <w14:schemeClr w14:val="tx1"/>
                  </w14:solidFill>
                </w14:textFill>
              </w:rPr>
              <w:t>/Qn</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式中：q</w:t>
            </w:r>
            <w:r>
              <w:rPr>
                <w:rFonts w:hint="default" w:ascii="Times New Roman" w:hAnsi="Times New Roman" w:cs="Times New Roman"/>
                <w:color w:val="000000" w:themeColor="text1"/>
                <w:sz w:val="21"/>
                <w:szCs w:val="21"/>
                <w:vertAlign w:val="subscript"/>
                <w14:textFill>
                  <w14:solidFill>
                    <w14:schemeClr w14:val="tx1"/>
                  </w14:solidFill>
                </w14:textFill>
              </w:rPr>
              <w:t>1</w:t>
            </w:r>
            <w:r>
              <w:rPr>
                <w:rFonts w:hint="default" w:ascii="Times New Roman" w:hAnsi="Times New Roman" w:cs="Times New Roman"/>
                <w:color w:val="000000" w:themeColor="text1"/>
                <w:sz w:val="21"/>
                <w:szCs w:val="21"/>
                <w14:textFill>
                  <w14:solidFill>
                    <w14:schemeClr w14:val="tx1"/>
                  </w14:solidFill>
                </w14:textFill>
              </w:rPr>
              <w:t>，q</w:t>
            </w:r>
            <w:r>
              <w:rPr>
                <w:rFonts w:hint="default" w:ascii="Times New Roman" w:hAnsi="Times New Roman" w:cs="Times New Roman"/>
                <w:color w:val="000000" w:themeColor="text1"/>
                <w:sz w:val="21"/>
                <w:szCs w:val="21"/>
                <w:vertAlign w:val="subscript"/>
                <w14:textFill>
                  <w14:solidFill>
                    <w14:schemeClr w14:val="tx1"/>
                  </w14:solidFill>
                </w14:textFill>
              </w:rPr>
              <w:t>2</w:t>
            </w:r>
            <w:r>
              <w:rPr>
                <w:rFonts w:hint="default" w:ascii="Times New Roman" w:hAnsi="Times New Roman" w:cs="Times New Roman"/>
                <w:color w:val="000000" w:themeColor="text1"/>
                <w:sz w:val="21"/>
                <w:szCs w:val="21"/>
                <w14:textFill>
                  <w14:solidFill>
                    <w14:schemeClr w14:val="tx1"/>
                  </w14:solidFill>
                </w14:textFill>
              </w:rPr>
              <w:t>，……q</w:t>
            </w:r>
            <w:r>
              <w:rPr>
                <w:rFonts w:hint="default" w:ascii="Times New Roman" w:hAnsi="Times New Roman" w:cs="Times New Roman"/>
                <w:color w:val="000000" w:themeColor="text1"/>
                <w:sz w:val="21"/>
                <w:szCs w:val="21"/>
                <w:vertAlign w:val="subscript"/>
                <w14:textFill>
                  <w14:solidFill>
                    <w14:schemeClr w14:val="tx1"/>
                  </w14:solidFill>
                </w14:textFill>
              </w:rPr>
              <w:t>n</w:t>
            </w:r>
            <w:r>
              <w:rPr>
                <w:rFonts w:hint="default" w:ascii="Times New Roman" w:hAnsi="Times New Roman" w:cs="Times New Roman"/>
                <w:color w:val="000000" w:themeColor="text1"/>
                <w:sz w:val="21"/>
                <w:szCs w:val="21"/>
                <w14:textFill>
                  <w14:solidFill>
                    <w14:schemeClr w14:val="tx1"/>
                  </w14:solidFill>
                </w14:textFill>
              </w:rPr>
              <w:t>－每种危险物质的最大存在总量，t；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Q</w:t>
            </w:r>
            <w:r>
              <w:rPr>
                <w:rFonts w:hint="default" w:ascii="Times New Roman" w:hAnsi="Times New Roman" w:cs="Times New Roman"/>
                <w:color w:val="000000" w:themeColor="text1"/>
                <w:sz w:val="21"/>
                <w:szCs w:val="21"/>
                <w:vertAlign w:val="subscript"/>
                <w14:textFill>
                  <w14:solidFill>
                    <w14:schemeClr w14:val="tx1"/>
                  </w14:solidFill>
                </w14:textFill>
              </w:rPr>
              <w:t>1</w:t>
            </w:r>
            <w:r>
              <w:rPr>
                <w:rFonts w:hint="default" w:ascii="Times New Roman" w:hAnsi="Times New Roman" w:cs="Times New Roman"/>
                <w:color w:val="000000" w:themeColor="text1"/>
                <w:sz w:val="21"/>
                <w:szCs w:val="21"/>
                <w14:textFill>
                  <w14:solidFill>
                    <w14:schemeClr w14:val="tx1"/>
                  </w14:solidFill>
                </w14:textFill>
              </w:rPr>
              <w:t>，Q</w:t>
            </w:r>
            <w:r>
              <w:rPr>
                <w:rFonts w:hint="default" w:ascii="Times New Roman" w:hAnsi="Times New Roman" w:cs="Times New Roman"/>
                <w:color w:val="000000" w:themeColor="text1"/>
                <w:sz w:val="21"/>
                <w:szCs w:val="21"/>
                <w:vertAlign w:val="subscript"/>
                <w14:textFill>
                  <w14:solidFill>
                    <w14:schemeClr w14:val="tx1"/>
                  </w14:solidFill>
                </w14:textFill>
              </w:rPr>
              <w:t>2</w:t>
            </w:r>
            <w:r>
              <w:rPr>
                <w:rFonts w:hint="default" w:ascii="Times New Roman" w:hAnsi="Times New Roman" w:cs="Times New Roman"/>
                <w:color w:val="000000" w:themeColor="text1"/>
                <w:sz w:val="21"/>
                <w:szCs w:val="21"/>
                <w14:textFill>
                  <w14:solidFill>
                    <w14:schemeClr w14:val="tx1"/>
                  </w14:solidFill>
                </w14:textFill>
              </w:rPr>
              <w:t>，……Q</w:t>
            </w:r>
            <w:r>
              <w:rPr>
                <w:rFonts w:hint="default" w:ascii="Times New Roman" w:hAnsi="Times New Roman" w:cs="Times New Roman"/>
                <w:color w:val="000000" w:themeColor="text1"/>
                <w:sz w:val="21"/>
                <w:szCs w:val="21"/>
                <w:vertAlign w:val="subscript"/>
                <w14:textFill>
                  <w14:solidFill>
                    <w14:schemeClr w14:val="tx1"/>
                  </w14:solidFill>
                </w14:textFill>
              </w:rPr>
              <w:t>n</w:t>
            </w:r>
            <w:r>
              <w:rPr>
                <w:rFonts w:hint="default" w:ascii="Times New Roman" w:hAnsi="Times New Roman" w:cs="Times New Roman"/>
                <w:color w:val="000000" w:themeColor="text1"/>
                <w:sz w:val="21"/>
                <w:szCs w:val="21"/>
                <w14:textFill>
                  <w14:solidFill>
                    <w14:schemeClr w14:val="tx1"/>
                  </w14:solidFill>
                </w14:textFill>
              </w:rPr>
              <w:t>－每种危险物质的临界量，t。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当Q＜1时，该项目环境风险潜势为Ⅰ。</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当Q≥1 时，将Q值划分为：（1）1≤Q＜10；（2）10≤Q＜100；（3）Q≥100。</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本项目涉及危险物质主要为</w:t>
            </w:r>
            <w:r>
              <w:rPr>
                <w:rFonts w:hint="default" w:ascii="Times New Roman" w:hAnsi="Times New Roman" w:cs="Times New Roman"/>
                <w:color w:val="000000" w:themeColor="text1"/>
                <w:sz w:val="21"/>
                <w:szCs w:val="21"/>
                <w:lang w:eastAsia="zh-CN"/>
                <w14:textFill>
                  <w14:solidFill>
                    <w14:schemeClr w14:val="tx1"/>
                  </w14:solidFill>
                </w14:textFill>
              </w:rPr>
              <w:t>天然气、丙烷、氨水</w:t>
            </w:r>
            <w:r>
              <w:rPr>
                <w:rFonts w:hint="eastAsia" w:cs="Times New Roman"/>
                <w:color w:val="000000" w:themeColor="text1"/>
                <w:sz w:val="21"/>
                <w:szCs w:val="21"/>
                <w:lang w:eastAsia="zh-CN"/>
                <w14:textFill>
                  <w14:solidFill>
                    <w14:schemeClr w14:val="tx1"/>
                  </w14:solidFill>
                </w14:textFill>
              </w:rPr>
              <w:t>、酸洗稿（硝酸和氢氟酸）</w:t>
            </w:r>
            <w:r>
              <w:rPr>
                <w:rFonts w:hint="default" w:ascii="Times New Roman" w:hAnsi="Times New Roman" w:cs="Times New Roman"/>
                <w:color w:val="000000" w:themeColor="text1"/>
                <w:sz w:val="21"/>
                <w:szCs w:val="21"/>
                <w14:textFill>
                  <w14:solidFill>
                    <w14:schemeClr w14:val="tx1"/>
                  </w14:solidFill>
                </w14:textFill>
              </w:rPr>
              <w:t>，根据《建设项目环境风险评价技术导则》（HJ169-2018）附录B突发环境事件风险物质及临界量，本项目危险物质一次最大储存量与临界量对比情况见下表</w:t>
            </w:r>
            <w:r>
              <w:rPr>
                <w:rFonts w:hint="default" w:ascii="Times New Roman" w:hAnsi="Times New Roman" w:cs="Times New Roman"/>
                <w:color w:val="000000" w:themeColor="text1"/>
                <w:sz w:val="21"/>
                <w:szCs w:val="21"/>
                <w:lang w:eastAsia="zh-CN"/>
                <w14:textFill>
                  <w14:solidFill>
                    <w14:schemeClr w14:val="tx1"/>
                  </w14:solidFill>
                </w14:textFill>
              </w:rPr>
              <w:t>：</w:t>
            </w:r>
          </w:p>
          <w:p>
            <w:pPr>
              <w:pStyle w:val="2"/>
              <w:rPr>
                <w:rFonts w:hint="default" w:ascii="Times New Roman" w:hAnsi="Times New Roman" w:cs="Times New Roman"/>
                <w:color w:val="000000" w:themeColor="text1"/>
                <w:sz w:val="21"/>
                <w:szCs w:val="21"/>
                <w:lang w:eastAsia="zh-CN"/>
                <w14:textFill>
                  <w14:solidFill>
                    <w14:schemeClr w14:val="tx1"/>
                  </w14:solidFill>
                </w14:textFill>
              </w:rPr>
            </w:pPr>
          </w:p>
          <w:p>
            <w:pPr>
              <w:pStyle w:val="2"/>
              <w:ind w:left="0" w:leftChars="0" w:firstLine="0" w:firstLineChars="0"/>
              <w:rPr>
                <w:rFonts w:hint="default"/>
                <w:color w:val="000000" w:themeColor="text1"/>
                <w:lang w:eastAsia="zh-CN"/>
                <w14:textFill>
                  <w14:solidFill>
                    <w14:schemeClr w14:val="tx1"/>
                  </w14:solidFill>
                </w14:textFill>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 xml:space="preserve"> 项目Q值确定</w:t>
            </w:r>
          </w:p>
          <w:tbl>
            <w:tblPr>
              <w:tblStyle w:val="21"/>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28" w:type="dxa"/>
                <w:left w:w="28" w:type="dxa"/>
                <w:bottom w:w="28" w:type="dxa"/>
                <w:right w:w="28" w:type="dxa"/>
              </w:tblCellMar>
            </w:tblPr>
            <w:tblGrid>
              <w:gridCol w:w="1231"/>
              <w:gridCol w:w="1732"/>
              <w:gridCol w:w="1313"/>
              <w:gridCol w:w="1220"/>
              <w:gridCol w:w="1217"/>
              <w:gridCol w:w="159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741" w:type="pct"/>
                  <w:noWrap w:val="0"/>
                  <w:vAlign w:val="center"/>
                </w:tcPr>
                <w:p>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序号</w:t>
                  </w:r>
                </w:p>
              </w:tc>
              <w:tc>
                <w:tcPr>
                  <w:tcW w:w="1042" w:type="pct"/>
                  <w:noWrap w:val="0"/>
                  <w:vAlign w:val="center"/>
                </w:tcPr>
                <w:p>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危化品名称</w:t>
                  </w:r>
                </w:p>
              </w:tc>
              <w:tc>
                <w:tcPr>
                  <w:tcW w:w="790" w:type="pct"/>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CAS号</w:t>
                  </w:r>
                </w:p>
              </w:tc>
              <w:tc>
                <w:tcPr>
                  <w:tcW w:w="734" w:type="pct"/>
                  <w:noWrap w:val="0"/>
                  <w:vAlign w:val="center"/>
                </w:tcPr>
                <w:p>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eastAsia"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最大储存量</w:t>
                  </w:r>
                  <w:r>
                    <w:rPr>
                      <w:rFonts w:hint="eastAsia" w:cs="Times New Roman" w:eastAsiaTheme="minorEastAsia"/>
                      <w:color w:val="000000" w:themeColor="text1"/>
                      <w:sz w:val="18"/>
                      <w:szCs w:val="18"/>
                      <w:highlight w:val="none"/>
                      <w:lang w:eastAsia="zh-CN"/>
                      <w14:textFill>
                        <w14:solidFill>
                          <w14:schemeClr w14:val="tx1"/>
                        </w14:solidFill>
                      </w14:textFill>
                    </w:rPr>
                    <w:t>（</w:t>
                  </w:r>
                  <w:r>
                    <w:rPr>
                      <w:rFonts w:hint="eastAsia" w:cs="Times New Roman" w:eastAsiaTheme="minorEastAsia"/>
                      <w:color w:val="000000" w:themeColor="text1"/>
                      <w:sz w:val="18"/>
                      <w:szCs w:val="18"/>
                      <w:highlight w:val="none"/>
                      <w:lang w:val="en-US" w:eastAsia="zh-CN"/>
                      <w14:textFill>
                        <w14:solidFill>
                          <w14:schemeClr w14:val="tx1"/>
                        </w14:solidFill>
                      </w14:textFill>
                    </w:rPr>
                    <w:t>t</w:t>
                  </w:r>
                  <w:r>
                    <w:rPr>
                      <w:rFonts w:hint="eastAsia" w:cs="Times New Roman" w:eastAsiaTheme="minorEastAsia"/>
                      <w:color w:val="000000" w:themeColor="text1"/>
                      <w:sz w:val="18"/>
                      <w:szCs w:val="18"/>
                      <w:highlight w:val="none"/>
                      <w:lang w:eastAsia="zh-CN"/>
                      <w14:textFill>
                        <w14:solidFill>
                          <w14:schemeClr w14:val="tx1"/>
                        </w14:solidFill>
                      </w14:textFill>
                    </w:rPr>
                    <w:t>）</w:t>
                  </w:r>
                </w:p>
              </w:tc>
              <w:tc>
                <w:tcPr>
                  <w:tcW w:w="732" w:type="pct"/>
                  <w:noWrap w:val="0"/>
                  <w:vAlign w:val="center"/>
                </w:tcPr>
                <w:p>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临界量</w:t>
                  </w:r>
                  <w:r>
                    <w:rPr>
                      <w:rFonts w:hint="eastAsia" w:cs="Times New Roman" w:eastAsiaTheme="minorEastAsia"/>
                      <w:color w:val="000000" w:themeColor="text1"/>
                      <w:sz w:val="18"/>
                      <w:szCs w:val="18"/>
                      <w:highlight w:val="none"/>
                      <w:lang w:eastAsia="zh-CN"/>
                      <w14:textFill>
                        <w14:solidFill>
                          <w14:schemeClr w14:val="tx1"/>
                        </w14:solidFill>
                      </w14:textFill>
                    </w:rPr>
                    <w:t>（</w:t>
                  </w:r>
                  <w:r>
                    <w:rPr>
                      <w:rFonts w:hint="eastAsia" w:cs="Times New Roman" w:eastAsiaTheme="minorEastAsia"/>
                      <w:color w:val="000000" w:themeColor="text1"/>
                      <w:sz w:val="18"/>
                      <w:szCs w:val="18"/>
                      <w:highlight w:val="none"/>
                      <w:lang w:val="en-US" w:eastAsia="zh-CN"/>
                      <w14:textFill>
                        <w14:solidFill>
                          <w14:schemeClr w14:val="tx1"/>
                        </w14:solidFill>
                      </w14:textFill>
                    </w:rPr>
                    <w:t>t</w:t>
                  </w:r>
                  <w:r>
                    <w:rPr>
                      <w:rFonts w:hint="eastAsia" w:cs="Times New Roman" w:eastAsiaTheme="minorEastAsia"/>
                      <w:color w:val="000000" w:themeColor="text1"/>
                      <w:sz w:val="18"/>
                      <w:szCs w:val="18"/>
                      <w:highlight w:val="none"/>
                      <w:lang w:eastAsia="zh-CN"/>
                      <w14:textFill>
                        <w14:solidFill>
                          <w14:schemeClr w14:val="tx1"/>
                        </w14:solidFill>
                      </w14:textFill>
                    </w:rPr>
                    <w:t>）</w:t>
                  </w:r>
                </w:p>
              </w:tc>
              <w:tc>
                <w:tcPr>
                  <w:tcW w:w="958" w:type="pct"/>
                  <w:noWrap w:val="0"/>
                  <w:vAlign w:val="center"/>
                </w:tcPr>
                <w:p>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q</w:t>
                  </w:r>
                  <w:r>
                    <w:rPr>
                      <w:rFonts w:hint="default" w:ascii="Times New Roman" w:hAnsi="Times New Roman" w:cs="Times New Roman" w:eastAsiaTheme="minorEastAsia"/>
                      <w:color w:val="000000" w:themeColor="text1"/>
                      <w:sz w:val="18"/>
                      <w:szCs w:val="18"/>
                      <w:highlight w:val="none"/>
                      <w:vertAlign w:val="subscript"/>
                      <w14:textFill>
                        <w14:solidFill>
                          <w14:schemeClr w14:val="tx1"/>
                        </w14:solidFill>
                      </w14:textFill>
                    </w:rPr>
                    <w:t>i</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/Q</w:t>
                  </w:r>
                  <w:r>
                    <w:rPr>
                      <w:rFonts w:hint="default" w:ascii="Times New Roman" w:hAnsi="Times New Roman" w:cs="Times New Roman" w:eastAsiaTheme="minorEastAsia"/>
                      <w:color w:val="000000" w:themeColor="text1"/>
                      <w:sz w:val="18"/>
                      <w:szCs w:val="18"/>
                      <w:highlight w:val="none"/>
                      <w:vertAlign w:val="subscript"/>
                      <w14:textFill>
                        <w14:solidFill>
                          <w14:schemeClr w14:val="tx1"/>
                        </w14:solidFill>
                      </w14:textFill>
                    </w:rPr>
                    <w:t>i</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741" w:type="pct"/>
                  <w:noWrap w:val="0"/>
                  <w:vAlign w:val="center"/>
                </w:tcPr>
                <w:p>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1</w:t>
                  </w:r>
                </w:p>
              </w:tc>
              <w:tc>
                <w:tcPr>
                  <w:tcW w:w="104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天然气</w:t>
                  </w:r>
                </w:p>
              </w:tc>
              <w:tc>
                <w:tcPr>
                  <w:tcW w:w="790" w:type="pct"/>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74-82-8</w:t>
                  </w:r>
                </w:p>
              </w:tc>
              <w:tc>
                <w:tcPr>
                  <w:tcW w:w="73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0.0000339</w:t>
                  </w:r>
                </w:p>
              </w:tc>
              <w:tc>
                <w:tcPr>
                  <w:tcW w:w="732" w:type="pct"/>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10</w:t>
                  </w:r>
                </w:p>
              </w:tc>
              <w:tc>
                <w:tcPr>
                  <w:tcW w:w="1581" w:type="dxa"/>
                  <w:noWrap w:val="0"/>
                  <w:vAlign w:val="center"/>
                </w:tcPr>
                <w:p>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0.00000339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741" w:type="pct"/>
                  <w:noWrap w:val="0"/>
                  <w:vAlign w:val="center"/>
                </w:tcPr>
                <w:p>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2</w:t>
                  </w:r>
                </w:p>
              </w:tc>
              <w:tc>
                <w:tcPr>
                  <w:tcW w:w="104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丙烷</w:t>
                  </w:r>
                </w:p>
              </w:tc>
              <w:tc>
                <w:tcPr>
                  <w:tcW w:w="790" w:type="pct"/>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74-98-6</w:t>
                  </w:r>
                </w:p>
              </w:tc>
              <w:tc>
                <w:tcPr>
                  <w:tcW w:w="73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0.36</w:t>
                  </w:r>
                </w:p>
              </w:tc>
              <w:tc>
                <w:tcPr>
                  <w:tcW w:w="732" w:type="pct"/>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10</w:t>
                  </w:r>
                </w:p>
              </w:tc>
              <w:tc>
                <w:tcPr>
                  <w:tcW w:w="1581" w:type="dxa"/>
                  <w:noWrap w:val="0"/>
                  <w:vAlign w:val="center"/>
                </w:tcPr>
                <w:p>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0.036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741" w:type="pct"/>
                  <w:noWrap w:val="0"/>
                  <w:vAlign w:val="center"/>
                </w:tcPr>
                <w:p>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3</w:t>
                  </w:r>
                </w:p>
              </w:tc>
              <w:tc>
                <w:tcPr>
                  <w:tcW w:w="104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氨水（</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25%</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p>
              </w:tc>
              <w:tc>
                <w:tcPr>
                  <w:tcW w:w="790" w:type="pct"/>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1336-21-6</w:t>
                  </w:r>
                </w:p>
              </w:tc>
              <w:tc>
                <w:tcPr>
                  <w:tcW w:w="73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kern w:val="2"/>
                      <w:sz w:val="18"/>
                      <w:szCs w:val="18"/>
                      <w:highlight w:val="none"/>
                      <w:lang w:val="en-US" w:eastAsia="zh-CN" w:bidi="ar-SA"/>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8.645</w:t>
                  </w:r>
                </w:p>
              </w:tc>
              <w:tc>
                <w:tcPr>
                  <w:tcW w:w="732" w:type="pct"/>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10</w:t>
                  </w:r>
                </w:p>
              </w:tc>
              <w:tc>
                <w:tcPr>
                  <w:tcW w:w="1581" w:type="dxa"/>
                  <w:noWrap w:val="0"/>
                  <w:vAlign w:val="center"/>
                </w:tcPr>
                <w:p>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0.8645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741" w:type="pct"/>
                  <w:vMerge w:val="restart"/>
                  <w:noWrap w:val="0"/>
                  <w:vAlign w:val="center"/>
                </w:tcPr>
                <w:p>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4</w:t>
                  </w:r>
                </w:p>
              </w:tc>
              <w:tc>
                <w:tcPr>
                  <w:tcW w:w="171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硝酸（</w:t>
                  </w: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HNO</w:t>
                  </w:r>
                  <w:r>
                    <w:rPr>
                      <w:rFonts w:hint="eastAsia" w:ascii="Times New Roman" w:hAnsi="Times New Roman" w:cs="Times New Roman"/>
                      <w:color w:val="000000" w:themeColor="text1"/>
                      <w:sz w:val="18"/>
                      <w:szCs w:val="18"/>
                      <w:highlight w:val="none"/>
                      <w:vertAlign w:val="subscript"/>
                      <w:lang w:val="en-US" w:eastAsia="zh-CN"/>
                      <w14:textFill>
                        <w14:solidFill>
                          <w14:schemeClr w14:val="tx1"/>
                        </w14:solidFill>
                      </w14:textFill>
                    </w:rPr>
                    <w:t>3</w:t>
                  </w:r>
                  <w:r>
                    <w:rPr>
                      <w:rFonts w:hint="eastAsia" w:cs="Times New Roman"/>
                      <w:color w:val="000000" w:themeColor="text1"/>
                      <w:sz w:val="18"/>
                      <w:szCs w:val="18"/>
                      <w:highlight w:val="none"/>
                      <w:lang w:val="en-US" w:eastAsia="zh-CN"/>
                      <w14:textFill>
                        <w14:solidFill>
                          <w14:schemeClr w14:val="tx1"/>
                        </w14:solidFill>
                      </w14:textFill>
                    </w:rPr>
                    <w:t>）</w:t>
                  </w:r>
                </w:p>
              </w:tc>
              <w:tc>
                <w:tcPr>
                  <w:tcW w:w="790" w:type="pct"/>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7697-37-2</w:t>
                  </w:r>
                </w:p>
              </w:tc>
              <w:tc>
                <w:tcPr>
                  <w:tcW w:w="121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0.04675</w:t>
                  </w:r>
                </w:p>
              </w:tc>
              <w:tc>
                <w:tcPr>
                  <w:tcW w:w="732" w:type="pct"/>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7.5</w:t>
                  </w:r>
                </w:p>
              </w:tc>
              <w:tc>
                <w:tcPr>
                  <w:tcW w:w="1581" w:type="dxa"/>
                  <w:noWrap w:val="0"/>
                  <w:vAlign w:val="center"/>
                </w:tcPr>
                <w:p>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0.006233333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741" w:type="pct"/>
                  <w:vMerge w:val="continue"/>
                  <w:noWrap w:val="0"/>
                  <w:vAlign w:val="center"/>
                </w:tcPr>
                <w:p>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p>
              </w:tc>
              <w:tc>
                <w:tcPr>
                  <w:tcW w:w="171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18"/>
                      <w:szCs w:val="18"/>
                      <w:highlight w:val="none"/>
                      <w:lang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氢氟酸（</w:t>
                  </w: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HF</w:t>
                  </w:r>
                  <w:r>
                    <w:rPr>
                      <w:rFonts w:hint="eastAsia" w:cs="Times New Roman"/>
                      <w:color w:val="000000" w:themeColor="text1"/>
                      <w:sz w:val="18"/>
                      <w:szCs w:val="18"/>
                      <w:highlight w:val="none"/>
                      <w:lang w:val="en-US" w:eastAsia="zh-CN"/>
                      <w14:textFill>
                        <w14:solidFill>
                          <w14:schemeClr w14:val="tx1"/>
                        </w14:solidFill>
                      </w14:textFill>
                    </w:rPr>
                    <w:t>）</w:t>
                  </w:r>
                </w:p>
              </w:tc>
              <w:tc>
                <w:tcPr>
                  <w:tcW w:w="790" w:type="pct"/>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7664-39-3</w:t>
                  </w:r>
                </w:p>
              </w:tc>
              <w:tc>
                <w:tcPr>
                  <w:tcW w:w="121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0.01075</w:t>
                  </w:r>
                </w:p>
              </w:tc>
              <w:tc>
                <w:tcPr>
                  <w:tcW w:w="732" w:type="pct"/>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color w:val="000000" w:themeColor="text1"/>
                      <w:sz w:val="18"/>
                      <w:szCs w:val="18"/>
                      <w:highlight w:val="none"/>
                      <w:lang w:val="en-US" w:eastAsia="zh-CN"/>
                      <w14:textFill>
                        <w14:solidFill>
                          <w14:schemeClr w14:val="tx1"/>
                        </w14:solidFill>
                      </w14:textFill>
                    </w:rPr>
                    <w:t>1</w:t>
                  </w:r>
                </w:p>
              </w:tc>
              <w:tc>
                <w:tcPr>
                  <w:tcW w:w="1581" w:type="dxa"/>
                  <w:noWrap w:val="0"/>
                  <w:vAlign w:val="center"/>
                </w:tcPr>
                <w:p>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0.01075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1783" w:type="pct"/>
                  <w:gridSpan w:val="2"/>
                  <w:noWrap w:val="0"/>
                  <w:vAlign w:val="center"/>
                </w:tcPr>
                <w:p>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合计</w:t>
                  </w:r>
                </w:p>
              </w:tc>
              <w:tc>
                <w:tcPr>
                  <w:tcW w:w="790" w:type="pct"/>
                  <w:noWrap w:val="0"/>
                  <w:vAlign w:val="center"/>
                </w:tcPr>
                <w:p>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w:t>
                  </w:r>
                </w:p>
              </w:tc>
              <w:tc>
                <w:tcPr>
                  <w:tcW w:w="734" w:type="pct"/>
                  <w:noWrap w:val="0"/>
                  <w:vAlign w:val="center"/>
                </w:tcPr>
                <w:p>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w:t>
                  </w:r>
                </w:p>
              </w:tc>
              <w:tc>
                <w:tcPr>
                  <w:tcW w:w="732" w:type="pct"/>
                  <w:noWrap w:val="0"/>
                  <w:vAlign w:val="center"/>
                </w:tcPr>
                <w:p>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w:t>
                  </w:r>
                </w:p>
              </w:tc>
              <w:tc>
                <w:tcPr>
                  <w:tcW w:w="1581" w:type="dxa"/>
                  <w:noWrap w:val="0"/>
                  <w:vAlign w:val="center"/>
                </w:tcPr>
                <w:p>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0.917486723</w:t>
                  </w:r>
                </w:p>
              </w:tc>
            </w:tr>
          </w:tbl>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由上表计算结果可知，项目Q=0.917486723＜1，根据《建设项目环境风险评价技术导则》（HJ169-2018），该项目环境风险潜势为I。根据建设项目环境影响报告表编制技术指南（污染影响类），项目各危险物质储存量均为超过临界量，无需进行专项分析。危险物质理化性质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天然气理化性质及毒性数据</w:t>
            </w:r>
          </w:p>
          <w:tbl>
            <w:tblPr>
              <w:tblStyle w:val="21"/>
              <w:tblW w:w="4994"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76"/>
              <w:gridCol w:w="2214"/>
              <w:gridCol w:w="2287"/>
              <w:gridCol w:w="242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b/>
                      <w:color w:val="000000" w:themeColor="text1"/>
                      <w:sz w:val="18"/>
                      <w:szCs w:val="18"/>
                      <w14:textFill>
                        <w14:solidFill>
                          <w14:schemeClr w14:val="tx1"/>
                        </w14:solidFill>
                      </w14:textFill>
                    </w:rPr>
                  </w:pPr>
                  <w:r>
                    <w:rPr>
                      <w:rFonts w:hint="default" w:ascii="Times New Roman" w:hAnsi="Times New Roman" w:cs="Times New Roman"/>
                      <w:b/>
                      <w:color w:val="000000" w:themeColor="text1"/>
                      <w:sz w:val="18"/>
                      <w:szCs w:val="18"/>
                      <w14:textFill>
                        <w14:solidFill>
                          <w14:schemeClr w14:val="tx1"/>
                        </w14:solidFill>
                      </w14:textFill>
                    </w:rPr>
                    <w:t>第一部分    危险性概述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危险性类别：</w:t>
                  </w:r>
                </w:p>
              </w:tc>
              <w:tc>
                <w:tcPr>
                  <w:tcW w:w="13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第2.1类易燃气体。</w:t>
                  </w:r>
                </w:p>
              </w:tc>
              <w:tc>
                <w:tcPr>
                  <w:tcW w:w="137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燃爆危险：</w:t>
                  </w:r>
                </w:p>
              </w:tc>
              <w:tc>
                <w:tcPr>
                  <w:tcW w:w="145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易燃、易爆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侵入途径：</w:t>
                  </w:r>
                </w:p>
              </w:tc>
              <w:tc>
                <w:tcPr>
                  <w:tcW w:w="13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吸入</w:t>
                  </w:r>
                </w:p>
              </w:tc>
              <w:tc>
                <w:tcPr>
                  <w:tcW w:w="137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有害燃烧产物：</w:t>
                  </w:r>
                </w:p>
              </w:tc>
              <w:tc>
                <w:tcPr>
                  <w:tcW w:w="145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一氧化碳、二氧化碳</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健康危害：</w:t>
                  </w:r>
                </w:p>
              </w:tc>
              <w:tc>
                <w:tcPr>
                  <w:tcW w:w="417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kern w:val="0"/>
                      <w:sz w:val="18"/>
                      <w:szCs w:val="18"/>
                      <w14:textFill>
                        <w14:solidFill>
                          <w14:schemeClr w14:val="tx1"/>
                        </w14:solidFill>
                      </w14:textFill>
                    </w:rPr>
                  </w:pPr>
                  <w:r>
                    <w:rPr>
                      <w:rFonts w:hint="default" w:ascii="Times New Roman" w:hAnsi="Times New Roman" w:cs="Times New Roman"/>
                      <w:color w:val="000000" w:themeColor="text1"/>
                      <w:kern w:val="0"/>
                      <w:sz w:val="18"/>
                      <w:szCs w:val="18"/>
                      <w14:textFill>
                        <w14:solidFill>
                          <w14:schemeClr w14:val="tx1"/>
                        </w14:solidFill>
                      </w14:textFill>
                    </w:rPr>
                    <w:t>天然气中毒主要表现在中枢神经系统和心血管系统，轻者头痛、头晕、胸闷、恶心、呕吐、乏力，重者昏迷、紫绀、咳嗽、胸痛、呼吸急促、呼吸困难、抽搐、心律失常，部分病例出现精神症状。有脑水肿、肺水肿、心肌炎、肺炎等并发症。约16.5%中重中毒者留有后遗症，主要表现为神经系统症状头痛、头昏、乏力、多梦、失眠、反应迟钝、记忆力下降，个别有阵发性肌颤、失语、偏瘫，经过适当治疗可以恢复正常，即使严重的后遗症也呈可逆性。长期接触天然气，主要表现为类神经症，头晕、头痛、失眠、记忆力减退、恶心、乏力、食欲不振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环境危害：</w:t>
                  </w:r>
                </w:p>
              </w:tc>
              <w:tc>
                <w:tcPr>
                  <w:tcW w:w="417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该物质对环境有危害，应特别注意对大气的污染。</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b/>
                      <w:color w:val="000000" w:themeColor="text1"/>
                      <w:sz w:val="18"/>
                      <w:szCs w:val="18"/>
                      <w14:textFill>
                        <w14:solidFill>
                          <w14:schemeClr w14:val="tx1"/>
                        </w14:solidFill>
                      </w14:textFill>
                    </w:rPr>
                  </w:pPr>
                  <w:r>
                    <w:rPr>
                      <w:rFonts w:hint="default" w:ascii="Times New Roman" w:hAnsi="Times New Roman" w:cs="Times New Roman"/>
                      <w:b/>
                      <w:color w:val="000000" w:themeColor="text1"/>
                      <w:sz w:val="18"/>
                      <w:szCs w:val="18"/>
                      <w14:textFill>
                        <w14:solidFill>
                          <w14:schemeClr w14:val="tx1"/>
                        </w14:solidFill>
                      </w14:textFill>
                    </w:rPr>
                    <w:t>第二部分   理化特性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外观及性状：</w:t>
                  </w:r>
                </w:p>
              </w:tc>
              <w:tc>
                <w:tcPr>
                  <w:tcW w:w="417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无色无味气体</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闪点（℃）：</w:t>
                  </w:r>
                </w:p>
              </w:tc>
              <w:tc>
                <w:tcPr>
                  <w:tcW w:w="13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-218</w:t>
                  </w:r>
                </w:p>
              </w:tc>
              <w:tc>
                <w:tcPr>
                  <w:tcW w:w="137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密度</w:t>
                  </w:r>
                </w:p>
              </w:tc>
              <w:tc>
                <w:tcPr>
                  <w:tcW w:w="145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0.70kg/Nm</w:t>
                  </w:r>
                  <w:r>
                    <w:rPr>
                      <w:rFonts w:hint="default" w:ascii="Times New Roman" w:hAnsi="Times New Roman" w:cs="Times New Roman"/>
                      <w:color w:val="000000" w:themeColor="text1"/>
                      <w:sz w:val="18"/>
                      <w:szCs w:val="18"/>
                      <w:vertAlign w:val="superscript"/>
                      <w14:textFill>
                        <w14:solidFill>
                          <w14:schemeClr w14:val="tx1"/>
                        </w14:solidFill>
                      </w14:textFill>
                    </w:rPr>
                    <w:t>3</w:t>
                  </w:r>
                  <w:r>
                    <w:rPr>
                      <w:rFonts w:hint="default" w:ascii="Times New Roman" w:hAnsi="Times New Roman" w:cs="Times New Roman"/>
                      <w:color w:val="000000" w:themeColor="text1"/>
                      <w:sz w:val="18"/>
                      <w:szCs w:val="18"/>
                      <w14:textFill>
                        <w14:solidFill>
                          <w14:schemeClr w14:val="tx1"/>
                        </w14:solidFill>
                      </w14:textFill>
                    </w:rPr>
                    <w:t>（气态）；</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自然点（℃）：</w:t>
                  </w:r>
                </w:p>
              </w:tc>
              <w:tc>
                <w:tcPr>
                  <w:tcW w:w="13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500~700</w:t>
                  </w:r>
                </w:p>
              </w:tc>
              <w:tc>
                <w:tcPr>
                  <w:tcW w:w="137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相对密度（空气=1）</w:t>
                  </w:r>
                </w:p>
              </w:tc>
              <w:tc>
                <w:tcPr>
                  <w:tcW w:w="145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0.56～1.0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温度（℃）：</w:t>
                  </w:r>
                </w:p>
              </w:tc>
              <w:tc>
                <w:tcPr>
                  <w:tcW w:w="13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15±5</w:t>
                  </w:r>
                </w:p>
              </w:tc>
              <w:tc>
                <w:tcPr>
                  <w:tcW w:w="137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爆炸上限％（V/V）：</w:t>
                  </w:r>
                </w:p>
              </w:tc>
              <w:tc>
                <w:tcPr>
                  <w:tcW w:w="145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13~17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液化温度（℃）：</w:t>
                  </w:r>
                </w:p>
              </w:tc>
              <w:tc>
                <w:tcPr>
                  <w:tcW w:w="13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-161</w:t>
                  </w:r>
                </w:p>
              </w:tc>
              <w:tc>
                <w:tcPr>
                  <w:tcW w:w="137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爆炸下限％（V/V）：</w:t>
                  </w:r>
                </w:p>
              </w:tc>
              <w:tc>
                <w:tcPr>
                  <w:tcW w:w="145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3.6~6.5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主要用途：</w:t>
                  </w:r>
                </w:p>
              </w:tc>
              <w:tc>
                <w:tcPr>
                  <w:tcW w:w="417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主要用作发电、化工原料、民用及工业燃料、汽车燃料</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b/>
                      <w:color w:val="000000" w:themeColor="text1"/>
                      <w:sz w:val="18"/>
                      <w:szCs w:val="18"/>
                      <w14:textFill>
                        <w14:solidFill>
                          <w14:schemeClr w14:val="tx1"/>
                        </w14:solidFill>
                      </w14:textFill>
                    </w:rPr>
                  </w:pPr>
                  <w:r>
                    <w:rPr>
                      <w:rFonts w:hint="default" w:ascii="Times New Roman" w:hAnsi="Times New Roman" w:cs="Times New Roman"/>
                      <w:b/>
                      <w:color w:val="000000" w:themeColor="text1"/>
                      <w:sz w:val="18"/>
                      <w:szCs w:val="18"/>
                      <w14:textFill>
                        <w14:solidFill>
                          <w14:schemeClr w14:val="tx1"/>
                        </w14:solidFill>
                      </w14:textFill>
                    </w:rPr>
                    <w:t>第三部分   稳定性及化学活性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稳定性：</w:t>
                  </w:r>
                </w:p>
              </w:tc>
              <w:tc>
                <w:tcPr>
                  <w:tcW w:w="13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稳定</w:t>
                  </w:r>
                </w:p>
              </w:tc>
              <w:tc>
                <w:tcPr>
                  <w:tcW w:w="137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避免接触的条件：</w:t>
                  </w:r>
                </w:p>
              </w:tc>
              <w:tc>
                <w:tcPr>
                  <w:tcW w:w="145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明火、高热。</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禁配物：</w:t>
                  </w:r>
                </w:p>
              </w:tc>
              <w:tc>
                <w:tcPr>
                  <w:tcW w:w="13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强氧化剂</w:t>
                  </w:r>
                </w:p>
              </w:tc>
              <w:tc>
                <w:tcPr>
                  <w:tcW w:w="137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聚合危害：</w:t>
                  </w:r>
                </w:p>
              </w:tc>
              <w:tc>
                <w:tcPr>
                  <w:tcW w:w="145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不聚合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b/>
                      <w:color w:val="000000" w:themeColor="text1"/>
                      <w:sz w:val="18"/>
                      <w:szCs w:val="18"/>
                      <w14:textFill>
                        <w14:solidFill>
                          <w14:schemeClr w14:val="tx1"/>
                        </w14:solidFill>
                      </w14:textFill>
                    </w:rPr>
                  </w:pPr>
                  <w:r>
                    <w:rPr>
                      <w:rFonts w:hint="default" w:ascii="Times New Roman" w:hAnsi="Times New Roman" w:cs="Times New Roman"/>
                      <w:b/>
                      <w:color w:val="000000" w:themeColor="text1"/>
                      <w:sz w:val="18"/>
                      <w:szCs w:val="18"/>
                      <w14:textFill>
                        <w14:solidFill>
                          <w14:schemeClr w14:val="tx1"/>
                        </w14:solidFill>
                      </w14:textFill>
                    </w:rPr>
                    <w:t>第四部分  毒理学资料</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急性中毒：</w:t>
                  </w:r>
                </w:p>
              </w:tc>
              <w:tc>
                <w:tcPr>
                  <w:tcW w:w="417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主要为中枢神经系统和心血管系统，约16.5%中重中毒者留有后遗症，主要表现为神经系统症状头痛、头昏、乏力、多梦、失眠、反应迟钝、记忆力下降，个别有阵发性肌颤、失语、偏瘫，经过适当治疗可以恢复正常，即使严重的后遗症也呈可逆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慢性中毒：</w:t>
                  </w:r>
                </w:p>
              </w:tc>
              <w:tc>
                <w:tcPr>
                  <w:tcW w:w="417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14:textFill>
                        <w14:solidFill>
                          <w14:schemeClr w14:val="tx1"/>
                        </w14:solidFill>
                      </w14:textFill>
                    </w:rPr>
                  </w:pPr>
                  <w:r>
                    <w:rPr>
                      <w:rFonts w:hint="default" w:ascii="Times New Roman" w:hAnsi="Times New Roman" w:cs="Times New Roman"/>
                      <w:color w:val="000000" w:themeColor="text1"/>
                      <w:sz w:val="18"/>
                      <w:szCs w:val="18"/>
                      <w14:textFill>
                        <w14:solidFill>
                          <w14:schemeClr w14:val="tx1"/>
                        </w14:solidFill>
                      </w14:textFill>
                    </w:rPr>
                    <w:t>头痛、头晕、胸闷、恶心、呕吐、乏力，重者昏迷、紫绀、咳嗽、胸痛、呼吸急促、呼吸困难、抽搐、心律失常，部分病例出现精神症状。</w:t>
                  </w:r>
                </w:p>
              </w:tc>
            </w:tr>
          </w:tbl>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丙烷理化性质及毒性数据</w:t>
            </w:r>
          </w:p>
          <w:tbl>
            <w:tblPr>
              <w:tblStyle w:val="21"/>
              <w:tblW w:w="4994"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76"/>
              <w:gridCol w:w="2214"/>
              <w:gridCol w:w="2287"/>
              <w:gridCol w:w="242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b/>
                      <w:color w:val="000000" w:themeColor="text1"/>
                      <w:sz w:val="18"/>
                      <w:szCs w:val="18"/>
                      <w:highlight w:val="none"/>
                      <w14:textFill>
                        <w14:solidFill>
                          <w14:schemeClr w14:val="tx1"/>
                        </w14:solidFill>
                      </w14:textFill>
                    </w:rPr>
                  </w:pPr>
                  <w:r>
                    <w:rPr>
                      <w:rFonts w:hint="default" w:ascii="Times New Roman" w:hAnsi="Times New Roman" w:cs="Times New Roman"/>
                      <w:b/>
                      <w:color w:val="000000" w:themeColor="text1"/>
                      <w:sz w:val="18"/>
                      <w:szCs w:val="18"/>
                      <w:highlight w:val="none"/>
                      <w14:textFill>
                        <w14:solidFill>
                          <w14:schemeClr w14:val="tx1"/>
                        </w14:solidFill>
                      </w14:textFill>
                    </w:rPr>
                    <w:t>第一部分    危险性概述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危险性类别：</w:t>
                  </w:r>
                </w:p>
              </w:tc>
              <w:tc>
                <w:tcPr>
                  <w:tcW w:w="13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第2.1类易燃气体。</w:t>
                  </w:r>
                </w:p>
              </w:tc>
              <w:tc>
                <w:tcPr>
                  <w:tcW w:w="137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燃爆危险：</w:t>
                  </w:r>
                </w:p>
              </w:tc>
              <w:tc>
                <w:tcPr>
                  <w:tcW w:w="145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易燃、易爆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侵入途径：</w:t>
                  </w:r>
                </w:p>
              </w:tc>
              <w:tc>
                <w:tcPr>
                  <w:tcW w:w="13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吸入</w:t>
                  </w:r>
                </w:p>
              </w:tc>
              <w:tc>
                <w:tcPr>
                  <w:tcW w:w="137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有害燃烧产物：</w:t>
                  </w:r>
                </w:p>
              </w:tc>
              <w:tc>
                <w:tcPr>
                  <w:tcW w:w="145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一氧化碳、二氧化碳</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健康危害：</w:t>
                  </w:r>
                </w:p>
              </w:tc>
              <w:tc>
                <w:tcPr>
                  <w:tcW w:w="417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eastAsia="宋体" w:cs="Times New Roman"/>
                      <w:color w:val="000000" w:themeColor="text1"/>
                      <w:kern w:val="0"/>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丙烷有单纯性窒息及麻醉作用。人短暂接触浓度为1%的丙烷，不引起异常症状；接触10%以下浓度的丙烷，只引起轻度头晕；接触高浓度丙烷时，可出现麻醉状态、意识丧失；接触极高浓度丙烷时，可致窒息。急性中毒时，有头晕、头痛、兴奋或嗜睡、恶心、呕吐、脉缓等症状；严重者可突然倒下、尿失禁、意识丧失，甚至呼吸停止。可致皮肤冻伤。长期接触低浓度丙烷者，可出现头痛、头晕、睡眠不佳、易疲劳、情绪不稳以及植物神经功能紊乱等症状</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环境危害：</w:t>
                  </w:r>
                </w:p>
              </w:tc>
              <w:tc>
                <w:tcPr>
                  <w:tcW w:w="417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该物质对环境有危害，应特别注意对大气的污染。</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b/>
                      <w:color w:val="000000" w:themeColor="text1"/>
                      <w:sz w:val="18"/>
                      <w:szCs w:val="18"/>
                      <w:highlight w:val="none"/>
                      <w14:textFill>
                        <w14:solidFill>
                          <w14:schemeClr w14:val="tx1"/>
                        </w14:solidFill>
                      </w14:textFill>
                    </w:rPr>
                  </w:pPr>
                  <w:r>
                    <w:rPr>
                      <w:rFonts w:hint="default" w:ascii="Times New Roman" w:hAnsi="Times New Roman" w:cs="Times New Roman"/>
                      <w:b/>
                      <w:color w:val="000000" w:themeColor="text1"/>
                      <w:sz w:val="18"/>
                      <w:szCs w:val="18"/>
                      <w:highlight w:val="none"/>
                      <w14:textFill>
                        <w14:solidFill>
                          <w14:schemeClr w14:val="tx1"/>
                        </w14:solidFill>
                      </w14:textFill>
                    </w:rPr>
                    <w:t>第二部分   理化特性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外观及性状：</w:t>
                  </w:r>
                </w:p>
              </w:tc>
              <w:tc>
                <w:tcPr>
                  <w:tcW w:w="417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无色气体，纯品无臭。</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闪点（℃）：</w:t>
                  </w:r>
                </w:p>
              </w:tc>
              <w:tc>
                <w:tcPr>
                  <w:tcW w:w="13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104</w:t>
                  </w:r>
                </w:p>
              </w:tc>
              <w:tc>
                <w:tcPr>
                  <w:tcW w:w="137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相对蒸气密度(空气=1)：</w:t>
                  </w:r>
                </w:p>
              </w:tc>
              <w:tc>
                <w:tcPr>
                  <w:tcW w:w="145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1.56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自然</w:t>
                  </w:r>
                  <w:r>
                    <w:rPr>
                      <w:rFonts w:hint="default" w:ascii="Times New Roman" w:hAnsi="Times New Roman" w:cs="Times New Roman"/>
                      <w:color w:val="000000" w:themeColor="text1"/>
                      <w:sz w:val="18"/>
                      <w:szCs w:val="18"/>
                      <w:highlight w:val="none"/>
                      <w:lang w:eastAsia="zh-CN"/>
                      <w14:textFill>
                        <w14:solidFill>
                          <w14:schemeClr w14:val="tx1"/>
                        </w14:solidFill>
                      </w14:textFill>
                    </w:rPr>
                    <w:t>温度（</w:t>
                  </w:r>
                  <w:r>
                    <w:rPr>
                      <w:rFonts w:hint="default" w:ascii="Times New Roman" w:hAnsi="Times New Roman" w:cs="Times New Roman"/>
                      <w:color w:val="000000" w:themeColor="text1"/>
                      <w:sz w:val="18"/>
                      <w:szCs w:val="18"/>
                      <w:highlight w:val="none"/>
                      <w14:textFill>
                        <w14:solidFill>
                          <w14:schemeClr w14:val="tx1"/>
                        </w14:solidFill>
                      </w14:textFill>
                    </w:rPr>
                    <w:t>℃</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r>
                    <w:rPr>
                      <w:rFonts w:hint="default" w:ascii="Times New Roman" w:hAnsi="Times New Roman" w:cs="Times New Roman"/>
                      <w:color w:val="000000" w:themeColor="text1"/>
                      <w:sz w:val="18"/>
                      <w:szCs w:val="18"/>
                      <w:highlight w:val="none"/>
                      <w14:textFill>
                        <w14:solidFill>
                          <w14:schemeClr w14:val="tx1"/>
                        </w14:solidFill>
                      </w14:textFill>
                    </w:rPr>
                    <w:t>：</w:t>
                  </w:r>
                </w:p>
              </w:tc>
              <w:tc>
                <w:tcPr>
                  <w:tcW w:w="13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450</w:t>
                  </w:r>
                </w:p>
              </w:tc>
              <w:tc>
                <w:tcPr>
                  <w:tcW w:w="137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相对密度（</w:t>
                  </w:r>
                  <w:r>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t>水</w:t>
                  </w:r>
                  <w:r>
                    <w:rPr>
                      <w:rFonts w:hint="default" w:ascii="Times New Roman" w:hAnsi="Times New Roman" w:eastAsia="宋体" w:cs="Times New Roman"/>
                      <w:color w:val="000000" w:themeColor="text1"/>
                      <w:sz w:val="18"/>
                      <w:szCs w:val="18"/>
                      <w:highlight w:val="none"/>
                      <w14:textFill>
                        <w14:solidFill>
                          <w14:schemeClr w14:val="tx1"/>
                        </w14:solidFill>
                      </w14:textFill>
                    </w:rPr>
                    <w:t>=1）</w:t>
                  </w:r>
                </w:p>
              </w:tc>
              <w:tc>
                <w:tcPr>
                  <w:tcW w:w="145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0.58(-44.5℃)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沸点</w:t>
                  </w:r>
                  <w:r>
                    <w:rPr>
                      <w:rFonts w:hint="default" w:ascii="Times New Roman" w:hAnsi="Times New Roman" w:cs="Times New Roman"/>
                      <w:color w:val="000000" w:themeColor="text1"/>
                      <w:sz w:val="18"/>
                      <w:szCs w:val="18"/>
                      <w:highlight w:val="none"/>
                      <w14:textFill>
                        <w14:solidFill>
                          <w14:schemeClr w14:val="tx1"/>
                        </w14:solidFill>
                      </w14:textFill>
                    </w:rPr>
                    <w:t>（℃）：</w:t>
                  </w:r>
                </w:p>
              </w:tc>
              <w:tc>
                <w:tcPr>
                  <w:tcW w:w="13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-42.1</w:t>
                  </w:r>
                </w:p>
              </w:tc>
              <w:tc>
                <w:tcPr>
                  <w:tcW w:w="137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爆炸上限％（V/V）：</w:t>
                  </w:r>
                </w:p>
              </w:tc>
              <w:tc>
                <w:tcPr>
                  <w:tcW w:w="145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9.5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lang w:eastAsia="zh-CN"/>
                      <w14:textFill>
                        <w14:solidFill>
                          <w14:schemeClr w14:val="tx1"/>
                        </w14:solidFill>
                      </w14:textFill>
                    </w:rPr>
                  </w:pPr>
                  <w:r>
                    <w:rPr>
                      <w:rFonts w:hint="default" w:ascii="Times New Roman" w:hAnsi="Times New Roman" w:cs="Times New Roman"/>
                      <w:color w:val="000000" w:themeColor="text1"/>
                      <w:sz w:val="18"/>
                      <w:szCs w:val="18"/>
                      <w:highlight w:val="none"/>
                      <w:lang w:eastAsia="zh-CN"/>
                      <w14:textFill>
                        <w14:solidFill>
                          <w14:schemeClr w14:val="tx1"/>
                        </w14:solidFill>
                      </w14:textFill>
                    </w:rPr>
                    <w:t>燃烧热（</w:t>
                  </w: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kg/mol</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p>
              </w:tc>
              <w:tc>
                <w:tcPr>
                  <w:tcW w:w="13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2217.8</w:t>
                  </w:r>
                </w:p>
              </w:tc>
              <w:tc>
                <w:tcPr>
                  <w:tcW w:w="137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爆炸下限％（V/V）：</w:t>
                  </w:r>
                </w:p>
              </w:tc>
              <w:tc>
                <w:tcPr>
                  <w:tcW w:w="145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cs="Times New Roman"/>
                      <w:color w:val="000000" w:themeColor="text1"/>
                      <w:sz w:val="18"/>
                      <w:szCs w:val="18"/>
                      <w:highlight w:val="none"/>
                      <w:lang w:val="en-US" w:eastAsia="zh-CN"/>
                      <w14:textFill>
                        <w14:solidFill>
                          <w14:schemeClr w14:val="tx1"/>
                        </w14:solidFill>
                      </w14:textFill>
                    </w:rPr>
                    <w:t>2.1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b/>
                      <w:color w:val="000000" w:themeColor="text1"/>
                      <w:sz w:val="18"/>
                      <w:szCs w:val="18"/>
                      <w:highlight w:val="none"/>
                      <w14:textFill>
                        <w14:solidFill>
                          <w14:schemeClr w14:val="tx1"/>
                        </w14:solidFill>
                      </w14:textFill>
                    </w:rPr>
                  </w:pPr>
                  <w:r>
                    <w:rPr>
                      <w:rFonts w:hint="default" w:ascii="Times New Roman" w:hAnsi="Times New Roman" w:cs="Times New Roman"/>
                      <w:b/>
                      <w:color w:val="000000" w:themeColor="text1"/>
                      <w:sz w:val="18"/>
                      <w:szCs w:val="18"/>
                      <w:highlight w:val="none"/>
                      <w14:textFill>
                        <w14:solidFill>
                          <w14:schemeClr w14:val="tx1"/>
                        </w14:solidFill>
                      </w14:textFill>
                    </w:rPr>
                    <w:t>第三部分   稳定性及化学活性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稳定性：</w:t>
                  </w:r>
                </w:p>
              </w:tc>
              <w:tc>
                <w:tcPr>
                  <w:tcW w:w="13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稳定</w:t>
                  </w:r>
                </w:p>
              </w:tc>
              <w:tc>
                <w:tcPr>
                  <w:tcW w:w="137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避免接触的条件：</w:t>
                  </w:r>
                </w:p>
              </w:tc>
              <w:tc>
                <w:tcPr>
                  <w:tcW w:w="145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明火、高热。</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禁配物：</w:t>
                  </w:r>
                </w:p>
              </w:tc>
              <w:tc>
                <w:tcPr>
                  <w:tcW w:w="133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强氧化剂</w:t>
                  </w:r>
                </w:p>
              </w:tc>
              <w:tc>
                <w:tcPr>
                  <w:tcW w:w="1378"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聚合危害：</w:t>
                  </w:r>
                </w:p>
              </w:tc>
              <w:tc>
                <w:tcPr>
                  <w:tcW w:w="1456"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不聚合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b/>
                      <w:color w:val="000000" w:themeColor="text1"/>
                      <w:sz w:val="18"/>
                      <w:szCs w:val="18"/>
                      <w:highlight w:val="cyan"/>
                      <w14:textFill>
                        <w14:solidFill>
                          <w14:schemeClr w14:val="tx1"/>
                        </w14:solidFill>
                      </w14:textFill>
                    </w:rPr>
                  </w:pPr>
                  <w:r>
                    <w:rPr>
                      <w:rFonts w:hint="default" w:ascii="Times New Roman" w:hAnsi="Times New Roman" w:cs="Times New Roman"/>
                      <w:b/>
                      <w:color w:val="000000" w:themeColor="text1"/>
                      <w:sz w:val="18"/>
                      <w:szCs w:val="18"/>
                      <w:highlight w:val="none"/>
                      <w14:textFill>
                        <w14:solidFill>
                          <w14:schemeClr w14:val="tx1"/>
                        </w14:solidFill>
                      </w14:textFill>
                    </w:rPr>
                    <w:t>第四部分  毒理学资料</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急性中毒：</w:t>
                  </w:r>
                </w:p>
              </w:tc>
              <w:tc>
                <w:tcPr>
                  <w:tcW w:w="417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急性中毒时，有头晕、头痛、兴奋或嗜睡、恶心、呕吐、脉缓等症状；严重者可突然倒下、尿失禁、意识丧失，甚至呼吸停止。可致皮肤冻伤。</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9"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sz w:val="18"/>
                      <w:szCs w:val="18"/>
                      <w:highlight w:val="none"/>
                      <w14:textFill>
                        <w14:solidFill>
                          <w14:schemeClr w14:val="tx1"/>
                        </w14:solidFill>
                      </w14:textFill>
                    </w:rPr>
                    <w:t>慢性中毒：</w:t>
                  </w:r>
                </w:p>
              </w:tc>
              <w:tc>
                <w:tcPr>
                  <w:tcW w:w="417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18"/>
                      <w:szCs w:val="18"/>
                      <w:highlight w:val="none"/>
                      <w14:textFill>
                        <w14:solidFill>
                          <w14:schemeClr w14:val="tx1"/>
                        </w14:solidFill>
                      </w14:textFill>
                    </w:rPr>
                  </w:pPr>
                  <w:r>
                    <w:rPr>
                      <w:rFonts w:hint="default" w:ascii="Times New Roman" w:hAnsi="Times New Roman" w:cs="Times New Roman"/>
                      <w:color w:val="000000" w:themeColor="text1"/>
                      <w:kern w:val="0"/>
                      <w:sz w:val="18"/>
                      <w:szCs w:val="18"/>
                      <w:highlight w:val="none"/>
                      <w14:textFill>
                        <w14:solidFill>
                          <w14:schemeClr w14:val="tx1"/>
                        </w14:solidFill>
                      </w14:textFill>
                    </w:rPr>
                    <w:t>长期接触低浓度丙烷者，可出现头痛、头晕、睡眠不佳、易疲劳、情绪不稳以及植物神经功能紊乱等症状</w:t>
                  </w:r>
                  <w:r>
                    <w:rPr>
                      <w:rFonts w:hint="default" w:ascii="Times New Roman" w:hAnsi="Times New Roman" w:cs="Times New Roman"/>
                      <w:color w:val="000000" w:themeColor="text1"/>
                      <w:kern w:val="0"/>
                      <w:sz w:val="18"/>
                      <w:szCs w:val="18"/>
                      <w:highlight w:val="none"/>
                      <w:lang w:val="en-US" w:eastAsia="zh-CN"/>
                      <w14:textFill>
                        <w14:solidFill>
                          <w14:schemeClr w14:val="tx1"/>
                        </w14:solidFill>
                      </w14:textFill>
                    </w:rPr>
                    <w:t>.</w:t>
                  </w:r>
                </w:p>
              </w:tc>
            </w:tr>
          </w:tbl>
          <w:p>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Chars="0" w:right="0" w:rightChars="0"/>
              <w:jc w:val="both"/>
              <w:textAlignment w:val="auto"/>
              <w:rPr>
                <w:rFonts w:hint="eastAsia" w:ascii="Times New Roman" w:hAnsi="Times New Roman" w:eastAsia="黑体" w:cs="Times New Roman"/>
                <w:color w:val="000000" w:themeColor="text1"/>
                <w:sz w:val="21"/>
                <w:szCs w:val="21"/>
                <w:highlight w:val="none"/>
                <w:lang w:val="en-US" w:eastAsia="zh-CN"/>
                <w14:textFill>
                  <w14:solidFill>
                    <w14:schemeClr w14:val="tx1"/>
                  </w14:solidFill>
                </w14:textFill>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eastAsia" w:eastAsia="黑体" w:cs="Times New Roman"/>
                <w:color w:val="000000" w:themeColor="text1"/>
                <w:sz w:val="21"/>
                <w:szCs w:val="21"/>
                <w:highlight w:val="none"/>
                <w:lang w:val="en-US" w:eastAsia="zh-CN"/>
                <w14:textFill>
                  <w14:solidFill>
                    <w14:schemeClr w14:val="tx1"/>
                  </w14:solidFill>
                </w14:textFill>
              </w:rPr>
              <w:t>硝酸（HNO</w:t>
            </w:r>
            <w:r>
              <w:rPr>
                <w:rFonts w:hint="eastAsia" w:eastAsia="黑体" w:cs="Times New Roman"/>
                <w:color w:val="000000" w:themeColor="text1"/>
                <w:sz w:val="21"/>
                <w:szCs w:val="21"/>
                <w:highlight w:val="none"/>
                <w:vertAlign w:val="subscript"/>
                <w:lang w:val="en-US" w:eastAsia="zh-CN"/>
                <w14:textFill>
                  <w14:solidFill>
                    <w14:schemeClr w14:val="tx1"/>
                  </w14:solidFill>
                </w14:textFill>
              </w:rPr>
              <w:t>3</w:t>
            </w:r>
            <w:r>
              <w:rPr>
                <w:rFonts w:hint="eastAsia" w:eastAsia="黑体"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黑体" w:cs="Times New Roman"/>
                <w:color w:val="000000" w:themeColor="text1"/>
                <w:sz w:val="21"/>
                <w:szCs w:val="21"/>
                <w:highlight w:val="none"/>
                <w:lang w:val="en-US" w:eastAsia="zh-CN"/>
                <w14:textFill>
                  <w14:solidFill>
                    <w14:schemeClr w14:val="tx1"/>
                  </w14:solidFill>
                </w14:textFill>
              </w:rPr>
              <w:t>理化性质及毒性数据</w:t>
            </w:r>
          </w:p>
          <w:tbl>
            <w:tblPr>
              <w:tblStyle w:val="2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2403"/>
              <w:gridCol w:w="333"/>
              <w:gridCol w:w="471"/>
              <w:gridCol w:w="1397"/>
              <w:gridCol w:w="585"/>
              <w:gridCol w:w="2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2"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标识</w:t>
                  </w:r>
                </w:p>
              </w:tc>
              <w:tc>
                <w:tcPr>
                  <w:tcW w:w="1934" w:type="pct"/>
                  <w:gridSpan w:val="3"/>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中文名：硝酸</w:t>
                  </w:r>
                </w:p>
              </w:tc>
              <w:tc>
                <w:tcPr>
                  <w:tcW w:w="2552" w:type="pct"/>
                  <w:gridSpan w:val="3"/>
                  <w:tcBorders>
                    <w:top w:val="single" w:color="auto" w:sz="4" w:space="0"/>
                    <w:left w:val="single" w:color="auto" w:sz="4" w:space="0"/>
                    <w:bottom w:val="single" w:color="auto" w:sz="4" w:space="0"/>
                    <w:right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英文名：</w:t>
                  </w:r>
                  <w:r>
                    <w:rPr>
                      <w:color w:val="000000" w:themeColor="text1"/>
                      <w:sz w:val="18"/>
                      <w:szCs w:val="18"/>
                      <w14:textFill>
                        <w14:solidFill>
                          <w14:schemeClr w14:val="tx1"/>
                        </w14:solidFill>
                      </w14:textFill>
                    </w:rPr>
                    <w:t>nitric acid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2" w:type="pct"/>
                  <w:vMerge w:val="continue"/>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1650" w:type="pct"/>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分子式：</w:t>
                  </w:r>
                  <w:r>
                    <w:rPr>
                      <w:color w:val="000000" w:themeColor="text1"/>
                      <w:sz w:val="18"/>
                      <w:szCs w:val="18"/>
                      <w14:textFill>
                        <w14:solidFill>
                          <w14:schemeClr w14:val="tx1"/>
                        </w14:solidFill>
                      </w14:textFill>
                    </w:rPr>
                    <w:t>HNO</w:t>
                  </w:r>
                  <w:r>
                    <w:rPr>
                      <w:color w:val="000000" w:themeColor="text1"/>
                      <w:sz w:val="18"/>
                      <w:szCs w:val="18"/>
                      <w:vertAlign w:val="subscript"/>
                      <w14:textFill>
                        <w14:solidFill>
                          <w14:schemeClr w14:val="tx1"/>
                        </w14:solidFill>
                      </w14:textFill>
                    </w:rPr>
                    <w:t>3</w:t>
                  </w:r>
                </w:p>
              </w:tc>
              <w:tc>
                <w:tcPr>
                  <w:tcW w:w="1479" w:type="pct"/>
                  <w:gridSpan w:val="3"/>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分子量：</w:t>
                  </w:r>
                  <w:r>
                    <w:rPr>
                      <w:color w:val="000000" w:themeColor="text1"/>
                      <w:sz w:val="18"/>
                      <w:szCs w:val="18"/>
                      <w14:textFill>
                        <w14:solidFill>
                          <w14:schemeClr w14:val="tx1"/>
                        </w14:solidFill>
                      </w14:textFill>
                    </w:rPr>
                    <w:t>63.01</w:t>
                  </w:r>
                </w:p>
              </w:tc>
              <w:tc>
                <w:tcPr>
                  <w:tcW w:w="1357" w:type="pct"/>
                  <w:tcBorders>
                    <w:top w:val="single" w:color="auto" w:sz="4" w:space="0"/>
                    <w:left w:val="single" w:color="auto" w:sz="4" w:space="0"/>
                    <w:bottom w:val="single" w:color="auto" w:sz="4" w:space="0"/>
                    <w:right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CAS</w:t>
                  </w:r>
                  <w:r>
                    <w:rPr>
                      <w:rFonts w:hint="eastAsia"/>
                      <w:color w:val="000000" w:themeColor="text1"/>
                      <w:sz w:val="18"/>
                      <w:szCs w:val="18"/>
                      <w14:textFill>
                        <w14:solidFill>
                          <w14:schemeClr w14:val="tx1"/>
                        </w14:solidFill>
                      </w14:textFill>
                    </w:rPr>
                    <w:t>号：</w:t>
                  </w:r>
                  <w:r>
                    <w:rPr>
                      <w:color w:val="000000" w:themeColor="text1"/>
                      <w:sz w:val="18"/>
                      <w:szCs w:val="18"/>
                      <w14:textFill>
                        <w14:solidFill>
                          <w14:schemeClr w14:val="tx1"/>
                        </w14:solidFill>
                      </w14:textFill>
                    </w:rPr>
                    <w:t>7697</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37</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2" w:type="pct"/>
                  <w:vMerge w:val="continue"/>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4487" w:type="pct"/>
                  <w:gridSpan w:val="6"/>
                  <w:tcBorders>
                    <w:top w:val="single" w:color="auto" w:sz="4" w:space="0"/>
                    <w:left w:val="single" w:color="auto" w:sz="4" w:space="0"/>
                    <w:bottom w:val="single" w:color="auto" w:sz="4" w:space="0"/>
                    <w:right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危规号：</w:t>
                  </w:r>
                  <w:r>
                    <w:rPr>
                      <w:color w:val="000000" w:themeColor="text1"/>
                      <w:sz w:val="18"/>
                      <w:szCs w:val="18"/>
                      <w14:textFill>
                        <w14:solidFill>
                          <w14:schemeClr w14:val="tx1"/>
                        </w14:solidFill>
                      </w14:textFill>
                    </w:rPr>
                    <w:t>81002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2" w:type="pct"/>
                  <w:vMerge w:val="restart"/>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理化性质</w:t>
                  </w:r>
                </w:p>
              </w:tc>
              <w:tc>
                <w:tcPr>
                  <w:tcW w:w="4487" w:type="pct"/>
                  <w:gridSpan w:val="6"/>
                  <w:tcBorders>
                    <w:top w:val="single" w:color="auto" w:sz="4" w:space="0"/>
                    <w:left w:val="single" w:color="auto" w:sz="4" w:space="0"/>
                    <w:bottom w:val="single" w:color="auto" w:sz="4" w:space="0"/>
                    <w:right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性状：无色透明发烟液体，有酸味。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2" w:type="pct"/>
                  <w:vMerge w:val="continue"/>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4487" w:type="pct"/>
                  <w:gridSpan w:val="6"/>
                  <w:tcBorders>
                    <w:top w:val="single" w:color="auto" w:sz="4" w:space="0"/>
                    <w:left w:val="single" w:color="auto" w:sz="4" w:space="0"/>
                    <w:bottom w:val="single" w:color="auto" w:sz="4" w:space="0"/>
                    <w:right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溶解性：与水混溶。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2" w:type="pct"/>
                  <w:vMerge w:val="continue"/>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1449"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熔点（℃）：－</w:t>
                  </w:r>
                  <w:r>
                    <w:rPr>
                      <w:color w:val="000000" w:themeColor="text1"/>
                      <w:sz w:val="18"/>
                      <w:szCs w:val="18"/>
                      <w14:textFill>
                        <w14:solidFill>
                          <w14:schemeClr w14:val="tx1"/>
                        </w14:solidFill>
                      </w14:textFill>
                    </w:rPr>
                    <w:t>42</w:t>
                  </w:r>
                  <w:r>
                    <w:rPr>
                      <w:rFonts w:hint="eastAsia"/>
                      <w:color w:val="000000" w:themeColor="text1"/>
                      <w:sz w:val="18"/>
                      <w:szCs w:val="18"/>
                      <w14:textFill>
                        <w14:solidFill>
                          <w14:schemeClr w14:val="tx1"/>
                        </w14:solidFill>
                      </w14:textFill>
                    </w:rPr>
                    <w:t>（无水）</w:t>
                  </w:r>
                </w:p>
              </w:tc>
              <w:tc>
                <w:tcPr>
                  <w:tcW w:w="1327" w:type="pct"/>
                  <w:gridSpan w:val="3"/>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沸点（℃）：</w:t>
                  </w:r>
                  <w:r>
                    <w:rPr>
                      <w:color w:val="000000" w:themeColor="text1"/>
                      <w:sz w:val="18"/>
                      <w:szCs w:val="18"/>
                      <w14:textFill>
                        <w14:solidFill>
                          <w14:schemeClr w14:val="tx1"/>
                        </w14:solidFill>
                      </w14:textFill>
                    </w:rPr>
                    <w:t>86</w:t>
                  </w:r>
                  <w:r>
                    <w:rPr>
                      <w:rFonts w:hint="eastAsia"/>
                      <w:color w:val="000000" w:themeColor="text1"/>
                      <w:sz w:val="18"/>
                      <w:szCs w:val="18"/>
                      <w14:textFill>
                        <w14:solidFill>
                          <w14:schemeClr w14:val="tx1"/>
                        </w14:solidFill>
                      </w14:textFill>
                    </w:rPr>
                    <w:t>（无水）</w:t>
                  </w:r>
                </w:p>
              </w:tc>
              <w:tc>
                <w:tcPr>
                  <w:tcW w:w="1709" w:type="pct"/>
                  <w:gridSpan w:val="2"/>
                  <w:tcBorders>
                    <w:top w:val="single" w:color="auto" w:sz="4" w:space="0"/>
                    <w:left w:val="single" w:color="auto" w:sz="4" w:space="0"/>
                    <w:bottom w:val="single" w:color="auto" w:sz="4" w:space="0"/>
                    <w:right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相对密度（水＝</w:t>
                  </w:r>
                  <w:r>
                    <w:rPr>
                      <w:color w:val="000000" w:themeColor="text1"/>
                      <w:sz w:val="18"/>
                      <w:szCs w:val="18"/>
                      <w14:textFill>
                        <w14:solidFill>
                          <w14:schemeClr w14:val="tx1"/>
                        </w14:solidFill>
                      </w14:textFill>
                    </w:rPr>
                    <w:t>1</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1.50</w:t>
                  </w:r>
                  <w:r>
                    <w:rPr>
                      <w:rFonts w:hint="eastAsia"/>
                      <w:color w:val="000000" w:themeColor="text1"/>
                      <w:sz w:val="18"/>
                      <w:szCs w:val="18"/>
                      <w14:textFill>
                        <w14:solidFill>
                          <w14:schemeClr w14:val="tx1"/>
                        </w14:solidFill>
                      </w14:textFill>
                    </w:rPr>
                    <w:t>（无水）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2" w:type="pct"/>
                  <w:vMerge w:val="continue"/>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1449"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临界温度（℃）：</w:t>
                  </w:r>
                </w:p>
              </w:tc>
              <w:tc>
                <w:tcPr>
                  <w:tcW w:w="1327" w:type="pct"/>
                  <w:gridSpan w:val="3"/>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临界压力（</w:t>
                  </w:r>
                  <w:r>
                    <w:rPr>
                      <w:color w:val="000000" w:themeColor="text1"/>
                      <w:sz w:val="18"/>
                      <w:szCs w:val="18"/>
                      <w14:textFill>
                        <w14:solidFill>
                          <w14:schemeClr w14:val="tx1"/>
                        </w14:solidFill>
                      </w14:textFill>
                    </w:rPr>
                    <w:t>MPa</w:t>
                  </w:r>
                  <w:r>
                    <w:rPr>
                      <w:rFonts w:hint="eastAsia"/>
                      <w:color w:val="000000" w:themeColor="text1"/>
                      <w:sz w:val="18"/>
                      <w:szCs w:val="18"/>
                      <w14:textFill>
                        <w14:solidFill>
                          <w14:schemeClr w14:val="tx1"/>
                        </w14:solidFill>
                      </w14:textFill>
                    </w:rPr>
                    <w:t>）：</w:t>
                  </w:r>
                </w:p>
              </w:tc>
              <w:tc>
                <w:tcPr>
                  <w:tcW w:w="1709" w:type="pct"/>
                  <w:gridSpan w:val="2"/>
                  <w:tcBorders>
                    <w:top w:val="single" w:color="auto" w:sz="4" w:space="0"/>
                    <w:left w:val="single" w:color="auto" w:sz="4" w:space="0"/>
                    <w:bottom w:val="single" w:color="auto" w:sz="4" w:space="0"/>
                    <w:right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相对密度（空气＝</w:t>
                  </w:r>
                  <w:r>
                    <w:rPr>
                      <w:color w:val="000000" w:themeColor="text1"/>
                      <w:sz w:val="18"/>
                      <w:szCs w:val="18"/>
                      <w14:textFill>
                        <w14:solidFill>
                          <w14:schemeClr w14:val="tx1"/>
                        </w14:solidFill>
                      </w14:textFill>
                    </w:rPr>
                    <w:t>1</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2.17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2" w:type="pct"/>
                  <w:vMerge w:val="continue"/>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1449"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燃烧热（</w:t>
                  </w:r>
                  <w:r>
                    <w:rPr>
                      <w:color w:val="000000" w:themeColor="text1"/>
                      <w:sz w:val="18"/>
                      <w:szCs w:val="18"/>
                      <w14:textFill>
                        <w14:solidFill>
                          <w14:schemeClr w14:val="tx1"/>
                        </w14:solidFill>
                      </w14:textFill>
                    </w:rPr>
                    <w:t>KJ/mol</w:t>
                  </w:r>
                  <w:r>
                    <w:rPr>
                      <w:rFonts w:hint="eastAsia"/>
                      <w:color w:val="000000" w:themeColor="text1"/>
                      <w:sz w:val="18"/>
                      <w:szCs w:val="18"/>
                      <w14:textFill>
                        <w14:solidFill>
                          <w14:schemeClr w14:val="tx1"/>
                        </w14:solidFill>
                      </w14:textFill>
                    </w:rPr>
                    <w:t>）：无意义</w:t>
                  </w:r>
                </w:p>
              </w:tc>
              <w:tc>
                <w:tcPr>
                  <w:tcW w:w="1327" w:type="pct"/>
                  <w:gridSpan w:val="3"/>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最小点火能（</w:t>
                  </w:r>
                  <w:r>
                    <w:rPr>
                      <w:color w:val="000000" w:themeColor="text1"/>
                      <w:sz w:val="18"/>
                      <w:szCs w:val="18"/>
                      <w14:textFill>
                        <w14:solidFill>
                          <w14:schemeClr w14:val="tx1"/>
                        </w14:solidFill>
                      </w14:textFill>
                    </w:rPr>
                    <w:t>mJ</w:t>
                  </w:r>
                  <w:r>
                    <w:rPr>
                      <w:rFonts w:hint="eastAsia"/>
                      <w:color w:val="000000" w:themeColor="text1"/>
                      <w:sz w:val="18"/>
                      <w:szCs w:val="18"/>
                      <w14:textFill>
                        <w14:solidFill>
                          <w14:schemeClr w14:val="tx1"/>
                        </w14:solidFill>
                      </w14:textFill>
                    </w:rPr>
                    <w:t>）：</w:t>
                  </w:r>
                </w:p>
              </w:tc>
              <w:tc>
                <w:tcPr>
                  <w:tcW w:w="1709" w:type="pct"/>
                  <w:gridSpan w:val="2"/>
                  <w:tcBorders>
                    <w:top w:val="single" w:color="auto" w:sz="4" w:space="0"/>
                    <w:left w:val="single" w:color="auto" w:sz="4" w:space="0"/>
                    <w:bottom w:val="single" w:color="auto" w:sz="4" w:space="0"/>
                    <w:right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饱和蒸汽压（</w:t>
                  </w:r>
                  <w:r>
                    <w:rPr>
                      <w:color w:val="000000" w:themeColor="text1"/>
                      <w:sz w:val="18"/>
                      <w:szCs w:val="18"/>
                      <w14:textFill>
                        <w14:solidFill>
                          <w14:schemeClr w14:val="tx1"/>
                        </w14:solidFill>
                      </w14:textFill>
                    </w:rPr>
                    <w:t>KPa</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4.4</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20</w:t>
                  </w:r>
                  <w:r>
                    <w:rPr>
                      <w:rFonts w:hint="eastAsia"/>
                      <w:color w:val="000000" w:themeColor="text1"/>
                      <w:sz w:val="18"/>
                      <w:szCs w:val="18"/>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2" w:type="pct"/>
                  <w:vMerge w:val="restart"/>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燃烧爆炸危险性</w:t>
                  </w:r>
                </w:p>
              </w:tc>
              <w:tc>
                <w:tcPr>
                  <w:tcW w:w="1449"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燃烧性：不燃</w:t>
                  </w:r>
                </w:p>
              </w:tc>
              <w:tc>
                <w:tcPr>
                  <w:tcW w:w="3037" w:type="pct"/>
                  <w:gridSpan w:val="5"/>
                  <w:tcBorders>
                    <w:top w:val="single" w:color="auto" w:sz="4" w:space="0"/>
                    <w:left w:val="single" w:color="auto" w:sz="4" w:space="0"/>
                    <w:bottom w:val="single" w:color="auto" w:sz="4" w:space="0"/>
                    <w:right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燃烧分解产物：氧化氮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2" w:type="pct"/>
                  <w:vMerge w:val="continue"/>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1449"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闪点（℃）：无意义</w:t>
                  </w:r>
                </w:p>
              </w:tc>
              <w:tc>
                <w:tcPr>
                  <w:tcW w:w="3037" w:type="pct"/>
                  <w:gridSpan w:val="5"/>
                  <w:tcBorders>
                    <w:top w:val="single" w:color="auto" w:sz="4" w:space="0"/>
                    <w:left w:val="single" w:color="auto" w:sz="4" w:space="0"/>
                    <w:bottom w:val="single" w:color="auto" w:sz="4" w:space="0"/>
                    <w:right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聚合危害：不聚合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2" w:type="pct"/>
                  <w:vMerge w:val="continue"/>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1449"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爆炸下限（％）：无意义</w:t>
                  </w:r>
                </w:p>
              </w:tc>
              <w:tc>
                <w:tcPr>
                  <w:tcW w:w="3037" w:type="pct"/>
                  <w:gridSpan w:val="5"/>
                  <w:tcBorders>
                    <w:top w:val="single" w:color="auto" w:sz="4" w:space="0"/>
                    <w:left w:val="single" w:color="auto" w:sz="4" w:space="0"/>
                    <w:bottom w:val="single" w:color="auto" w:sz="4" w:space="0"/>
                    <w:right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稳定性：稳定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2" w:type="pct"/>
                  <w:vMerge w:val="continue"/>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1449"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爆炸上限（％）：无意义</w:t>
                  </w:r>
                </w:p>
              </w:tc>
              <w:tc>
                <w:tcPr>
                  <w:tcW w:w="3037" w:type="pct"/>
                  <w:gridSpan w:val="5"/>
                  <w:tcBorders>
                    <w:top w:val="single" w:color="auto" w:sz="4" w:space="0"/>
                    <w:left w:val="single" w:color="auto" w:sz="4" w:space="0"/>
                    <w:bottom w:val="single" w:color="auto" w:sz="4" w:space="0"/>
                    <w:right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最大爆炸压力（</w:t>
                  </w:r>
                  <w:r>
                    <w:rPr>
                      <w:color w:val="000000" w:themeColor="text1"/>
                      <w:sz w:val="18"/>
                      <w:szCs w:val="18"/>
                      <w14:textFill>
                        <w14:solidFill>
                          <w14:schemeClr w14:val="tx1"/>
                        </w14:solidFill>
                      </w14:textFill>
                    </w:rPr>
                    <w:t>MPa</w:t>
                  </w:r>
                  <w:r>
                    <w:rPr>
                      <w:rFonts w:hint="eastAsia"/>
                      <w:color w:val="000000" w:themeColor="text1"/>
                      <w:sz w:val="18"/>
                      <w:szCs w:val="18"/>
                      <w14:textFill>
                        <w14:solidFill>
                          <w14:schemeClr w14:val="tx1"/>
                        </w14:solidFill>
                      </w14:textFill>
                    </w:rPr>
                    <w:t>）：无意义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2" w:type="pct"/>
                  <w:vMerge w:val="continue"/>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1449" w:type="pct"/>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引燃温度（℃）：无意义</w:t>
                  </w:r>
                </w:p>
              </w:tc>
              <w:tc>
                <w:tcPr>
                  <w:tcW w:w="3037" w:type="pct"/>
                  <w:gridSpan w:val="5"/>
                  <w:tcBorders>
                    <w:top w:val="single" w:color="auto" w:sz="4" w:space="0"/>
                    <w:left w:val="single" w:color="auto" w:sz="4" w:space="0"/>
                    <w:bottom w:val="single" w:color="auto" w:sz="4" w:space="0"/>
                    <w:right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禁忌物：还原剂、碱类、醇类、碱金属、铜、胺类。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2" w:type="pct"/>
                  <w:vMerge w:val="continue"/>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4487" w:type="pct"/>
                  <w:gridSpan w:val="6"/>
                  <w:tcBorders>
                    <w:top w:val="single" w:color="auto" w:sz="4" w:space="0"/>
                    <w:left w:val="single" w:color="auto" w:sz="4" w:space="0"/>
                    <w:bottom w:val="single" w:color="auto" w:sz="4" w:space="0"/>
                    <w:right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危险特性：强氧化剂。能与多种物质如金属粉末、电石、硫化氢、松节油等猛烈反应，甚至发生爆炸。与还原剂、可燃物如糖、纤维素、木屑、棉花、稻草或废纱头接触，引起燃烧并散发出剧毒的棕色烟雾。具有强腐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2" w:type="pct"/>
                  <w:vMerge w:val="continue"/>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4487" w:type="pct"/>
                  <w:gridSpan w:val="6"/>
                  <w:tcBorders>
                    <w:top w:val="single" w:color="auto" w:sz="4" w:space="0"/>
                    <w:left w:val="single" w:color="auto" w:sz="4" w:space="0"/>
                    <w:bottom w:val="single" w:color="auto" w:sz="4" w:space="0"/>
                    <w:right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灭火方法：消防人员必须穿全身耐酸碱消防服。灭火剂：雾状水、二氧化碳、砂土。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2" w:type="pct"/>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毒性</w:t>
                  </w:r>
                </w:p>
              </w:tc>
              <w:tc>
                <w:tcPr>
                  <w:tcW w:w="4487" w:type="pct"/>
                  <w:gridSpan w:val="6"/>
                  <w:tcBorders>
                    <w:top w:val="single" w:color="auto" w:sz="4" w:space="0"/>
                    <w:left w:val="single" w:color="auto" w:sz="4" w:space="0"/>
                    <w:bottom w:val="single" w:color="auto" w:sz="4" w:space="0"/>
                    <w:right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2" w:type="pct"/>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对人体危害</w:t>
                  </w:r>
                </w:p>
              </w:tc>
              <w:tc>
                <w:tcPr>
                  <w:tcW w:w="4487" w:type="pct"/>
                  <w:gridSpan w:val="6"/>
                  <w:tcBorders>
                    <w:top w:val="single" w:color="auto" w:sz="4" w:space="0"/>
                    <w:left w:val="single" w:color="auto" w:sz="4" w:space="0"/>
                    <w:bottom w:val="single" w:color="auto" w:sz="4" w:space="0"/>
                    <w:right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侵入途径：吸入、食入。</w:t>
                  </w:r>
                </w:p>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健康危害：其蒸汽有刺激作用，引起眼和上呼吸道刺激症状，如流泪、咽喉刺激感，并伴有头痛、头晕、胸闷等。口服引起腹部剧痛，严重者可有胃穿孔、腹膜炎、喉痉挛、肾损害、休克以及窒息。皮肤接触引起灼伤。慢性影响：长期接触可引起牙齿酸蚀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2" w:type="pct"/>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急救</w:t>
                  </w:r>
                </w:p>
              </w:tc>
              <w:tc>
                <w:tcPr>
                  <w:tcW w:w="4487" w:type="pct"/>
                  <w:gridSpan w:val="6"/>
                  <w:tcBorders>
                    <w:top w:val="single" w:color="auto" w:sz="4" w:space="0"/>
                    <w:left w:val="single" w:color="auto" w:sz="4" w:space="0"/>
                    <w:bottom w:val="single" w:color="auto" w:sz="4" w:space="0"/>
                    <w:right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皮肤接触：立即脱出被污染的衣着。用大量流动清水冲洗，至少</w:t>
                  </w:r>
                  <w:r>
                    <w:rPr>
                      <w:color w:val="000000" w:themeColor="text1"/>
                      <w:sz w:val="18"/>
                      <w:szCs w:val="18"/>
                      <w14:textFill>
                        <w14:solidFill>
                          <w14:schemeClr w14:val="tx1"/>
                        </w14:solidFill>
                      </w14:textFill>
                    </w:rPr>
                    <w:t>15</w:t>
                  </w:r>
                  <w:r>
                    <w:rPr>
                      <w:rFonts w:hint="eastAsia"/>
                      <w:color w:val="000000" w:themeColor="text1"/>
                      <w:sz w:val="18"/>
                      <w:szCs w:val="18"/>
                      <w14:textFill>
                        <w14:solidFill>
                          <w14:schemeClr w14:val="tx1"/>
                        </w14:solidFill>
                      </w14:textFill>
                    </w:rPr>
                    <w:t>分钟。就医。</w:t>
                  </w:r>
                </w:p>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眼睛接触：立即提起眼睑，用大量流动清水或生理盐水彻底冲洗至少</w:t>
                  </w:r>
                  <w:r>
                    <w:rPr>
                      <w:color w:val="000000" w:themeColor="text1"/>
                      <w:sz w:val="18"/>
                      <w:szCs w:val="18"/>
                      <w14:textFill>
                        <w14:solidFill>
                          <w14:schemeClr w14:val="tx1"/>
                        </w14:solidFill>
                      </w14:textFill>
                    </w:rPr>
                    <w:t>15</w:t>
                  </w:r>
                  <w:r>
                    <w:rPr>
                      <w:rFonts w:hint="eastAsia"/>
                      <w:color w:val="000000" w:themeColor="text1"/>
                      <w:sz w:val="18"/>
                      <w:szCs w:val="18"/>
                      <w14:textFill>
                        <w14:solidFill>
                          <w14:schemeClr w14:val="tx1"/>
                        </w14:solidFill>
                      </w14:textFill>
                    </w:rPr>
                    <w:t>分钟。就医。</w:t>
                  </w:r>
                </w:p>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吸入：迅速脱离现场至空气新鲜处，保持呼吸道通畅。如呼吸困难，给输氧。如呼吸停止，立即进行人工呼吸。就医。</w:t>
                  </w:r>
                </w:p>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食入：误服者用水漱口，给饮牛奶或蛋清。就医。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2" w:type="pct"/>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防护</w:t>
                  </w:r>
                </w:p>
              </w:tc>
              <w:tc>
                <w:tcPr>
                  <w:tcW w:w="4487" w:type="pct"/>
                  <w:gridSpan w:val="6"/>
                  <w:tcBorders>
                    <w:top w:val="single" w:color="auto" w:sz="4" w:space="0"/>
                    <w:left w:val="single" w:color="auto" w:sz="4" w:space="0"/>
                    <w:bottom w:val="single" w:color="auto" w:sz="4" w:space="0"/>
                    <w:right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工程防护：密闭操作，注意通风。尽可能机械化、自动化。提供安全淋浴和洗眼设备。</w:t>
                  </w:r>
                </w:p>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呼吸系统防护：可能接触其烟雾时，佩戴自吸过滤式防毒面具（全面罩）或空气呼吸器。紧急事态抢救或撤离时，建议佩戴氧气呼吸器；</w:t>
                  </w:r>
                </w:p>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身体防护：穿橡胶耐酸碱服；</w:t>
                  </w:r>
                </w:p>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手防护：戴橡胶耐酸碱手套。</w:t>
                  </w:r>
                </w:p>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其他：工作现场严禁吸烟、进食和饮水。工作毕，淋浴更衣。单独存放被毒物污染的衣服，洗后备用。保持良好的卫生习惯。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2" w:type="pct"/>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泄漏处理</w:t>
                  </w:r>
                </w:p>
              </w:tc>
              <w:tc>
                <w:tcPr>
                  <w:tcW w:w="4487" w:type="pct"/>
                  <w:gridSpan w:val="6"/>
                  <w:tcBorders>
                    <w:top w:val="single" w:color="auto" w:sz="4" w:space="0"/>
                    <w:left w:val="single" w:color="auto" w:sz="4" w:space="0"/>
                    <w:bottom w:val="single" w:color="auto" w:sz="4" w:space="0"/>
                    <w:right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迅速撤离泄漏污染区人员至安全区，并进行隔离，严格限制出入。建议应急处理人员戴自给正压式呼吸器，穿防酸碱工作服。不要直接接触泄漏物。从上风处进入现场。尽可能切断泄漏源。防止进入下水道、排洪沟等限制性空间。小量泄漏：将地面撒上苏打灰，然后用大量水冲洗，洗水稀释后放入废水系统。大量泄漏：构筑围堤或挖坑收容；喷雾状水冷却和稀释蒸汽、保护现场人员、把泄漏物稀释成不燃物。用泵转移至槽车或专用收集器内。回收或运至废物处理场所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2" w:type="pct"/>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贮运</w:t>
                  </w:r>
                </w:p>
              </w:tc>
              <w:tc>
                <w:tcPr>
                  <w:tcW w:w="4487" w:type="pct"/>
                  <w:gridSpan w:val="6"/>
                  <w:tcBorders>
                    <w:top w:val="single" w:color="auto" w:sz="4" w:space="0"/>
                    <w:left w:val="single" w:color="auto" w:sz="4" w:space="0"/>
                    <w:bottom w:val="single" w:color="auto" w:sz="4" w:space="0"/>
                    <w:right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包装标志：</w:t>
                  </w:r>
                  <w:r>
                    <w:rPr>
                      <w:color w:val="000000" w:themeColor="text1"/>
                      <w:sz w:val="18"/>
                      <w:szCs w:val="18"/>
                      <w14:textFill>
                        <w14:solidFill>
                          <w14:schemeClr w14:val="tx1"/>
                        </w14:solidFill>
                      </w14:textFill>
                    </w:rPr>
                    <w:t>20 UN</w:t>
                  </w:r>
                  <w:r>
                    <w:rPr>
                      <w:rFonts w:hint="eastAsia"/>
                      <w:color w:val="000000" w:themeColor="text1"/>
                      <w:sz w:val="18"/>
                      <w:szCs w:val="18"/>
                      <w14:textFill>
                        <w14:solidFill>
                          <w14:schemeClr w14:val="tx1"/>
                        </w14:solidFill>
                      </w14:textFill>
                    </w:rPr>
                    <w:t>编号：</w:t>
                  </w:r>
                  <w:r>
                    <w:rPr>
                      <w:color w:val="000000" w:themeColor="text1"/>
                      <w:sz w:val="18"/>
                      <w:szCs w:val="18"/>
                      <w14:textFill>
                        <w14:solidFill>
                          <w14:schemeClr w14:val="tx1"/>
                        </w14:solidFill>
                      </w14:textFill>
                    </w:rPr>
                    <w:t>2031</w:t>
                  </w:r>
                  <w:r>
                    <w:rPr>
                      <w:rFonts w:hint="eastAsia"/>
                      <w:color w:val="000000" w:themeColor="text1"/>
                      <w:sz w:val="18"/>
                      <w:szCs w:val="18"/>
                      <w14:textFill>
                        <w14:solidFill>
                          <w14:schemeClr w14:val="tx1"/>
                        </w14:solidFill>
                      </w14:textFill>
                    </w:rPr>
                    <w:t>包装分类：Ⅰ</w:t>
                  </w:r>
                </w:p>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包装方法：螺纹口玻璃瓶、铁盖压口玻璃瓶、塑料瓶或金属桶（罐）外木板箱；耐酸坛、陶瓷罐外木板箱或半花格箱。</w:t>
                  </w:r>
                </w:p>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储运条件：储存于阴凉、干燥，通风良好的仓间。应与易燃或可燃物、碱类、金属粉末等分开存放。不可混储混运。搬运要轻装轻卸，防止包装及容器损坏。分装和搬运作业要注意个人防护。运输按规定路线行驶。勿在居民区和人口稠密区停留。</w:t>
                  </w:r>
                </w:p>
              </w:tc>
            </w:tr>
          </w:tbl>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黑体" w:cs="Times New Roman"/>
                <w:color w:val="000000" w:themeColor="text1"/>
                <w:sz w:val="21"/>
                <w:szCs w:val="21"/>
                <w:highlight w:val="none"/>
                <w:lang w:val="en-US" w:eastAsia="zh-CN"/>
                <w14:textFill>
                  <w14:solidFill>
                    <w14:schemeClr w14:val="tx1"/>
                  </w14:solidFill>
                </w14:textFill>
              </w:rPr>
              <w:t>氢氟酸</w:t>
            </w:r>
            <w:r>
              <w:rPr>
                <w:rFonts w:hint="eastAsia" w:eastAsia="黑体" w:cs="Times New Roman"/>
                <w:color w:val="000000" w:themeColor="text1"/>
                <w:sz w:val="21"/>
                <w:szCs w:val="21"/>
                <w:highlight w:val="none"/>
                <w:lang w:val="en-US" w:eastAsia="zh-CN"/>
                <w14:textFill>
                  <w14:solidFill>
                    <w14:schemeClr w14:val="tx1"/>
                  </w14:solidFill>
                </w14:textFill>
              </w:rPr>
              <w:t>（HF）</w:t>
            </w:r>
            <w:r>
              <w:rPr>
                <w:rFonts w:hint="eastAsia" w:ascii="Times New Roman" w:hAnsi="Times New Roman" w:eastAsia="黑体" w:cs="Times New Roman"/>
                <w:color w:val="000000" w:themeColor="text1"/>
                <w:sz w:val="21"/>
                <w:szCs w:val="21"/>
                <w:highlight w:val="none"/>
                <w:lang w:val="en-US" w:eastAsia="zh-CN"/>
                <w14:textFill>
                  <w14:solidFill>
                    <w14:schemeClr w14:val="tx1"/>
                  </w14:solidFill>
                </w14:textFill>
              </w:rPr>
              <w:t>理化性质及毒性数据</w:t>
            </w:r>
          </w:p>
          <w:tbl>
            <w:tblPr>
              <w:tblStyle w:val="21"/>
              <w:tblW w:w="5000" w:type="pct"/>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2357"/>
              <w:gridCol w:w="573"/>
              <w:gridCol w:w="1561"/>
              <w:gridCol w:w="710"/>
              <w:gridCol w:w="225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trPr>
              <w:tc>
                <w:tcPr>
                  <w:tcW w:w="513" w:type="pct"/>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标识</w:t>
                  </w:r>
                </w:p>
              </w:tc>
              <w:tc>
                <w:tcPr>
                  <w:tcW w:w="1763" w:type="pct"/>
                  <w:gridSpan w:val="2"/>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中文名：氢氟酸</w:t>
                  </w:r>
                </w:p>
              </w:tc>
              <w:tc>
                <w:tcPr>
                  <w:tcW w:w="2722" w:type="pct"/>
                  <w:gridSpan w:val="3"/>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英文名：hydrofluoric acid</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13"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p>
              </w:tc>
              <w:tc>
                <w:tcPr>
                  <w:tcW w:w="1763" w:type="pct"/>
                  <w:gridSpan w:val="2"/>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分子式：HF</w:t>
                  </w:r>
                </w:p>
              </w:tc>
              <w:tc>
                <w:tcPr>
                  <w:tcW w:w="1366" w:type="pct"/>
                  <w:gridSpan w:val="2"/>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分子量：20.01</w:t>
                  </w:r>
                </w:p>
              </w:tc>
              <w:tc>
                <w:tcPr>
                  <w:tcW w:w="1355" w:type="pct"/>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CAS号：7664－39－3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trPr>
              <w:tc>
                <w:tcPr>
                  <w:tcW w:w="513"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p>
              </w:tc>
              <w:tc>
                <w:tcPr>
                  <w:tcW w:w="4486" w:type="pct"/>
                  <w:gridSpan w:val="5"/>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危规号：81016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13" w:type="pct"/>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理化性质</w:t>
                  </w:r>
                </w:p>
              </w:tc>
              <w:tc>
                <w:tcPr>
                  <w:tcW w:w="4486" w:type="pct"/>
                  <w:gridSpan w:val="5"/>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性状：无色透明有刺激性臭味的液体。</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trPr>
              <w:tc>
                <w:tcPr>
                  <w:tcW w:w="513"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p>
              </w:tc>
              <w:tc>
                <w:tcPr>
                  <w:tcW w:w="4486" w:type="pct"/>
                  <w:gridSpan w:val="5"/>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溶解性：与水混溶。</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trPr>
              <w:tc>
                <w:tcPr>
                  <w:tcW w:w="513"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p>
              </w:tc>
              <w:tc>
                <w:tcPr>
                  <w:tcW w:w="1418" w:type="pct"/>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熔点（℃）：－83.1（纯）</w:t>
                  </w:r>
                </w:p>
              </w:tc>
              <w:tc>
                <w:tcPr>
                  <w:tcW w:w="1284" w:type="pct"/>
                  <w:gridSpan w:val="2"/>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沸点（℃）：120（35.3％）</w:t>
                  </w:r>
                </w:p>
              </w:tc>
              <w:tc>
                <w:tcPr>
                  <w:tcW w:w="1783" w:type="pct"/>
                  <w:gridSpan w:val="2"/>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相对密度（水＝1）：1.26（75％）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trPr>
              <w:tc>
                <w:tcPr>
                  <w:tcW w:w="513"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p>
              </w:tc>
              <w:tc>
                <w:tcPr>
                  <w:tcW w:w="1418" w:type="pct"/>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临界温度（℃）：</w:t>
                  </w:r>
                </w:p>
              </w:tc>
              <w:tc>
                <w:tcPr>
                  <w:tcW w:w="1284" w:type="pct"/>
                  <w:gridSpan w:val="2"/>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临界压力（MPa）：</w:t>
                  </w:r>
                </w:p>
              </w:tc>
              <w:tc>
                <w:tcPr>
                  <w:tcW w:w="1783" w:type="pct"/>
                  <w:gridSpan w:val="2"/>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相对密度（空气＝1）：1.27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13"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p>
              </w:tc>
              <w:tc>
                <w:tcPr>
                  <w:tcW w:w="1418" w:type="pct"/>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燃烧热（KJ/mol）：</w:t>
                  </w:r>
                </w:p>
              </w:tc>
              <w:tc>
                <w:tcPr>
                  <w:tcW w:w="1284" w:type="pct"/>
                  <w:gridSpan w:val="2"/>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最小点火能（mJ）：</w:t>
                  </w:r>
                </w:p>
              </w:tc>
              <w:tc>
                <w:tcPr>
                  <w:tcW w:w="1783" w:type="pct"/>
                  <w:gridSpan w:val="2"/>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饱和蒸汽压（KPa）：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trPr>
              <w:tc>
                <w:tcPr>
                  <w:tcW w:w="513" w:type="pct"/>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燃烧爆炸危险性</w:t>
                  </w:r>
                </w:p>
              </w:tc>
              <w:tc>
                <w:tcPr>
                  <w:tcW w:w="1418" w:type="pct"/>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燃烧性：不燃</w:t>
                  </w:r>
                </w:p>
              </w:tc>
              <w:tc>
                <w:tcPr>
                  <w:tcW w:w="3068" w:type="pct"/>
                  <w:gridSpan w:val="4"/>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燃烧分解产物：氟化氢</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trPr>
              <w:tc>
                <w:tcPr>
                  <w:tcW w:w="513"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p>
              </w:tc>
              <w:tc>
                <w:tcPr>
                  <w:tcW w:w="1418" w:type="pct"/>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闪点（℃）：</w:t>
                  </w:r>
                </w:p>
              </w:tc>
              <w:tc>
                <w:tcPr>
                  <w:tcW w:w="3068" w:type="pct"/>
                  <w:gridSpan w:val="4"/>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聚合危害：不聚合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13"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p>
              </w:tc>
              <w:tc>
                <w:tcPr>
                  <w:tcW w:w="1418" w:type="pct"/>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爆炸下限（％）：</w:t>
                  </w:r>
                </w:p>
              </w:tc>
              <w:tc>
                <w:tcPr>
                  <w:tcW w:w="3068" w:type="pct"/>
                  <w:gridSpan w:val="4"/>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稳定性：稳定</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13"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p>
              </w:tc>
              <w:tc>
                <w:tcPr>
                  <w:tcW w:w="1418" w:type="pct"/>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爆炸上限（％）：</w:t>
                  </w:r>
                </w:p>
              </w:tc>
              <w:tc>
                <w:tcPr>
                  <w:tcW w:w="3068" w:type="pct"/>
                  <w:gridSpan w:val="4"/>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最大爆炸压力（MPa）：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13"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p>
              </w:tc>
              <w:tc>
                <w:tcPr>
                  <w:tcW w:w="1418" w:type="pct"/>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引燃温度（℃）：</w:t>
                  </w:r>
                </w:p>
              </w:tc>
              <w:tc>
                <w:tcPr>
                  <w:tcW w:w="3068" w:type="pct"/>
                  <w:gridSpan w:val="4"/>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禁忌物：强碱、活性金属粉末、玻璃制品。</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trPr>
              <w:tc>
                <w:tcPr>
                  <w:tcW w:w="513"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p>
              </w:tc>
              <w:tc>
                <w:tcPr>
                  <w:tcW w:w="4486" w:type="pct"/>
                  <w:gridSpan w:val="5"/>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危险特性：本品不燃，但能与大多数金属反应，生成氢气而引起爆炸。遇H发泡剂立即燃烧。腐蚀性极强。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trPr>
              <w:tc>
                <w:tcPr>
                  <w:tcW w:w="513" w:type="pct"/>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p>
              </w:tc>
              <w:tc>
                <w:tcPr>
                  <w:tcW w:w="4486" w:type="pct"/>
                  <w:gridSpan w:val="5"/>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灭火方法：消防人员必须佩戴氧气呼吸器、穿全身防护服。灭火剂：雾状水、泡沫。</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trPr>
              <w:tc>
                <w:tcPr>
                  <w:tcW w:w="513"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毒性</w:t>
                  </w:r>
                </w:p>
              </w:tc>
              <w:tc>
                <w:tcPr>
                  <w:tcW w:w="4486" w:type="pct"/>
                  <w:gridSpan w:val="5"/>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LC50：1044mg/m3（大鼠吸入）</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trPr>
              <w:tc>
                <w:tcPr>
                  <w:tcW w:w="513"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对人体危害</w:t>
                  </w:r>
                </w:p>
              </w:tc>
              <w:tc>
                <w:tcPr>
                  <w:tcW w:w="4486" w:type="pct"/>
                  <w:gridSpan w:val="5"/>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侵入途径：吸入，食入，经皮肤吸收。</w:t>
                  </w:r>
                </w:p>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健康危害：主要引起高铁血红蛋白血症。可引起溶血及肝损害。</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13"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急救</w:t>
                  </w:r>
                </w:p>
              </w:tc>
              <w:tc>
                <w:tcPr>
                  <w:tcW w:w="4486" w:type="pct"/>
                  <w:gridSpan w:val="5"/>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皮肤接触：立即脱去被污染的衣着，用大量流动清水彻底冲洗，至少15分钟。就医。</w:t>
                  </w:r>
                </w:p>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眼睛接触：提起眼睑，用大量流动清水或生理盐水彻底冲洗，至少15分钟。就医。</w:t>
                  </w:r>
                </w:p>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吸入：迅速脱离现场至空气新鲜处。保持呼吸道通畅。如呼吸困难，给输氧。呼吸心跳停止时立即进行人工呼吸。就医。</w:t>
                  </w:r>
                </w:p>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食入：误服者用水漱口，给饮牛奶或蛋清。就医。</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trPr>
              <w:tc>
                <w:tcPr>
                  <w:tcW w:w="513"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防护</w:t>
                  </w:r>
                </w:p>
              </w:tc>
              <w:tc>
                <w:tcPr>
                  <w:tcW w:w="4486" w:type="pct"/>
                  <w:gridSpan w:val="5"/>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工程防护：密闭操作，注意通风。尽可能机械化、自动化。提供安全淋浴和洗眼设备。</w:t>
                  </w:r>
                </w:p>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呼吸系统防护：可能接触其烟雾时，佩戴自吸过滤式防毒面具（全面罩）或空气呼吸器。紧急事态抢救或撤离时，建议佩戴氧气呼吸器。</w:t>
                  </w:r>
                </w:p>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身体防护：穿橡胶耐酸碱服。</w:t>
                  </w:r>
                </w:p>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手防护：戴橡胶耐酸碱手套。</w:t>
                  </w:r>
                </w:p>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其他：工作现场禁止吸烟、进食和饮水。工作后淋浴更衣。单独存放被毒物污染的衣服，洗后备用。保持良好的卫生习惯。</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13"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泄漏处理</w:t>
                  </w:r>
                </w:p>
              </w:tc>
              <w:tc>
                <w:tcPr>
                  <w:tcW w:w="4486" w:type="pct"/>
                  <w:gridSpan w:val="5"/>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迅速撤离泄漏污染区人员至安全区，并进行隔离，严格限制出入。建议应急处理人员戴自给正压式呼吸器，穿防酸碱工作服。不要直接接触泄漏物。尽可能切断泄漏源，防止进入下水道、排洪沟等限制性空间。小量泄漏：用砂土、干燥石灰或苏打灰混合。也可以用大量水冲洗，洗液稀释后放入废水系统。大量泄漏：构筑围堤或挖坑收容；用泵转移至槽车或专用收集器内，回收或运至废物处理场所处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trPr>
              <w:tc>
                <w:tcPr>
                  <w:tcW w:w="513"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贮运</w:t>
                  </w:r>
                </w:p>
              </w:tc>
              <w:tc>
                <w:tcPr>
                  <w:tcW w:w="4486" w:type="pct"/>
                  <w:gridSpan w:val="5"/>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包装标志：13 UN编号：1662包装分类：Ⅱ</w:t>
                  </w:r>
                </w:p>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包装方法：小开口钢桶；螺纹口玻璃瓶、铁盖压口玻璃瓶、塑料瓶或金属桶（罐）外木板箱；塑料瓶、镀锡薄钢板桶外满底花格箱。</w:t>
                  </w:r>
                </w:p>
                <w:p>
                  <w:pPr>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储运条件：储存于阴凉、通风的仓间内。远离火种、热源，防止阳光直射。应与碱类、金属粉末、易燃、可燃物、发泡剂H等分开存放。不可混储混运。搬运时轻装轻卸，防止包装及容器损坏。分装和搬运作业要注意个人防护。按规定路线行驶，勿在居民区和人口稠密区停留。</w:t>
                  </w:r>
                </w:p>
              </w:tc>
            </w:tr>
          </w:tbl>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黑体" w:cs="Times New Roman"/>
                <w:color w:val="000000" w:themeColor="text1"/>
                <w:sz w:val="21"/>
                <w:szCs w:val="21"/>
                <w:highlight w:val="none"/>
                <w:lang w:val="en-US" w:eastAsia="zh-CN"/>
                <w14:textFill>
                  <w14:solidFill>
                    <w14:schemeClr w14:val="tx1"/>
                  </w14:solidFill>
                </w14:textFill>
              </w:rPr>
              <w:t>氨水理化性质及毒性数据</w:t>
            </w:r>
          </w:p>
          <w:tbl>
            <w:tblPr>
              <w:tblStyle w:val="21"/>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2164"/>
              <w:gridCol w:w="231"/>
              <w:gridCol w:w="337"/>
              <w:gridCol w:w="467"/>
              <w:gridCol w:w="1396"/>
              <w:gridCol w:w="595"/>
              <w:gridCol w:w="230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1" w:type="pct"/>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标识</w:t>
                  </w:r>
                </w:p>
              </w:tc>
              <w:tc>
                <w:tcPr>
                  <w:tcW w:w="1925" w:type="pct"/>
                  <w:gridSpan w:val="4"/>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中文名：氨溶液；氨水</w:t>
                  </w:r>
                </w:p>
              </w:tc>
              <w:tc>
                <w:tcPr>
                  <w:tcW w:w="2583" w:type="pct"/>
                  <w:gridSpan w:val="3"/>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英文名：</w:t>
                  </w:r>
                  <w:r>
                    <w:rPr>
                      <w:color w:val="000000" w:themeColor="text1"/>
                      <w:sz w:val="18"/>
                      <w:szCs w:val="18"/>
                      <w14:textFill>
                        <w14:solidFill>
                          <w14:schemeClr w14:val="tx1"/>
                        </w14:solidFill>
                      </w14:textFill>
                    </w:rPr>
                    <w:t>ammonium hydroxide</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ammonia water</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1"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1644" w:type="pct"/>
                  <w:gridSpan w:val="3"/>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分子式：</w:t>
                  </w:r>
                  <w:r>
                    <w:rPr>
                      <w:color w:val="000000" w:themeColor="text1"/>
                      <w:sz w:val="18"/>
                      <w:szCs w:val="18"/>
                      <w14:textFill>
                        <w14:solidFill>
                          <w14:schemeClr w14:val="tx1"/>
                        </w14:solidFill>
                      </w14:textFill>
                    </w:rPr>
                    <w:t>NH</w:t>
                  </w:r>
                  <w:r>
                    <w:rPr>
                      <w:color w:val="000000" w:themeColor="text1"/>
                      <w:sz w:val="18"/>
                      <w:szCs w:val="18"/>
                      <w:vertAlign w:val="subscript"/>
                      <w14:textFill>
                        <w14:solidFill>
                          <w14:schemeClr w14:val="tx1"/>
                        </w14:solidFill>
                      </w14:textFill>
                    </w:rPr>
                    <w:t>4</w:t>
                  </w:r>
                  <w:r>
                    <w:rPr>
                      <w:color w:val="000000" w:themeColor="text1"/>
                      <w:sz w:val="18"/>
                      <w:szCs w:val="18"/>
                      <w14:textFill>
                        <w14:solidFill>
                          <w14:schemeClr w14:val="tx1"/>
                        </w14:solidFill>
                      </w14:textFill>
                    </w:rPr>
                    <w:t>OH</w:t>
                  </w:r>
                </w:p>
              </w:tc>
              <w:tc>
                <w:tcPr>
                  <w:tcW w:w="1479" w:type="pct"/>
                  <w:gridSpan w:val="3"/>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分子量：</w:t>
                  </w:r>
                  <w:r>
                    <w:rPr>
                      <w:color w:val="000000" w:themeColor="text1"/>
                      <w:sz w:val="18"/>
                      <w:szCs w:val="18"/>
                      <w14:textFill>
                        <w14:solidFill>
                          <w14:schemeClr w14:val="tx1"/>
                        </w14:solidFill>
                      </w14:textFill>
                    </w:rPr>
                    <w:t>35.05</w:t>
                  </w:r>
                </w:p>
              </w:tc>
              <w:tc>
                <w:tcPr>
                  <w:tcW w:w="1384" w:type="pct"/>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CAS</w:t>
                  </w:r>
                  <w:r>
                    <w:rPr>
                      <w:rFonts w:hint="eastAsia"/>
                      <w:color w:val="000000" w:themeColor="text1"/>
                      <w:sz w:val="18"/>
                      <w:szCs w:val="18"/>
                      <w14:textFill>
                        <w14:solidFill>
                          <w14:schemeClr w14:val="tx1"/>
                        </w14:solidFill>
                      </w14:textFill>
                    </w:rPr>
                    <w:t>号：</w:t>
                  </w:r>
                  <w:r>
                    <w:rPr>
                      <w:color w:val="000000" w:themeColor="text1"/>
                      <w:sz w:val="18"/>
                      <w:szCs w:val="18"/>
                      <w14:textFill>
                        <w14:solidFill>
                          <w14:schemeClr w14:val="tx1"/>
                        </w14:solidFill>
                      </w14:textFill>
                    </w:rPr>
                    <w:t>1336</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21</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1"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4508" w:type="pct"/>
                  <w:gridSpan w:val="7"/>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危规号：</w:t>
                  </w:r>
                  <w:r>
                    <w:rPr>
                      <w:color w:val="000000" w:themeColor="text1"/>
                      <w:sz w:val="18"/>
                      <w:szCs w:val="18"/>
                      <w14:textFill>
                        <w14:solidFill>
                          <w14:schemeClr w14:val="tx1"/>
                        </w14:solidFill>
                      </w14:textFill>
                    </w:rPr>
                    <w:t>82503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trPr>
              <w:tc>
                <w:tcPr>
                  <w:tcW w:w="491" w:type="pct"/>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理化性质</w:t>
                  </w:r>
                </w:p>
              </w:tc>
              <w:tc>
                <w:tcPr>
                  <w:tcW w:w="4508" w:type="pct"/>
                  <w:gridSpan w:val="7"/>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性状：无色透明液体，有强烈的刺激性臭味。</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1"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4508" w:type="pct"/>
                  <w:gridSpan w:val="7"/>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溶解性：溶于水、醇。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1"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1441" w:type="pct"/>
                  <w:gridSpan w:val="2"/>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熔点（℃）：</w:t>
                  </w:r>
                </w:p>
              </w:tc>
              <w:tc>
                <w:tcPr>
                  <w:tcW w:w="1324" w:type="pct"/>
                  <w:gridSpan w:val="3"/>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沸点（℃）：</w:t>
                  </w:r>
                </w:p>
              </w:tc>
              <w:tc>
                <w:tcPr>
                  <w:tcW w:w="1743" w:type="pct"/>
                  <w:gridSpan w:val="2"/>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相对密度（水＝</w:t>
                  </w:r>
                  <w:r>
                    <w:rPr>
                      <w:color w:val="000000" w:themeColor="text1"/>
                      <w:sz w:val="18"/>
                      <w:szCs w:val="18"/>
                      <w14:textFill>
                        <w14:solidFill>
                          <w14:schemeClr w14:val="tx1"/>
                        </w14:solidFill>
                      </w14:textFill>
                    </w:rPr>
                    <w:t>1</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0.91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1"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1441" w:type="pct"/>
                  <w:gridSpan w:val="2"/>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临界温度（℃）：</w:t>
                  </w:r>
                </w:p>
              </w:tc>
              <w:tc>
                <w:tcPr>
                  <w:tcW w:w="1324" w:type="pct"/>
                  <w:gridSpan w:val="3"/>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临界压力（</w:t>
                  </w:r>
                  <w:r>
                    <w:rPr>
                      <w:color w:val="000000" w:themeColor="text1"/>
                      <w:sz w:val="18"/>
                      <w:szCs w:val="18"/>
                      <w14:textFill>
                        <w14:solidFill>
                          <w14:schemeClr w14:val="tx1"/>
                        </w14:solidFill>
                      </w14:textFill>
                    </w:rPr>
                    <w:t>MPa</w:t>
                  </w:r>
                  <w:r>
                    <w:rPr>
                      <w:rFonts w:hint="eastAsia"/>
                      <w:color w:val="000000" w:themeColor="text1"/>
                      <w:sz w:val="18"/>
                      <w:szCs w:val="18"/>
                      <w14:textFill>
                        <w14:solidFill>
                          <w14:schemeClr w14:val="tx1"/>
                        </w14:solidFill>
                      </w14:textFill>
                    </w:rPr>
                    <w:t>）：</w:t>
                  </w:r>
                </w:p>
              </w:tc>
              <w:tc>
                <w:tcPr>
                  <w:tcW w:w="1743" w:type="pct"/>
                  <w:gridSpan w:val="2"/>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相对密度（空气＝</w:t>
                  </w:r>
                  <w:r>
                    <w:rPr>
                      <w:color w:val="000000" w:themeColor="text1"/>
                      <w:sz w:val="18"/>
                      <w:szCs w:val="18"/>
                      <w14:textFill>
                        <w14:solidFill>
                          <w14:schemeClr w14:val="tx1"/>
                        </w14:solidFill>
                      </w14:textFill>
                    </w:rPr>
                    <w:t>1</w:t>
                  </w:r>
                  <w:r>
                    <w:rPr>
                      <w:rFonts w:hint="eastAsia"/>
                      <w:color w:val="000000" w:themeColor="text1"/>
                      <w:sz w:val="18"/>
                      <w:szCs w:val="18"/>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1"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1441" w:type="pct"/>
                  <w:gridSpan w:val="2"/>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燃烧热（</w:t>
                  </w:r>
                  <w:r>
                    <w:rPr>
                      <w:color w:val="000000" w:themeColor="text1"/>
                      <w:sz w:val="18"/>
                      <w:szCs w:val="18"/>
                      <w14:textFill>
                        <w14:solidFill>
                          <w14:schemeClr w14:val="tx1"/>
                        </w14:solidFill>
                      </w14:textFill>
                    </w:rPr>
                    <w:t>KJ/mol</w:t>
                  </w:r>
                  <w:r>
                    <w:rPr>
                      <w:rFonts w:hint="eastAsia"/>
                      <w:color w:val="000000" w:themeColor="text1"/>
                      <w:sz w:val="18"/>
                      <w:szCs w:val="18"/>
                      <w14:textFill>
                        <w14:solidFill>
                          <w14:schemeClr w14:val="tx1"/>
                        </w14:solidFill>
                      </w14:textFill>
                    </w:rPr>
                    <w:t>）：无意义</w:t>
                  </w:r>
                </w:p>
              </w:tc>
              <w:tc>
                <w:tcPr>
                  <w:tcW w:w="1324" w:type="pct"/>
                  <w:gridSpan w:val="3"/>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最小点火能（</w:t>
                  </w:r>
                  <w:r>
                    <w:rPr>
                      <w:color w:val="000000" w:themeColor="text1"/>
                      <w:sz w:val="18"/>
                      <w:szCs w:val="18"/>
                      <w14:textFill>
                        <w14:solidFill>
                          <w14:schemeClr w14:val="tx1"/>
                        </w14:solidFill>
                      </w14:textFill>
                    </w:rPr>
                    <w:t>mJ</w:t>
                  </w:r>
                  <w:r>
                    <w:rPr>
                      <w:rFonts w:hint="eastAsia"/>
                      <w:color w:val="000000" w:themeColor="text1"/>
                      <w:sz w:val="18"/>
                      <w:szCs w:val="18"/>
                      <w14:textFill>
                        <w14:solidFill>
                          <w14:schemeClr w14:val="tx1"/>
                        </w14:solidFill>
                      </w14:textFill>
                    </w:rPr>
                    <w:t>）：</w:t>
                  </w:r>
                </w:p>
              </w:tc>
              <w:tc>
                <w:tcPr>
                  <w:tcW w:w="1743" w:type="pct"/>
                  <w:gridSpan w:val="2"/>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饱和蒸汽压（</w:t>
                  </w:r>
                  <w:r>
                    <w:rPr>
                      <w:color w:val="000000" w:themeColor="text1"/>
                      <w:sz w:val="18"/>
                      <w:szCs w:val="18"/>
                      <w14:textFill>
                        <w14:solidFill>
                          <w14:schemeClr w14:val="tx1"/>
                        </w14:solidFill>
                      </w14:textFill>
                    </w:rPr>
                    <w:t>KPa</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1.59</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20</w:t>
                  </w:r>
                  <w:r>
                    <w:rPr>
                      <w:rFonts w:hint="eastAsia"/>
                      <w:color w:val="000000" w:themeColor="text1"/>
                      <w:sz w:val="18"/>
                      <w:szCs w:val="18"/>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1" w:type="pct"/>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燃烧爆炸危险性</w:t>
                  </w:r>
                </w:p>
              </w:tc>
              <w:tc>
                <w:tcPr>
                  <w:tcW w:w="1302" w:type="pct"/>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燃烧性：不燃</w:t>
                  </w:r>
                </w:p>
              </w:tc>
              <w:tc>
                <w:tcPr>
                  <w:tcW w:w="3205" w:type="pct"/>
                  <w:gridSpan w:val="6"/>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燃烧分解产物：氨。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1"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1302" w:type="pct"/>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闪点（℃）：无意义</w:t>
                  </w:r>
                </w:p>
              </w:tc>
              <w:tc>
                <w:tcPr>
                  <w:tcW w:w="3205" w:type="pct"/>
                  <w:gridSpan w:val="6"/>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聚合危害：不聚合</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1"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1302" w:type="pct"/>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爆炸下限（％）：无意义</w:t>
                  </w:r>
                </w:p>
              </w:tc>
              <w:tc>
                <w:tcPr>
                  <w:tcW w:w="3205" w:type="pct"/>
                  <w:gridSpan w:val="6"/>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稳定性：稳定</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1"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1302" w:type="pct"/>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爆炸上限（％）：无意义</w:t>
                  </w:r>
                </w:p>
              </w:tc>
              <w:tc>
                <w:tcPr>
                  <w:tcW w:w="3205" w:type="pct"/>
                  <w:gridSpan w:val="6"/>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最大爆炸压力（</w:t>
                  </w:r>
                  <w:r>
                    <w:rPr>
                      <w:color w:val="000000" w:themeColor="text1"/>
                      <w:sz w:val="18"/>
                      <w:szCs w:val="18"/>
                      <w14:textFill>
                        <w14:solidFill>
                          <w14:schemeClr w14:val="tx1"/>
                        </w14:solidFill>
                      </w14:textFill>
                    </w:rPr>
                    <w:t>MPa</w:t>
                  </w:r>
                  <w:r>
                    <w:rPr>
                      <w:rFonts w:hint="eastAsia"/>
                      <w:color w:val="000000" w:themeColor="text1"/>
                      <w:sz w:val="18"/>
                      <w:szCs w:val="18"/>
                      <w14:textFill>
                        <w14:solidFill>
                          <w14:schemeClr w14:val="tx1"/>
                        </w14:solidFill>
                      </w14:textFill>
                    </w:rPr>
                    <w:t>）：无意义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1"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1302" w:type="pct"/>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引燃温度（℃）：无意义</w:t>
                  </w:r>
                </w:p>
              </w:tc>
              <w:tc>
                <w:tcPr>
                  <w:tcW w:w="3205" w:type="pct"/>
                  <w:gridSpan w:val="6"/>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禁忌物：酸类、铝、铜。</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1"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4508" w:type="pct"/>
                  <w:gridSpan w:val="7"/>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危险特性：易分解放出氨气，温度越高，分解速度越快，可形成爆炸性气氛。</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1" w:type="pct"/>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left"/>
                    <w:textAlignment w:val="auto"/>
                    <w:rPr>
                      <w:color w:val="000000" w:themeColor="text1"/>
                      <w:sz w:val="18"/>
                      <w:szCs w:val="18"/>
                      <w14:textFill>
                        <w14:solidFill>
                          <w14:schemeClr w14:val="tx1"/>
                        </w14:solidFill>
                      </w14:textFill>
                    </w:rPr>
                  </w:pPr>
                </w:p>
              </w:tc>
              <w:tc>
                <w:tcPr>
                  <w:tcW w:w="4508" w:type="pct"/>
                  <w:gridSpan w:val="7"/>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灭火方法：灭火剂：水、雾状水、砂土。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1"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毒性</w:t>
                  </w:r>
                </w:p>
              </w:tc>
              <w:tc>
                <w:tcPr>
                  <w:tcW w:w="4508" w:type="pct"/>
                  <w:gridSpan w:val="7"/>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接触限值：中国</w:t>
                  </w:r>
                  <w:r>
                    <w:rPr>
                      <w:color w:val="000000" w:themeColor="text1"/>
                      <w:sz w:val="18"/>
                      <w:szCs w:val="18"/>
                      <w14:textFill>
                        <w14:solidFill>
                          <w14:schemeClr w14:val="tx1"/>
                        </w14:solidFill>
                      </w14:textFill>
                    </w:rPr>
                    <w:t>MAC</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mg/m</w:t>
                  </w:r>
                  <w:r>
                    <w:rPr>
                      <w:color w:val="000000" w:themeColor="text1"/>
                      <w:sz w:val="18"/>
                      <w:szCs w:val="18"/>
                      <w:vertAlign w:val="superscript"/>
                      <w14:textFill>
                        <w14:solidFill>
                          <w14:schemeClr w14:val="tx1"/>
                        </w14:solidFill>
                      </w14:textFill>
                    </w:rPr>
                    <w:t>3</w:t>
                  </w:r>
                  <w:r>
                    <w:rPr>
                      <w:rFonts w:hint="eastAsia"/>
                      <w:color w:val="000000" w:themeColor="text1"/>
                      <w:sz w:val="18"/>
                      <w:szCs w:val="18"/>
                      <w14:textFill>
                        <w14:solidFill>
                          <w14:schemeClr w14:val="tx1"/>
                        </w14:solidFill>
                      </w14:textFill>
                    </w:rPr>
                    <w:t>）未制定标准前苏联</w:t>
                  </w:r>
                  <w:r>
                    <w:rPr>
                      <w:color w:val="000000" w:themeColor="text1"/>
                      <w:sz w:val="18"/>
                      <w:szCs w:val="18"/>
                      <w14:textFill>
                        <w14:solidFill>
                          <w14:schemeClr w14:val="tx1"/>
                        </w14:solidFill>
                      </w14:textFill>
                    </w:rPr>
                    <w:t>MAC</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mg/m</w:t>
                  </w:r>
                  <w:r>
                    <w:rPr>
                      <w:color w:val="000000" w:themeColor="text1"/>
                      <w:sz w:val="18"/>
                      <w:szCs w:val="18"/>
                      <w:vertAlign w:val="superscript"/>
                      <w14:textFill>
                        <w14:solidFill>
                          <w14:schemeClr w14:val="tx1"/>
                        </w14:solidFill>
                      </w14:textFill>
                    </w:rPr>
                    <w:t>3</w:t>
                  </w:r>
                  <w:r>
                    <w:rPr>
                      <w:rFonts w:hint="eastAsia"/>
                      <w:color w:val="000000" w:themeColor="text1"/>
                      <w:sz w:val="18"/>
                      <w:szCs w:val="18"/>
                      <w14:textFill>
                        <w14:solidFill>
                          <w14:schemeClr w14:val="tx1"/>
                        </w14:solidFill>
                      </w14:textFill>
                    </w:rPr>
                    <w:t>）未制定标准</w:t>
                  </w:r>
                </w:p>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美国</w:t>
                  </w:r>
                  <w:r>
                    <w:rPr>
                      <w:color w:val="000000" w:themeColor="text1"/>
                      <w:sz w:val="18"/>
                      <w:szCs w:val="18"/>
                      <w14:textFill>
                        <w14:solidFill>
                          <w14:schemeClr w14:val="tx1"/>
                        </w14:solidFill>
                      </w14:textFill>
                    </w:rPr>
                    <w:t>TVL</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TWA</w:t>
                  </w:r>
                  <w:r>
                    <w:rPr>
                      <w:rFonts w:hint="eastAsia"/>
                      <w:color w:val="000000" w:themeColor="text1"/>
                      <w:sz w:val="18"/>
                      <w:szCs w:val="18"/>
                      <w14:textFill>
                        <w14:solidFill>
                          <w14:schemeClr w14:val="tx1"/>
                        </w14:solidFill>
                      </w14:textFill>
                    </w:rPr>
                    <w:t>未制定标准美国</w:t>
                  </w:r>
                  <w:r>
                    <w:rPr>
                      <w:color w:val="000000" w:themeColor="text1"/>
                      <w:sz w:val="18"/>
                      <w:szCs w:val="18"/>
                      <w14:textFill>
                        <w14:solidFill>
                          <w14:schemeClr w14:val="tx1"/>
                        </w14:solidFill>
                      </w14:textFill>
                    </w:rPr>
                    <w:t>TLV</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STEL</w:t>
                  </w:r>
                  <w:r>
                    <w:rPr>
                      <w:rFonts w:hint="eastAsia"/>
                      <w:color w:val="000000" w:themeColor="text1"/>
                      <w:sz w:val="18"/>
                      <w:szCs w:val="18"/>
                      <w14:textFill>
                        <w14:solidFill>
                          <w14:schemeClr w14:val="tx1"/>
                        </w14:solidFill>
                      </w14:textFill>
                    </w:rPr>
                    <w:t>未制定标准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1"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对人体危害</w:t>
                  </w:r>
                </w:p>
              </w:tc>
              <w:tc>
                <w:tcPr>
                  <w:tcW w:w="4508" w:type="pct"/>
                  <w:gridSpan w:val="7"/>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侵入途径：吸入、食入。</w:t>
                  </w:r>
                </w:p>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健康危害：吸入后对鼻、喉和肺有刺激性，引起咳嗽、气短和哮喘等；重者发生喉头水肿、肺水肿及心、肝、肾损害。溅入眼内可造成灼伤。皮肤接触可致灼伤。口服灼伤消化道。慢性影响：反复低浓度接触，可引起支气管炎；可致皮炎。</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1"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急救</w:t>
                  </w:r>
                </w:p>
              </w:tc>
              <w:tc>
                <w:tcPr>
                  <w:tcW w:w="4508" w:type="pct"/>
                  <w:gridSpan w:val="7"/>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皮肤接触：立即脱出被污染的衣着。用大量流动清水冲洗，至少</w:t>
                  </w:r>
                  <w:r>
                    <w:rPr>
                      <w:color w:val="000000" w:themeColor="text1"/>
                      <w:sz w:val="18"/>
                      <w:szCs w:val="18"/>
                      <w14:textFill>
                        <w14:solidFill>
                          <w14:schemeClr w14:val="tx1"/>
                        </w14:solidFill>
                      </w14:textFill>
                    </w:rPr>
                    <w:t>15</w:t>
                  </w:r>
                  <w:r>
                    <w:rPr>
                      <w:rFonts w:hint="eastAsia"/>
                      <w:color w:val="000000" w:themeColor="text1"/>
                      <w:sz w:val="18"/>
                      <w:szCs w:val="18"/>
                      <w14:textFill>
                        <w14:solidFill>
                          <w14:schemeClr w14:val="tx1"/>
                        </w14:solidFill>
                      </w14:textFill>
                    </w:rPr>
                    <w:t>分钟。就医。</w:t>
                  </w:r>
                </w:p>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眼睛接触：立即提起眼睑，用大量流动清水或生理盐水彻底冲洗至少</w:t>
                  </w:r>
                  <w:r>
                    <w:rPr>
                      <w:color w:val="000000" w:themeColor="text1"/>
                      <w:sz w:val="18"/>
                      <w:szCs w:val="18"/>
                      <w14:textFill>
                        <w14:solidFill>
                          <w14:schemeClr w14:val="tx1"/>
                        </w14:solidFill>
                      </w14:textFill>
                    </w:rPr>
                    <w:t>15</w:t>
                  </w:r>
                  <w:r>
                    <w:rPr>
                      <w:rFonts w:hint="eastAsia"/>
                      <w:color w:val="000000" w:themeColor="text1"/>
                      <w:sz w:val="18"/>
                      <w:szCs w:val="18"/>
                      <w14:textFill>
                        <w14:solidFill>
                          <w14:schemeClr w14:val="tx1"/>
                        </w14:solidFill>
                      </w14:textFill>
                    </w:rPr>
                    <w:t>分钟。就医。</w:t>
                  </w:r>
                </w:p>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吸入：迅速脱离现场至空气新鲜处，保持呼吸道通畅。如呼吸困难，给输氧。如呼吸停止，立即进行人工呼吸。就医。</w:t>
                  </w:r>
                </w:p>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食入：误服者用水漱口，给饮牛奶或蛋清。就医。</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trPr>
              <w:tc>
                <w:tcPr>
                  <w:tcW w:w="491"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防护</w:t>
                  </w:r>
                </w:p>
              </w:tc>
              <w:tc>
                <w:tcPr>
                  <w:tcW w:w="4508" w:type="pct"/>
                  <w:gridSpan w:val="7"/>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工程防护：严加密闭。提供充分的局部排风和全面通风。提供安全淋浴和洗眼设备。</w:t>
                  </w:r>
                </w:p>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个人防护：可能接触其蒸气时，应该佩戴导管式防毒面具或直接式防毒面具（半面罩）。戴化学安全防护眼镜；穿防酸碱工作服；戴橡胶手套。工作现场严禁吸烟、进食和饮水。工作毕，淋浴更衣。保持良好的卫生习惯。</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trPr>
              <w:tc>
                <w:tcPr>
                  <w:tcW w:w="491"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泄漏处理</w:t>
                  </w:r>
                </w:p>
              </w:tc>
              <w:tc>
                <w:tcPr>
                  <w:tcW w:w="4508" w:type="pct"/>
                  <w:gridSpan w:val="7"/>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迅速撤离泄漏污染区人员至安全区，并进行隔离，严格限制出入。建议应急处理人员戴自给正压式呼吸器，穿防酸碱工作服。不要直接接触泄漏物。尽可能切断泄漏源。防止进入下水道、排洪沟等限制性空间。小量泄漏：用砂土、蛭石或其它惰性材料吸收。也可以用大量水冲洗，洗水稀释后放入废水系统。大量泄漏：构筑围堤或挖坑收容；用泵转移至槽车或专用收集器内。回收或运至废物处理场所处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1" w:type="pc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贮运</w:t>
                  </w:r>
                </w:p>
              </w:tc>
              <w:tc>
                <w:tcPr>
                  <w:tcW w:w="4508" w:type="pct"/>
                  <w:gridSpan w:val="7"/>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包装标志：</w:t>
                  </w:r>
                  <w:r>
                    <w:rPr>
                      <w:color w:val="000000" w:themeColor="text1"/>
                      <w:sz w:val="18"/>
                      <w:szCs w:val="18"/>
                      <w14:textFill>
                        <w14:solidFill>
                          <w14:schemeClr w14:val="tx1"/>
                        </w14:solidFill>
                      </w14:textFill>
                    </w:rPr>
                    <w:t>20 UN</w:t>
                  </w:r>
                  <w:r>
                    <w:rPr>
                      <w:rFonts w:hint="eastAsia"/>
                      <w:color w:val="000000" w:themeColor="text1"/>
                      <w:sz w:val="18"/>
                      <w:szCs w:val="18"/>
                      <w14:textFill>
                        <w14:solidFill>
                          <w14:schemeClr w14:val="tx1"/>
                        </w14:solidFill>
                      </w14:textFill>
                    </w:rPr>
                    <w:t>编号：</w:t>
                  </w:r>
                  <w:r>
                    <w:rPr>
                      <w:color w:val="000000" w:themeColor="text1"/>
                      <w:sz w:val="18"/>
                      <w:szCs w:val="18"/>
                      <w14:textFill>
                        <w14:solidFill>
                          <w14:schemeClr w14:val="tx1"/>
                        </w14:solidFill>
                      </w14:textFill>
                    </w:rPr>
                    <w:t>2672</w:t>
                  </w:r>
                  <w:r>
                    <w:rPr>
                      <w:rFonts w:hint="eastAsia"/>
                      <w:color w:val="000000" w:themeColor="text1"/>
                      <w:sz w:val="18"/>
                      <w:szCs w:val="18"/>
                      <w14:textFill>
                        <w14:solidFill>
                          <w14:schemeClr w14:val="tx1"/>
                        </w14:solidFill>
                      </w14:textFill>
                    </w:rPr>
                    <w:t>包装分类：Ⅲ包装方法：小开口钢桶；螺纹口玻璃瓶、铁盖压口玻璃瓶、塑料瓶或金属桶（罐）外木板箱。</w:t>
                  </w:r>
                </w:p>
                <w:p>
                  <w:pPr>
                    <w:keepNext w:val="0"/>
                    <w:keepLines w:val="0"/>
                    <w:pageBreakBefore w:val="0"/>
                    <w:kinsoku/>
                    <w:wordWrap/>
                    <w:overflowPunct/>
                    <w:topLinePunct w:val="0"/>
                    <w:autoSpaceDE/>
                    <w:autoSpaceDN/>
                    <w:bidi w:val="0"/>
                    <w:adjustRightInd/>
                    <w:snapToGrid/>
                    <w:spacing w:line="320" w:lineRule="exact"/>
                    <w:ind w:firstLine="0" w:firstLineChars="0"/>
                    <w:textAlignment w:val="auto"/>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储运条件：储存于阴凉、干燥，通风良好的仓间。远离火种、热源，防止阳光直射。保持容器密封。应与酸类、金属粉末等分开存放。露天贮罐夏季要有降温措施。分装和搬运作业要注意个人防护。搬运要轻装轻卸，防止包装及容器损坏。运输按规定路线行驶，勿在居民区和人口稠密区停留。</w:t>
                  </w:r>
                </w:p>
              </w:tc>
            </w:tr>
          </w:tbl>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cs="Times New Roman"/>
                <w:bCs/>
                <w:color w:val="000000" w:themeColor="text1"/>
                <w:kern w:val="0"/>
                <w:szCs w:val="21"/>
                <w:lang w:val="en-GB"/>
                <w14:textFill>
                  <w14:solidFill>
                    <w14:schemeClr w14:val="tx1"/>
                  </w14:solidFill>
                </w14:textFill>
              </w:rPr>
            </w:pPr>
            <w:r>
              <w:rPr>
                <w:rFonts w:hint="default" w:ascii="Times New Roman" w:hAnsi="Times New Roman" w:cs="Times New Roman"/>
                <w:b/>
                <w:color w:val="000000" w:themeColor="text1"/>
                <w:kern w:val="0"/>
                <w:szCs w:val="21"/>
                <w14:textFill>
                  <w14:solidFill>
                    <w14:schemeClr w14:val="tx1"/>
                  </w14:solidFill>
                </w14:textFill>
              </w:rPr>
              <w:t>（</w:t>
            </w:r>
            <w:r>
              <w:rPr>
                <w:rFonts w:hint="default" w:ascii="Times New Roman" w:hAnsi="Times New Roman" w:cs="Times New Roman"/>
                <w:b/>
                <w:color w:val="000000" w:themeColor="text1"/>
                <w:kern w:val="0"/>
                <w:szCs w:val="21"/>
                <w:lang w:val="en-US" w:eastAsia="zh-CN"/>
                <w14:textFill>
                  <w14:solidFill>
                    <w14:schemeClr w14:val="tx1"/>
                  </w14:solidFill>
                </w14:textFill>
              </w:rPr>
              <w:t>3</w:t>
            </w:r>
            <w:r>
              <w:rPr>
                <w:rFonts w:hint="default" w:ascii="Times New Roman" w:hAnsi="Times New Roman" w:cs="Times New Roman"/>
                <w:b/>
                <w:color w:val="000000" w:themeColor="text1"/>
                <w:kern w:val="0"/>
                <w:szCs w:val="21"/>
                <w14:textFill>
                  <w14:solidFill>
                    <w14:schemeClr w14:val="tx1"/>
                  </w14:solidFill>
                </w14:textFill>
              </w:rPr>
              <w:t>）环境风险分析</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eastAsia="宋体" w:cs="Times New Roman"/>
                <w:b/>
                <w:bCs w:val="0"/>
                <w:color w:val="000000" w:themeColor="text1"/>
                <w:kern w:val="0"/>
                <w:szCs w:val="21"/>
                <w:lang w:val="en-US" w:eastAsia="zh-CN"/>
                <w14:textFill>
                  <w14:solidFill>
                    <w14:schemeClr w14:val="tx1"/>
                  </w14:solidFill>
                </w14:textFill>
              </w:rPr>
            </w:pPr>
            <w:r>
              <w:rPr>
                <w:rFonts w:hint="default" w:ascii="Times New Roman" w:hAnsi="Times New Roman" w:cs="Times New Roman"/>
                <w:b/>
                <w:bCs w:val="0"/>
                <w:color w:val="000000" w:themeColor="text1"/>
                <w:kern w:val="0"/>
                <w:szCs w:val="21"/>
                <w:lang w:val="en-US" w:eastAsia="zh-CN"/>
                <w14:textFill>
                  <w14:solidFill>
                    <w14:schemeClr w14:val="tx1"/>
                  </w14:solidFill>
                </w14:textFill>
              </w:rPr>
              <w:t>A.天然气管道及调压柜</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lang w:val="en-GB"/>
                <w14:textFill>
                  <w14:solidFill>
                    <w14:schemeClr w14:val="tx1"/>
                  </w14:solidFill>
                </w14:textFill>
              </w:rPr>
            </w:pPr>
            <w:r>
              <w:rPr>
                <w:rFonts w:hint="default" w:ascii="Times New Roman" w:hAnsi="Times New Roman" w:cs="Times New Roman"/>
                <w:bCs/>
                <w:color w:val="000000" w:themeColor="text1"/>
                <w:kern w:val="0"/>
                <w:szCs w:val="21"/>
                <w:lang w:val="en-GB"/>
                <w14:textFill>
                  <w14:solidFill>
                    <w14:schemeClr w14:val="tx1"/>
                  </w14:solidFill>
                </w14:textFill>
              </w:rPr>
              <w:t>项目以天然气作为</w:t>
            </w:r>
            <w:r>
              <w:rPr>
                <w:rFonts w:hint="default" w:ascii="Times New Roman" w:hAnsi="Times New Roman" w:cs="Times New Roman"/>
                <w:bCs/>
                <w:color w:val="000000" w:themeColor="text1"/>
                <w:kern w:val="0"/>
                <w:szCs w:val="21"/>
                <w:lang w:val="en-GB" w:eastAsia="zh-CN"/>
                <w14:textFill>
                  <w14:solidFill>
                    <w14:schemeClr w14:val="tx1"/>
                  </w14:solidFill>
                </w14:textFill>
              </w:rPr>
              <w:t>加热炉</w:t>
            </w:r>
            <w:r>
              <w:rPr>
                <w:rFonts w:hint="default" w:ascii="Times New Roman" w:hAnsi="Times New Roman" w:cs="Times New Roman"/>
                <w:bCs/>
                <w:color w:val="000000" w:themeColor="text1"/>
                <w:kern w:val="0"/>
                <w:szCs w:val="21"/>
                <w:lang w:val="en-GB"/>
                <w14:textFill>
                  <w14:solidFill>
                    <w14:schemeClr w14:val="tx1"/>
                  </w14:solidFill>
                </w14:textFill>
              </w:rPr>
              <w:t>能源，其发热值高、燃烧稳定，火焰清洁，以天然气作燃料有利于节约能源。但天然气的易燃易爆等特性，决定了其在生产过程中潜在的火灾爆炸危险性。一旦产生泄漏，设备遭灾停产，不仅危及人员生命安全和造成国家财产损失，并且影响居民的日常生活和工业生产。所以，必须重视天然气设备的防火防爆工作。产生的火灾、爆炸因素主要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lang w:val="en-GB"/>
                <w14:textFill>
                  <w14:solidFill>
                    <w14:schemeClr w14:val="tx1"/>
                  </w14:solidFill>
                </w14:textFill>
              </w:rPr>
            </w:pPr>
            <w:r>
              <w:rPr>
                <w:rFonts w:hint="default" w:ascii="Times New Roman" w:hAnsi="Times New Roman" w:cs="Times New Roman"/>
                <w:bCs/>
                <w:color w:val="000000" w:themeColor="text1"/>
                <w:kern w:val="0"/>
                <w:szCs w:val="21"/>
                <w:lang w:val="en-GB"/>
                <w14:textFill>
                  <w14:solidFill>
                    <w14:schemeClr w14:val="tx1"/>
                  </w14:solidFill>
                </w14:textFill>
              </w:rPr>
              <w:t>①天然气加热装置炉膛爆炸，由于可燃气体漏入并与空气混合形成爆炸性混合物，这种混合物处在爆炸极限范围时一接触到适当的点火源就会发生爆炸事故。</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lang w:val="en-GB"/>
                <w14:textFill>
                  <w14:solidFill>
                    <w14:schemeClr w14:val="tx1"/>
                  </w14:solidFill>
                </w14:textFill>
              </w:rPr>
            </w:pPr>
            <w:r>
              <w:rPr>
                <w:rFonts w:hint="default" w:ascii="Times New Roman" w:hAnsi="Times New Roman" w:cs="Times New Roman"/>
                <w:bCs/>
                <w:color w:val="000000" w:themeColor="text1"/>
                <w:kern w:val="0"/>
                <w:szCs w:val="21"/>
                <w:lang w:val="en-GB"/>
                <w14:textFill>
                  <w14:solidFill>
                    <w14:schemeClr w14:val="tx1"/>
                  </w14:solidFill>
                </w14:textFill>
              </w:rPr>
              <w:t>②天然气管道膨胀节损坏及管道腐蚀、风机在运行过程中可能造成机械密封破坏，管道法兰垫子老化或损坏等，造成天然气泄漏到空间中达到爆炸极限浓度范围，遇点火源发生燃烧或爆炸。</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lang w:val="en-GB"/>
                <w14:textFill>
                  <w14:solidFill>
                    <w14:schemeClr w14:val="tx1"/>
                  </w14:solidFill>
                </w14:textFill>
              </w:rPr>
            </w:pPr>
            <w:r>
              <w:rPr>
                <w:rFonts w:hint="default" w:ascii="Times New Roman" w:hAnsi="Times New Roman" w:cs="Times New Roman"/>
                <w:bCs/>
                <w:color w:val="000000" w:themeColor="text1"/>
                <w:kern w:val="0"/>
                <w:szCs w:val="21"/>
                <w:lang w:val="en-GB"/>
                <w14:textFill>
                  <w14:solidFill>
                    <w14:schemeClr w14:val="tx1"/>
                  </w14:solidFill>
                </w14:textFill>
              </w:rPr>
              <w:t>③天然气燃烧设备点火时控制不好，在未点火时燃烧室中先形成爆炸性气体，在点火时可能发生爆炸事故。或因天然气供应中断造成熄火未发现，待天然气恢复供应时发现未采取措施而直接点火，造成爆炸事故。另外，如果加入到燃烧</w:t>
            </w:r>
            <w:r>
              <w:rPr>
                <w:rFonts w:hint="default" w:ascii="Times New Roman" w:hAnsi="Times New Roman" w:cs="Times New Roman"/>
                <w:bCs/>
                <w:color w:val="000000" w:themeColor="text1"/>
                <w:kern w:val="0"/>
                <w:szCs w:val="21"/>
                <w:lang w:val="en-GB" w:eastAsia="zh-CN"/>
                <w14:textFill>
                  <w14:solidFill>
                    <w14:schemeClr w14:val="tx1"/>
                  </w14:solidFill>
                </w14:textFill>
              </w:rPr>
              <w:t>设施</w:t>
            </w:r>
            <w:r>
              <w:rPr>
                <w:rFonts w:hint="default" w:ascii="Times New Roman" w:hAnsi="Times New Roman" w:cs="Times New Roman"/>
                <w:bCs/>
                <w:color w:val="000000" w:themeColor="text1"/>
                <w:kern w:val="0"/>
                <w:szCs w:val="21"/>
                <w:lang w:val="en-GB"/>
                <w14:textFill>
                  <w14:solidFill>
                    <w14:schemeClr w14:val="tx1"/>
                  </w14:solidFill>
                </w14:textFill>
              </w:rPr>
              <w:t>的天然气过量，燃烧不完全，天然气可能在后部或排放口发生燃烧或爆炸。</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cs="Times New Roman"/>
                <w:b/>
                <w:color w:val="000000" w:themeColor="text1"/>
                <w:kern w:val="0"/>
                <w:szCs w:val="21"/>
                <w:lang w:val="en-US" w:eastAsia="zh-CN"/>
                <w14:textFill>
                  <w14:solidFill>
                    <w14:schemeClr w14:val="tx1"/>
                  </w14:solidFill>
                </w14:textFill>
              </w:rPr>
            </w:pPr>
            <w:r>
              <w:rPr>
                <w:rFonts w:hint="default" w:ascii="Times New Roman" w:hAnsi="Times New Roman" w:cs="Times New Roman"/>
                <w:b/>
                <w:color w:val="000000" w:themeColor="text1"/>
                <w:kern w:val="0"/>
                <w:szCs w:val="21"/>
                <w:lang w:val="en-US" w:eastAsia="zh-CN"/>
                <w14:textFill>
                  <w14:solidFill>
                    <w14:schemeClr w14:val="tx1"/>
                  </w14:solidFill>
                </w14:textFill>
              </w:rPr>
              <w:t>B.丙烷钢瓶储存区</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highlight w:val="none"/>
                <w:lang w:val="en-GB"/>
                <w14:textFill>
                  <w14:solidFill>
                    <w14:schemeClr w14:val="tx1"/>
                  </w14:solidFill>
                </w14:textFill>
              </w:rPr>
            </w:pPr>
            <w:r>
              <w:rPr>
                <w:rFonts w:hint="default" w:ascii="Times New Roman" w:hAnsi="Times New Roman" w:cs="Times New Roman"/>
                <w:bCs/>
                <w:color w:val="000000" w:themeColor="text1"/>
                <w:kern w:val="0"/>
                <w:szCs w:val="21"/>
                <w:highlight w:val="none"/>
                <w:lang w:val="en-GB" w:eastAsia="zh-CN"/>
                <w14:textFill>
                  <w14:solidFill>
                    <w14:schemeClr w14:val="tx1"/>
                  </w14:solidFill>
                </w14:textFill>
              </w:rPr>
              <w:t>项目丙烷作为磁力切割加热源</w:t>
            </w:r>
            <w:r>
              <w:rPr>
                <w:rFonts w:hint="default" w:ascii="Times New Roman" w:hAnsi="Times New Roman" w:cs="Times New Roman"/>
                <w:bCs/>
                <w:color w:val="000000" w:themeColor="text1"/>
                <w:kern w:val="0"/>
                <w:szCs w:val="21"/>
                <w:highlight w:val="none"/>
                <w:lang w:val="en-GB"/>
                <w14:textFill>
                  <w14:solidFill>
                    <w14:schemeClr w14:val="tx1"/>
                  </w14:solidFill>
                </w14:textFill>
              </w:rPr>
              <w:t>，其发热值高</w:t>
            </w:r>
            <w:r>
              <w:rPr>
                <w:rFonts w:hint="default" w:ascii="Times New Roman" w:hAnsi="Times New Roman" w:cs="Times New Roman"/>
                <w:bCs/>
                <w:color w:val="000000" w:themeColor="text1"/>
                <w:kern w:val="0"/>
                <w:szCs w:val="21"/>
                <w:lang w:val="en-GB"/>
                <w14:textFill>
                  <w14:solidFill>
                    <w14:schemeClr w14:val="tx1"/>
                  </w14:solidFill>
                </w14:textFill>
              </w:rPr>
              <w:t>、燃烧稳定，火焰清洁</w:t>
            </w:r>
            <w:r>
              <w:rPr>
                <w:rFonts w:hint="default" w:ascii="Times New Roman" w:hAnsi="Times New Roman" w:cs="Times New Roman"/>
                <w:bCs/>
                <w:color w:val="000000" w:themeColor="text1"/>
                <w:kern w:val="0"/>
                <w:szCs w:val="21"/>
                <w:highlight w:val="none"/>
                <w:lang w:val="en-GB"/>
                <w14:textFill>
                  <w14:solidFill>
                    <w14:schemeClr w14:val="tx1"/>
                  </w14:solidFill>
                </w14:textFill>
              </w:rPr>
              <w:t>，但</w:t>
            </w:r>
            <w:r>
              <w:rPr>
                <w:rFonts w:hint="default" w:ascii="Times New Roman" w:hAnsi="Times New Roman" w:cs="Times New Roman"/>
                <w:bCs/>
                <w:color w:val="000000" w:themeColor="text1"/>
                <w:kern w:val="0"/>
                <w:szCs w:val="21"/>
                <w:highlight w:val="none"/>
                <w:lang w:val="en-GB" w:eastAsia="zh-CN"/>
                <w14:textFill>
                  <w14:solidFill>
                    <w14:schemeClr w14:val="tx1"/>
                  </w14:solidFill>
                </w14:textFill>
              </w:rPr>
              <w:t>丙烷具有易燃易爆特性</w:t>
            </w:r>
            <w:r>
              <w:rPr>
                <w:rFonts w:hint="default" w:ascii="Times New Roman" w:hAnsi="Times New Roman" w:cs="Times New Roman"/>
                <w:bCs/>
                <w:color w:val="000000" w:themeColor="text1"/>
                <w:kern w:val="0"/>
                <w:szCs w:val="21"/>
                <w:highlight w:val="none"/>
                <w:lang w:val="en-GB"/>
                <w14:textFill>
                  <w14:solidFill>
                    <w14:schemeClr w14:val="tx1"/>
                  </w14:solidFill>
                </w14:textFill>
              </w:rPr>
              <w:t>，必须重视</w:t>
            </w:r>
            <w:r>
              <w:rPr>
                <w:rFonts w:hint="default" w:ascii="Times New Roman" w:hAnsi="Times New Roman" w:cs="Times New Roman"/>
                <w:bCs/>
                <w:color w:val="000000" w:themeColor="text1"/>
                <w:kern w:val="0"/>
                <w:szCs w:val="21"/>
                <w:highlight w:val="none"/>
                <w:lang w:val="en-GB" w:eastAsia="zh-CN"/>
                <w14:textFill>
                  <w14:solidFill>
                    <w14:schemeClr w14:val="tx1"/>
                  </w14:solidFill>
                </w14:textFill>
              </w:rPr>
              <w:t>并网储存等</w:t>
            </w:r>
            <w:r>
              <w:rPr>
                <w:rFonts w:hint="default" w:ascii="Times New Roman" w:hAnsi="Times New Roman" w:cs="Times New Roman"/>
                <w:bCs/>
                <w:color w:val="000000" w:themeColor="text1"/>
                <w:kern w:val="0"/>
                <w:szCs w:val="21"/>
                <w:highlight w:val="none"/>
                <w:lang w:val="en-GB"/>
                <w14:textFill>
                  <w14:solidFill>
                    <w14:schemeClr w14:val="tx1"/>
                  </w14:solidFill>
                </w14:textFill>
              </w:rPr>
              <w:t>设备的防火防爆工作。产生的火灾、爆炸因素主要有：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highlight w:val="none"/>
                <w:lang w:val="en-GB"/>
                <w14:textFill>
                  <w14:solidFill>
                    <w14:schemeClr w14:val="tx1"/>
                  </w14:solidFill>
                </w14:textFill>
              </w:rPr>
            </w:pPr>
            <w:r>
              <w:rPr>
                <w:rFonts w:hint="default" w:ascii="Times New Roman" w:hAnsi="Times New Roman" w:cs="Times New Roman"/>
                <w:bCs/>
                <w:color w:val="000000" w:themeColor="text1"/>
                <w:kern w:val="0"/>
                <w:szCs w:val="21"/>
                <w:highlight w:val="none"/>
                <w:lang w:val="en-GB"/>
                <w14:textFill>
                  <w14:solidFill>
                    <w14:schemeClr w14:val="tx1"/>
                  </w14:solidFill>
                </w14:textFill>
              </w:rPr>
              <w:t>①</w:t>
            </w:r>
            <w:r>
              <w:rPr>
                <w:rFonts w:hint="default" w:ascii="Times New Roman" w:hAnsi="Times New Roman" w:cs="Times New Roman"/>
                <w:bCs/>
                <w:color w:val="000000" w:themeColor="text1"/>
                <w:kern w:val="0"/>
                <w:szCs w:val="21"/>
                <w:highlight w:val="none"/>
                <w:lang w:val="en-GB" w:eastAsia="zh-CN"/>
                <w14:textFill>
                  <w14:solidFill>
                    <w14:schemeClr w14:val="tx1"/>
                  </w14:solidFill>
                </w14:textFill>
              </w:rPr>
              <w:t>丙烷钢瓶储罐</w:t>
            </w:r>
            <w:r>
              <w:rPr>
                <w:rFonts w:hint="default" w:ascii="Times New Roman" w:hAnsi="Times New Roman" w:cs="Times New Roman"/>
                <w:bCs/>
                <w:color w:val="000000" w:themeColor="text1"/>
                <w:kern w:val="0"/>
                <w:szCs w:val="21"/>
                <w:highlight w:val="none"/>
                <w:lang w:val="en-GB"/>
                <w14:textFill>
                  <w14:solidFill>
                    <w14:schemeClr w14:val="tx1"/>
                  </w14:solidFill>
                </w14:textFill>
              </w:rPr>
              <w:t>爆炸，由于</w:t>
            </w:r>
            <w:r>
              <w:rPr>
                <w:rFonts w:hint="default" w:ascii="Times New Roman" w:hAnsi="Times New Roman" w:cs="Times New Roman"/>
                <w:bCs/>
                <w:color w:val="000000" w:themeColor="text1"/>
                <w:kern w:val="0"/>
                <w:szCs w:val="21"/>
                <w:highlight w:val="none"/>
                <w:lang w:val="en-GB" w:eastAsia="zh-CN"/>
                <w14:textFill>
                  <w14:solidFill>
                    <w14:schemeClr w14:val="tx1"/>
                  </w14:solidFill>
                </w14:textFill>
              </w:rPr>
              <w:t>阀门、管道失灵造成</w:t>
            </w:r>
            <w:r>
              <w:rPr>
                <w:rFonts w:hint="default" w:ascii="Times New Roman" w:hAnsi="Times New Roman" w:cs="Times New Roman"/>
                <w:bCs/>
                <w:color w:val="000000" w:themeColor="text1"/>
                <w:kern w:val="0"/>
                <w:szCs w:val="21"/>
                <w:highlight w:val="none"/>
                <w:lang w:val="en-GB"/>
                <w14:textFill>
                  <w14:solidFill>
                    <w14:schemeClr w14:val="tx1"/>
                  </w14:solidFill>
                </w14:textFill>
              </w:rPr>
              <w:t>可燃气体</w:t>
            </w:r>
            <w:r>
              <w:rPr>
                <w:rFonts w:hint="default" w:ascii="Times New Roman" w:hAnsi="Times New Roman" w:cs="Times New Roman"/>
                <w:bCs/>
                <w:color w:val="000000" w:themeColor="text1"/>
                <w:kern w:val="0"/>
                <w:szCs w:val="21"/>
                <w:highlight w:val="none"/>
                <w:lang w:val="en-GB" w:eastAsia="zh-CN"/>
                <w14:textFill>
                  <w14:solidFill>
                    <w14:schemeClr w14:val="tx1"/>
                  </w14:solidFill>
                </w14:textFill>
              </w:rPr>
              <w:t>泄漏</w:t>
            </w:r>
            <w:r>
              <w:rPr>
                <w:rFonts w:hint="default" w:ascii="Times New Roman" w:hAnsi="Times New Roman" w:cs="Times New Roman"/>
                <w:bCs/>
                <w:color w:val="000000" w:themeColor="text1"/>
                <w:kern w:val="0"/>
                <w:szCs w:val="21"/>
                <w:highlight w:val="none"/>
                <w:lang w:val="en-GB"/>
                <w14:textFill>
                  <w14:solidFill>
                    <w14:schemeClr w14:val="tx1"/>
                  </w14:solidFill>
                </w14:textFill>
              </w:rPr>
              <w:t>并与空气混合形成爆炸性混合物，这种混合物处在爆炸极限范围时一接触到适当的点火源就会发生爆炸事故。</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highlight w:val="none"/>
                <w:lang w:val="en-GB"/>
                <w14:textFill>
                  <w14:solidFill>
                    <w14:schemeClr w14:val="tx1"/>
                  </w14:solidFill>
                </w14:textFill>
              </w:rPr>
            </w:pPr>
            <w:r>
              <w:rPr>
                <w:rFonts w:hint="default" w:ascii="Times New Roman" w:hAnsi="Times New Roman" w:cs="Times New Roman"/>
                <w:bCs/>
                <w:color w:val="000000" w:themeColor="text1"/>
                <w:kern w:val="0"/>
                <w:szCs w:val="21"/>
                <w:highlight w:val="none"/>
                <w:lang w:val="en-GB"/>
                <w14:textFill>
                  <w14:solidFill>
                    <w14:schemeClr w14:val="tx1"/>
                  </w14:solidFill>
                </w14:textFill>
              </w:rPr>
              <w:t>②</w:t>
            </w:r>
            <w:r>
              <w:rPr>
                <w:rFonts w:hint="default" w:ascii="Times New Roman" w:hAnsi="Times New Roman" w:cs="Times New Roman"/>
                <w:bCs/>
                <w:color w:val="000000" w:themeColor="text1"/>
                <w:kern w:val="0"/>
                <w:szCs w:val="21"/>
                <w:highlight w:val="none"/>
                <w:lang w:val="en-GB" w:eastAsia="zh-CN"/>
                <w14:textFill>
                  <w14:solidFill>
                    <w14:schemeClr w14:val="tx1"/>
                  </w14:solidFill>
                </w14:textFill>
              </w:rPr>
              <w:t>丙烷钢瓶为压力储存容器，储存位置处于光照、高温等环境或运输过程受外力振动、碰撞等因素造成钢瓶爆炸，并引发火灾等事故</w:t>
            </w:r>
            <w:r>
              <w:rPr>
                <w:rFonts w:hint="default" w:ascii="Times New Roman" w:hAnsi="Times New Roman" w:cs="Times New Roman"/>
                <w:bCs/>
                <w:color w:val="000000" w:themeColor="text1"/>
                <w:kern w:val="0"/>
                <w:szCs w:val="21"/>
                <w:highlight w:val="none"/>
                <w:lang w:val="en-GB"/>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cs="Times New Roman"/>
                <w:b/>
                <w:color w:val="000000" w:themeColor="text1"/>
                <w:kern w:val="0"/>
                <w:szCs w:val="21"/>
                <w:highlight w:val="none"/>
                <w:lang w:val="en-US" w:eastAsia="zh-CN"/>
                <w14:textFill>
                  <w14:solidFill>
                    <w14:schemeClr w14:val="tx1"/>
                  </w14:solidFill>
                </w14:textFill>
              </w:rPr>
            </w:pPr>
            <w:r>
              <w:rPr>
                <w:rFonts w:hint="default" w:ascii="Times New Roman" w:hAnsi="Times New Roman" w:cs="Times New Roman"/>
                <w:b/>
                <w:color w:val="000000" w:themeColor="text1"/>
                <w:kern w:val="0"/>
                <w:szCs w:val="21"/>
                <w:highlight w:val="none"/>
                <w:lang w:val="en-US" w:eastAsia="zh-CN"/>
                <w14:textFill>
                  <w14:solidFill>
                    <w14:schemeClr w14:val="tx1"/>
                  </w14:solidFill>
                </w14:textFill>
              </w:rPr>
              <w:t>C.氨水罐储存区</w:t>
            </w:r>
          </w:p>
          <w:p>
            <w:pPr>
              <w:pStyle w:val="26"/>
              <w:keepNext w:val="0"/>
              <w:keepLines w:val="0"/>
              <w:pageBreakBefore w:val="0"/>
              <w:widowControl w:val="0"/>
              <w:numPr>
                <w:ilvl w:val="0"/>
                <w:numId w:val="0"/>
              </w:numPr>
              <w:kinsoku/>
              <w:wordWrap/>
              <w:overflowPunct/>
              <w:topLinePunct w:val="0"/>
              <w:bidi w:val="0"/>
              <w:adjustRightInd/>
              <w:snapToGrid/>
              <w:spacing w:line="360" w:lineRule="auto"/>
              <w:ind w:firstLine="420" w:firstLineChars="200"/>
              <w:jc w:val="both"/>
              <w:textAlignment w:val="auto"/>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t>项目SCR脱硝装置采用氨水作为还原剂，采用1个10m</w:t>
            </w:r>
            <w:r>
              <w:rPr>
                <w:rFonts w:hint="default" w:ascii="Times New Roman" w:hAnsi="Times New Roman" w:eastAsia="宋体" w:cs="Times New Roman"/>
                <w:bCs/>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t>储罐贮存，氨水储罐泄漏后氨水在围堰内形成液池，向大气中挥发氨，对周围环境造成影响。</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cs="Times New Roman"/>
                <w:b/>
                <w:color w:val="000000" w:themeColor="text1"/>
                <w:kern w:val="0"/>
                <w:szCs w:val="21"/>
                <w:highlight w:val="none"/>
                <w14:textFill>
                  <w14:solidFill>
                    <w14:schemeClr w14:val="tx1"/>
                  </w14:solidFill>
                </w14:textFill>
              </w:rPr>
            </w:pPr>
            <w:r>
              <w:rPr>
                <w:rFonts w:hint="default" w:ascii="Times New Roman" w:hAnsi="Times New Roman" w:cs="Times New Roman"/>
                <w:b/>
                <w:color w:val="000000" w:themeColor="text1"/>
                <w:kern w:val="0"/>
                <w:szCs w:val="21"/>
                <w:highlight w:val="none"/>
                <w14:textFill>
                  <w14:solidFill>
                    <w14:schemeClr w14:val="tx1"/>
                  </w14:solidFill>
                </w14:textFill>
              </w:rPr>
              <w:t>（</w:t>
            </w:r>
            <w:r>
              <w:rPr>
                <w:rFonts w:hint="default" w:ascii="Times New Roman" w:hAnsi="Times New Roman" w:cs="Times New Roman"/>
                <w:b/>
                <w:color w:val="000000" w:themeColor="text1"/>
                <w:kern w:val="0"/>
                <w:szCs w:val="21"/>
                <w:highlight w:val="none"/>
                <w:lang w:val="en-US" w:eastAsia="zh-CN"/>
                <w14:textFill>
                  <w14:solidFill>
                    <w14:schemeClr w14:val="tx1"/>
                  </w14:solidFill>
                </w14:textFill>
              </w:rPr>
              <w:t>4</w:t>
            </w:r>
            <w:r>
              <w:rPr>
                <w:rFonts w:hint="default" w:ascii="Times New Roman" w:hAnsi="Times New Roman" w:cs="Times New Roman"/>
                <w:b/>
                <w:color w:val="000000" w:themeColor="text1"/>
                <w:kern w:val="0"/>
                <w:szCs w:val="21"/>
                <w:highlight w:val="none"/>
                <w14:textFill>
                  <w14:solidFill>
                    <w14:schemeClr w14:val="tx1"/>
                  </w14:solidFill>
                </w14:textFill>
              </w:rPr>
              <w:t>）风险防范措施</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kern w:val="0"/>
                <w:szCs w:val="21"/>
                <w:highlight w:val="none"/>
                <w14:textFill>
                  <w14:solidFill>
                    <w14:schemeClr w14:val="tx1"/>
                  </w14:solidFill>
                </w14:textFill>
              </w:rPr>
              <w:t>本项目可能发生的环境污染事件</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主要为</w:t>
            </w:r>
            <w:r>
              <w:rPr>
                <w:rFonts w:hint="default" w:ascii="Times New Roman" w:hAnsi="Times New Roman" w:cs="Times New Roman"/>
                <w:bCs/>
                <w:color w:val="000000" w:themeColor="text1"/>
                <w:kern w:val="0"/>
                <w:szCs w:val="21"/>
                <w:highlight w:val="none"/>
                <w14:textFill>
                  <w14:solidFill>
                    <w14:schemeClr w14:val="tx1"/>
                  </w14:solidFill>
                </w14:textFill>
              </w:rPr>
              <w:t>天然气泄漏</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、丙烷钢瓶泄漏或氨水储罐泄漏</w:t>
            </w:r>
            <w:r>
              <w:rPr>
                <w:rFonts w:hint="default" w:ascii="Times New Roman" w:hAnsi="Times New Roman" w:cs="Times New Roman"/>
                <w:bCs/>
                <w:color w:val="000000" w:themeColor="text1"/>
                <w:kern w:val="0"/>
                <w:szCs w:val="21"/>
                <w:highlight w:val="none"/>
                <w14:textFill>
                  <w14:solidFill>
                    <w14:schemeClr w14:val="tx1"/>
                  </w14:solidFill>
                </w14:textFill>
              </w:rPr>
              <w:t>引发的，为最大限度地降火灾、爆炸事故次生的CO对周围环境的影响，为降低突发环境事件的发生，项目应采取的措施如下：</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cs="Times New Roman"/>
                <w:b/>
                <w:bCs w:val="0"/>
                <w:color w:val="000000" w:themeColor="text1"/>
                <w:kern w:val="0"/>
                <w:szCs w:val="21"/>
                <w:highlight w:val="none"/>
                <w14:textFill>
                  <w14:solidFill>
                    <w14:schemeClr w14:val="tx1"/>
                  </w14:solidFill>
                </w14:textFill>
              </w:rPr>
            </w:pPr>
            <w:r>
              <w:rPr>
                <w:rFonts w:hint="default" w:ascii="Times New Roman" w:hAnsi="Times New Roman" w:cs="Times New Roman"/>
                <w:b/>
                <w:bCs w:val="0"/>
                <w:color w:val="000000" w:themeColor="text1"/>
                <w:kern w:val="0"/>
                <w:szCs w:val="21"/>
                <w:highlight w:val="none"/>
                <w:lang w:val="en-US" w:eastAsia="zh-CN"/>
                <w14:textFill>
                  <w14:solidFill>
                    <w14:schemeClr w14:val="tx1"/>
                  </w14:solidFill>
                </w14:textFill>
              </w:rPr>
              <w:t>A.</w:t>
            </w:r>
            <w:r>
              <w:rPr>
                <w:rFonts w:hint="default" w:ascii="Times New Roman" w:hAnsi="Times New Roman" w:cs="Times New Roman"/>
                <w:b/>
                <w:bCs w:val="0"/>
                <w:color w:val="000000" w:themeColor="text1"/>
                <w:kern w:val="0"/>
                <w:szCs w:val="21"/>
                <w:highlight w:val="none"/>
                <w:lang w:eastAsia="zh-CN"/>
                <w14:textFill>
                  <w14:solidFill>
                    <w14:schemeClr w14:val="tx1"/>
                  </w14:solidFill>
                </w14:textFill>
              </w:rPr>
              <w:t>燃气加热炉</w:t>
            </w:r>
            <w:r>
              <w:rPr>
                <w:rFonts w:hint="default" w:ascii="Times New Roman" w:hAnsi="Times New Roman" w:cs="Times New Roman"/>
                <w:b/>
                <w:bCs w:val="0"/>
                <w:color w:val="000000" w:themeColor="text1"/>
                <w:kern w:val="0"/>
                <w:szCs w:val="21"/>
                <w:highlight w:val="none"/>
                <w14:textFill>
                  <w14:solidFill>
                    <w14:schemeClr w14:val="tx1"/>
                  </w14:solidFill>
                </w14:textFill>
              </w:rPr>
              <w:t>防范措施</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highlight w:val="none"/>
                <w14:textFill>
                  <w14:solidFill>
                    <w14:schemeClr w14:val="tx1"/>
                  </w14:solidFill>
                </w14:textFill>
              </w:rPr>
              <w:fldChar w:fldCharType="begin"/>
            </w:r>
            <w:r>
              <w:rPr>
                <w:rFonts w:hint="default" w:ascii="Times New Roman" w:hAnsi="Times New Roman" w:cs="Times New Roman"/>
                <w:bCs/>
                <w:color w:val="000000" w:themeColor="text1"/>
                <w:kern w:val="0"/>
                <w:szCs w:val="21"/>
                <w:highlight w:val="none"/>
                <w14:textFill>
                  <w14:solidFill>
                    <w14:schemeClr w14:val="tx1"/>
                  </w14:solidFill>
                </w14:textFill>
              </w:rPr>
              <w:instrText xml:space="preserve"> = 1 \* GB3 \* MERGEFORMAT </w:instrText>
            </w:r>
            <w:r>
              <w:rPr>
                <w:rFonts w:hint="default" w:ascii="Times New Roman" w:hAnsi="Times New Roman" w:cs="Times New Roman"/>
                <w:bCs/>
                <w:color w:val="000000" w:themeColor="text1"/>
                <w:kern w:val="0"/>
                <w:szCs w:val="21"/>
                <w:highlight w:val="none"/>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①</w:t>
            </w:r>
            <w:r>
              <w:rPr>
                <w:rFonts w:hint="default" w:ascii="Times New Roman" w:hAnsi="Times New Roman" w:cs="Times New Roman"/>
                <w:bCs/>
                <w:color w:val="000000" w:themeColor="text1"/>
                <w:kern w:val="0"/>
                <w:szCs w:val="21"/>
                <w:highlight w:val="none"/>
                <w14:textFill>
                  <w14:solidFill>
                    <w14:schemeClr w14:val="tx1"/>
                  </w14:solidFill>
                </w14:textFill>
              </w:rPr>
              <w:fldChar w:fldCharType="end"/>
            </w:r>
            <w:r>
              <w:rPr>
                <w:rFonts w:hint="default" w:ascii="Times New Roman" w:hAnsi="Times New Roman" w:cs="Times New Roman"/>
                <w:bCs/>
                <w:color w:val="000000" w:themeColor="text1"/>
                <w:kern w:val="0"/>
                <w:szCs w:val="21"/>
                <w:highlight w:val="none"/>
                <w14:textFill>
                  <w14:solidFill>
                    <w14:schemeClr w14:val="tx1"/>
                  </w14:solidFill>
                </w14:textFill>
              </w:rPr>
              <w:t>在加热装置的空气管道设置防爆设施、</w:t>
            </w:r>
            <w:r>
              <w:rPr>
                <w:rFonts w:hint="default" w:ascii="Times New Roman" w:hAnsi="Times New Roman" w:cs="Times New Roman"/>
                <w:bCs/>
                <w:color w:val="000000" w:themeColor="text1"/>
                <w:kern w:val="0"/>
                <w:szCs w:val="21"/>
                <w14:textFill>
                  <w14:solidFill>
                    <w14:schemeClr w14:val="tx1"/>
                  </w14:solidFill>
                </w14:textFill>
              </w:rPr>
              <w:t>空气与天然气安全联锁装置及报警和自动切断装置。</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fldChar w:fldCharType="begin"/>
            </w:r>
            <w:r>
              <w:rPr>
                <w:rFonts w:hint="default" w:ascii="Times New Roman" w:hAnsi="Times New Roman" w:cs="Times New Roman"/>
                <w:bCs/>
                <w:color w:val="000000" w:themeColor="text1"/>
                <w:kern w:val="0"/>
                <w:szCs w:val="21"/>
                <w14:textFill>
                  <w14:solidFill>
                    <w14:schemeClr w14:val="tx1"/>
                  </w14:solidFill>
                </w14:textFill>
              </w:rPr>
              <w:instrText xml:space="preserve"> = 2 \* GB3 \* MERGEFORMAT </w:instrText>
            </w:r>
            <w:r>
              <w:rPr>
                <w:rFonts w:hint="default" w:ascii="Times New Roman" w:hAnsi="Times New Roman" w:cs="Times New Roman"/>
                <w:bCs/>
                <w:color w:val="000000" w:themeColor="text1"/>
                <w:kern w:val="0"/>
                <w:szCs w:val="2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②</w:t>
            </w:r>
            <w:r>
              <w:rPr>
                <w:rFonts w:hint="default" w:ascii="Times New Roman" w:hAnsi="Times New Roman" w:cs="Times New Roman"/>
                <w:bCs/>
                <w:color w:val="000000" w:themeColor="text1"/>
                <w:kern w:val="0"/>
                <w:szCs w:val="21"/>
                <w14:textFill>
                  <w14:solidFill>
                    <w14:schemeClr w14:val="tx1"/>
                  </w14:solidFill>
                </w14:textFill>
              </w:rPr>
              <w:fldChar w:fldCharType="end"/>
            </w:r>
            <w:r>
              <w:rPr>
                <w:rFonts w:hint="default" w:ascii="Times New Roman" w:hAnsi="Times New Roman" w:cs="Times New Roman"/>
                <w:bCs/>
                <w:color w:val="000000" w:themeColor="text1"/>
                <w:kern w:val="0"/>
                <w:szCs w:val="21"/>
                <w14:textFill>
                  <w14:solidFill>
                    <w14:schemeClr w14:val="tx1"/>
                  </w14:solidFill>
                </w14:textFill>
              </w:rPr>
              <w:t>在加热装置前设置泄压防爆门。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fldChar w:fldCharType="begin"/>
            </w:r>
            <w:r>
              <w:rPr>
                <w:rFonts w:hint="default" w:ascii="Times New Roman" w:hAnsi="Times New Roman" w:cs="Times New Roman"/>
                <w:bCs/>
                <w:color w:val="000000" w:themeColor="text1"/>
                <w:kern w:val="0"/>
                <w:szCs w:val="21"/>
                <w14:textFill>
                  <w14:solidFill>
                    <w14:schemeClr w14:val="tx1"/>
                  </w14:solidFill>
                </w14:textFill>
              </w:rPr>
              <w:instrText xml:space="preserve"> = 3 \* GB3 \* MERGEFORMAT </w:instrText>
            </w:r>
            <w:r>
              <w:rPr>
                <w:rFonts w:hint="default" w:ascii="Times New Roman" w:hAnsi="Times New Roman" w:cs="Times New Roman"/>
                <w:bCs/>
                <w:color w:val="000000" w:themeColor="text1"/>
                <w:kern w:val="0"/>
                <w:szCs w:val="2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③</w:t>
            </w:r>
            <w:r>
              <w:rPr>
                <w:rFonts w:hint="default" w:ascii="Times New Roman" w:hAnsi="Times New Roman" w:cs="Times New Roman"/>
                <w:bCs/>
                <w:color w:val="000000" w:themeColor="text1"/>
                <w:kern w:val="0"/>
                <w:szCs w:val="21"/>
                <w14:textFill>
                  <w14:solidFill>
                    <w14:schemeClr w14:val="tx1"/>
                  </w14:solidFill>
                </w14:textFill>
              </w:rPr>
              <w:fldChar w:fldCharType="end"/>
            </w:r>
            <w:r>
              <w:rPr>
                <w:rFonts w:hint="default" w:ascii="Times New Roman" w:hAnsi="Times New Roman" w:cs="Times New Roman"/>
                <w:bCs/>
                <w:color w:val="000000" w:themeColor="text1"/>
                <w:kern w:val="0"/>
                <w:szCs w:val="21"/>
                <w14:textFill>
                  <w14:solidFill>
                    <w14:schemeClr w14:val="tx1"/>
                  </w14:solidFill>
                </w14:textFill>
              </w:rPr>
              <w:t>在加热装置前天然气总接口处设置手动切换阀、手动眼镜阀、快速自动切断阀及压力调节阀。</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fldChar w:fldCharType="begin"/>
            </w:r>
            <w:r>
              <w:rPr>
                <w:rFonts w:hint="default" w:ascii="Times New Roman" w:hAnsi="Times New Roman" w:cs="Times New Roman"/>
                <w:bCs/>
                <w:color w:val="000000" w:themeColor="text1"/>
                <w:kern w:val="0"/>
                <w:szCs w:val="21"/>
                <w14:textFill>
                  <w14:solidFill>
                    <w14:schemeClr w14:val="tx1"/>
                  </w14:solidFill>
                </w14:textFill>
              </w:rPr>
              <w:instrText xml:space="preserve"> = 4 \* GB3 \* MERGEFORMAT </w:instrText>
            </w:r>
            <w:r>
              <w:rPr>
                <w:rFonts w:hint="default" w:ascii="Times New Roman" w:hAnsi="Times New Roman" w:cs="Times New Roman"/>
                <w:bCs/>
                <w:color w:val="000000" w:themeColor="text1"/>
                <w:kern w:val="0"/>
                <w:szCs w:val="2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④</w:t>
            </w:r>
            <w:r>
              <w:rPr>
                <w:rFonts w:hint="default" w:ascii="Times New Roman" w:hAnsi="Times New Roman" w:cs="Times New Roman"/>
                <w:bCs/>
                <w:color w:val="000000" w:themeColor="text1"/>
                <w:kern w:val="0"/>
                <w:szCs w:val="21"/>
                <w14:textFill>
                  <w14:solidFill>
                    <w14:schemeClr w14:val="tx1"/>
                  </w14:solidFill>
                </w14:textFill>
              </w:rPr>
              <w:fldChar w:fldCharType="end"/>
            </w:r>
            <w:r>
              <w:rPr>
                <w:rFonts w:hint="default" w:ascii="Times New Roman" w:hAnsi="Times New Roman" w:cs="Times New Roman"/>
                <w:bCs/>
                <w:color w:val="000000" w:themeColor="text1"/>
                <w:kern w:val="0"/>
                <w:szCs w:val="21"/>
                <w14:textFill>
                  <w14:solidFill>
                    <w14:schemeClr w14:val="tx1"/>
                  </w14:solidFill>
                </w14:textFill>
              </w:rPr>
              <w:t>在天然气管末端设置放散管。</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fldChar w:fldCharType="begin"/>
            </w:r>
            <w:r>
              <w:rPr>
                <w:rFonts w:hint="default" w:ascii="Times New Roman" w:hAnsi="Times New Roman" w:cs="Times New Roman"/>
                <w:bCs/>
                <w:color w:val="000000" w:themeColor="text1"/>
                <w:kern w:val="0"/>
                <w:szCs w:val="21"/>
                <w14:textFill>
                  <w14:solidFill>
                    <w14:schemeClr w14:val="tx1"/>
                  </w14:solidFill>
                </w14:textFill>
              </w:rPr>
              <w:instrText xml:space="preserve"> = 5 \* GB3 \* MERGEFORMAT </w:instrText>
            </w:r>
            <w:r>
              <w:rPr>
                <w:rFonts w:hint="default" w:ascii="Times New Roman" w:hAnsi="Times New Roman" w:cs="Times New Roman"/>
                <w:bCs/>
                <w:color w:val="000000" w:themeColor="text1"/>
                <w:kern w:val="0"/>
                <w:szCs w:val="2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⑤</w:t>
            </w:r>
            <w:r>
              <w:rPr>
                <w:rFonts w:hint="default" w:ascii="Times New Roman" w:hAnsi="Times New Roman" w:cs="Times New Roman"/>
                <w:bCs/>
                <w:color w:val="000000" w:themeColor="text1"/>
                <w:kern w:val="0"/>
                <w:szCs w:val="21"/>
                <w14:textFill>
                  <w14:solidFill>
                    <w14:schemeClr w14:val="tx1"/>
                  </w14:solidFill>
                </w14:textFill>
              </w:rPr>
              <w:fldChar w:fldCharType="end"/>
            </w:r>
            <w:r>
              <w:rPr>
                <w:rFonts w:hint="default" w:ascii="Times New Roman" w:hAnsi="Times New Roman" w:cs="Times New Roman"/>
                <w:bCs/>
                <w:color w:val="000000" w:themeColor="text1"/>
                <w:kern w:val="0"/>
                <w:szCs w:val="21"/>
                <w14:textFill>
                  <w14:solidFill>
                    <w14:schemeClr w14:val="tx1"/>
                  </w14:solidFill>
                </w14:textFill>
              </w:rPr>
              <w:t>设置声光报警系统。当天然气总管压力低于规律值时，自动切断天然气并声光报警，当炉温、空气预热温度过高、烟气温度过高、冷却水总管压力过低、冷却水温度过高时，声光报警能够及时启动，同时实施紧急控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fldChar w:fldCharType="begin"/>
            </w:r>
            <w:r>
              <w:rPr>
                <w:rFonts w:hint="default" w:ascii="Times New Roman" w:hAnsi="Times New Roman" w:cs="Times New Roman"/>
                <w:bCs/>
                <w:color w:val="000000" w:themeColor="text1"/>
                <w:kern w:val="0"/>
                <w:szCs w:val="21"/>
                <w14:textFill>
                  <w14:solidFill>
                    <w14:schemeClr w14:val="tx1"/>
                  </w14:solidFill>
                </w14:textFill>
              </w:rPr>
              <w:instrText xml:space="preserve"> = 6 \* GB3 \* MERGEFORMAT </w:instrText>
            </w:r>
            <w:r>
              <w:rPr>
                <w:rFonts w:hint="default" w:ascii="Times New Roman" w:hAnsi="Times New Roman" w:cs="Times New Roman"/>
                <w:bCs/>
                <w:color w:val="000000" w:themeColor="text1"/>
                <w:kern w:val="0"/>
                <w:szCs w:val="2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⑥</w:t>
            </w:r>
            <w:r>
              <w:rPr>
                <w:rFonts w:hint="default" w:ascii="Times New Roman" w:hAnsi="Times New Roman" w:cs="Times New Roman"/>
                <w:bCs/>
                <w:color w:val="000000" w:themeColor="text1"/>
                <w:kern w:val="0"/>
                <w:szCs w:val="21"/>
                <w14:textFill>
                  <w14:solidFill>
                    <w14:schemeClr w14:val="tx1"/>
                  </w14:solidFill>
                </w14:textFill>
              </w:rPr>
              <w:fldChar w:fldCharType="end"/>
            </w:r>
            <w:r>
              <w:rPr>
                <w:rFonts w:hint="default" w:ascii="Times New Roman" w:hAnsi="Times New Roman" w:cs="Times New Roman"/>
                <w:bCs/>
                <w:color w:val="000000" w:themeColor="text1"/>
                <w:kern w:val="0"/>
                <w:szCs w:val="21"/>
                <w:highlight w:val="none"/>
                <w14:textFill>
                  <w14:solidFill>
                    <w14:schemeClr w14:val="tx1"/>
                  </w14:solidFill>
                </w14:textFill>
              </w:rPr>
              <w:t>应设有若干数量的烟感、温感及手动火灾报警器。</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cs="Times New Roman"/>
                <w:b/>
                <w:bCs w:val="0"/>
                <w:color w:val="000000" w:themeColor="text1"/>
                <w:kern w:val="0"/>
                <w:szCs w:val="21"/>
                <w:highlight w:val="none"/>
                <w14:textFill>
                  <w14:solidFill>
                    <w14:schemeClr w14:val="tx1"/>
                  </w14:solidFill>
                </w14:textFill>
              </w:rPr>
            </w:pPr>
            <w:r>
              <w:rPr>
                <w:rFonts w:hint="default" w:ascii="Times New Roman" w:hAnsi="Times New Roman" w:cs="Times New Roman"/>
                <w:b/>
                <w:bCs w:val="0"/>
                <w:color w:val="000000" w:themeColor="text1"/>
                <w:kern w:val="0"/>
                <w:szCs w:val="21"/>
                <w:highlight w:val="none"/>
                <w:lang w:val="en-US" w:eastAsia="zh-CN"/>
                <w14:textFill>
                  <w14:solidFill>
                    <w14:schemeClr w14:val="tx1"/>
                  </w14:solidFill>
                </w14:textFill>
              </w:rPr>
              <w:t>B.</w:t>
            </w:r>
            <w:r>
              <w:rPr>
                <w:rFonts w:hint="default" w:ascii="Times New Roman" w:hAnsi="Times New Roman" w:cs="Times New Roman"/>
                <w:b/>
                <w:bCs w:val="0"/>
                <w:color w:val="000000" w:themeColor="text1"/>
                <w:kern w:val="0"/>
                <w:szCs w:val="21"/>
                <w:highlight w:val="none"/>
                <w14:textFill>
                  <w14:solidFill>
                    <w14:schemeClr w14:val="tx1"/>
                  </w14:solidFill>
                </w14:textFill>
              </w:rPr>
              <w:t>天然气</w:t>
            </w:r>
            <w:r>
              <w:rPr>
                <w:rFonts w:hint="default" w:ascii="Times New Roman" w:hAnsi="Times New Roman" w:cs="Times New Roman"/>
                <w:b/>
                <w:bCs w:val="0"/>
                <w:color w:val="000000" w:themeColor="text1"/>
                <w:kern w:val="0"/>
                <w:szCs w:val="21"/>
                <w:highlight w:val="none"/>
                <w:lang w:eastAsia="zh-CN"/>
                <w14:textFill>
                  <w14:solidFill>
                    <w14:schemeClr w14:val="tx1"/>
                  </w14:solidFill>
                </w14:textFill>
              </w:rPr>
              <w:t>管道</w:t>
            </w:r>
            <w:r>
              <w:rPr>
                <w:rFonts w:hint="default" w:ascii="Times New Roman" w:hAnsi="Times New Roman" w:cs="Times New Roman"/>
                <w:b/>
                <w:bCs w:val="0"/>
                <w:color w:val="000000" w:themeColor="text1"/>
                <w:kern w:val="0"/>
                <w:szCs w:val="21"/>
                <w:highlight w:val="none"/>
                <w14:textFill>
                  <w14:solidFill>
                    <w14:schemeClr w14:val="tx1"/>
                  </w14:solidFill>
                </w14:textFill>
              </w:rPr>
              <w:t>防范措施</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天然气管道、阀门及弯曲连接处等设施必须在正压状态下运行，严禁在负压下运行，在调节柜设有安全阀、温度计、压力表、人孔、紧急切断装置等主要部件及导静电接地装置，阀门箱、防冲板、铭牌等附属部件组成。厂区天然气管末端设置放散管。设置声光报警系统。当天然气总管压力低于规律值时，自动切断天然气并声光报警，当炉温、空气预热温度过高、烟气温度过高、冷却水总管压力过低、冷却水温度过高时，声光报警能够及时启动，同时实施紧急控制。</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cs="Times New Roman"/>
                <w:b/>
                <w:bCs w:val="0"/>
                <w:color w:val="000000" w:themeColor="text1"/>
                <w:kern w:val="0"/>
                <w:szCs w:val="21"/>
                <w:highlight w:val="none"/>
                <w:lang w:eastAsia="zh-CN"/>
                <w14:textFill>
                  <w14:solidFill>
                    <w14:schemeClr w14:val="tx1"/>
                  </w14:solidFill>
                </w14:textFill>
              </w:rPr>
            </w:pPr>
            <w:r>
              <w:rPr>
                <w:rFonts w:hint="default" w:ascii="Times New Roman" w:hAnsi="Times New Roman" w:cs="Times New Roman"/>
                <w:b/>
                <w:bCs w:val="0"/>
                <w:color w:val="000000" w:themeColor="text1"/>
                <w:kern w:val="0"/>
                <w:szCs w:val="21"/>
                <w:highlight w:val="none"/>
                <w:lang w:val="en-US" w:eastAsia="zh-CN"/>
                <w14:textFill>
                  <w14:solidFill>
                    <w14:schemeClr w14:val="tx1"/>
                  </w14:solidFill>
                </w14:textFill>
              </w:rPr>
              <w:t>C.</w:t>
            </w:r>
            <w:r>
              <w:rPr>
                <w:rFonts w:hint="default" w:ascii="Times New Roman" w:hAnsi="Times New Roman" w:cs="Times New Roman"/>
                <w:b/>
                <w:bCs w:val="0"/>
                <w:color w:val="000000" w:themeColor="text1"/>
                <w:kern w:val="0"/>
                <w:szCs w:val="21"/>
                <w:highlight w:val="none"/>
                <w:lang w:eastAsia="zh-CN"/>
                <w14:textFill>
                  <w14:solidFill>
                    <w14:schemeClr w14:val="tx1"/>
                  </w14:solidFill>
                </w14:textFill>
              </w:rPr>
              <w:t>丙烷储罐区防范措施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fldChar w:fldCharType="begin"/>
            </w:r>
            <w:r>
              <w:rPr>
                <w:rFonts w:hint="default" w:ascii="Times New Roman" w:hAnsi="Times New Roman" w:cs="Times New Roman"/>
                <w:color w:val="000000" w:themeColor="text1"/>
                <w:highlight w:val="none"/>
                <w:lang w:val="en-US" w:eastAsia="zh-CN"/>
                <w14:textFill>
                  <w14:solidFill>
                    <w14:schemeClr w14:val="tx1"/>
                  </w14:solidFill>
                </w14:textFill>
              </w:rPr>
              <w:instrText xml:space="preserve"> = 1 \* GB3 \* MERGEFORMAT </w:instrText>
            </w:r>
            <w:r>
              <w:rPr>
                <w:rFonts w:hint="default" w:ascii="Times New Roman" w:hAnsi="Times New Roman" w:cs="Times New Roman"/>
                <w:color w:val="000000" w:themeColor="text1"/>
                <w:highlight w:val="none"/>
                <w:lang w:val="en-US" w:eastAsia="zh-CN"/>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①</w:t>
            </w:r>
            <w:r>
              <w:rPr>
                <w:rFonts w:hint="default" w:ascii="Times New Roman" w:hAnsi="Times New Roman" w:cs="Times New Roman"/>
                <w:color w:val="000000" w:themeColor="text1"/>
                <w:highlight w:val="none"/>
                <w:lang w:val="en-US" w:eastAsia="zh-CN"/>
                <w14:textFill>
                  <w14:solidFill>
                    <w14:schemeClr w14:val="tx1"/>
                  </w14:solidFill>
                </w14:textFill>
              </w:rPr>
              <w:fldChar w:fldCharType="end"/>
            </w:r>
            <w:r>
              <w:rPr>
                <w:rFonts w:hint="default" w:ascii="Times New Roman" w:hAnsi="Times New Roman" w:cs="Times New Roman"/>
                <w:color w:val="000000" w:themeColor="text1"/>
                <w:highlight w:val="none"/>
                <w:lang w:val="en-US" w:eastAsia="zh-CN"/>
                <w14:textFill>
                  <w14:solidFill>
                    <w14:schemeClr w14:val="tx1"/>
                  </w14:solidFill>
                </w14:textFill>
              </w:rPr>
              <w:t>丙烷钢瓶储罐区设置可燃气体报警装置，当空气中的可燃气体超标后自动报警；顶级采用防爆电机，对有爆炸危险的场所采用防爆照明。</w:t>
            </w:r>
          </w:p>
          <w:p>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fldChar w:fldCharType="begin"/>
            </w:r>
            <w:r>
              <w:rPr>
                <w:rFonts w:hint="default" w:ascii="Times New Roman" w:hAnsi="Times New Roman" w:cs="Times New Roman"/>
                <w:color w:val="000000" w:themeColor="text1"/>
                <w:highlight w:val="none"/>
                <w:lang w:val="en-US" w:eastAsia="zh-CN"/>
                <w14:textFill>
                  <w14:solidFill>
                    <w14:schemeClr w14:val="tx1"/>
                  </w14:solidFill>
                </w14:textFill>
              </w:rPr>
              <w:instrText xml:space="preserve"> = 2 \* GB3 \* MERGEFORMAT </w:instrText>
            </w:r>
            <w:r>
              <w:rPr>
                <w:rFonts w:hint="default" w:ascii="Times New Roman" w:hAnsi="Times New Roman" w:cs="Times New Roman"/>
                <w:color w:val="000000" w:themeColor="text1"/>
                <w:highlight w:val="none"/>
                <w:lang w:val="en-US" w:eastAsia="zh-CN"/>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②</w:t>
            </w:r>
            <w:r>
              <w:rPr>
                <w:rFonts w:hint="default" w:ascii="Times New Roman" w:hAnsi="Times New Roman" w:cs="Times New Roman"/>
                <w:color w:val="000000" w:themeColor="text1"/>
                <w:highlight w:val="none"/>
                <w:lang w:val="en-US" w:eastAsia="zh-CN"/>
                <w14:textFill>
                  <w14:solidFill>
                    <w14:schemeClr w14:val="tx1"/>
                  </w14:solidFill>
                </w14:textFill>
              </w:rPr>
              <w:fldChar w:fldCharType="end"/>
            </w:r>
            <w:r>
              <w:rPr>
                <w:rFonts w:hint="default" w:ascii="Times New Roman" w:hAnsi="Times New Roman" w:cs="Times New Roman"/>
                <w:color w:val="000000" w:themeColor="text1"/>
                <w:highlight w:val="none"/>
                <w:lang w:val="en-US" w:eastAsia="zh-CN"/>
                <w14:textFill>
                  <w14:solidFill>
                    <w14:schemeClr w14:val="tx1"/>
                  </w14:solidFill>
                </w14:textFill>
              </w:rPr>
              <w:t>工业气体不能混放，空</w:t>
            </w:r>
            <w:r>
              <w:rPr>
                <w:rFonts w:hint="default" w:ascii="Times New Roman" w:hAnsi="Times New Roman" w:cs="Times New Roman"/>
                <w:color w:val="000000" w:themeColor="text1"/>
                <w:lang w:val="en-US" w:eastAsia="zh-CN"/>
                <w14:textFill>
                  <w14:solidFill>
                    <w14:schemeClr w14:val="tx1"/>
                  </w14:solidFill>
                </w14:textFill>
              </w:rPr>
              <w:t>瓶和实瓶均瑶单独存放，损坏、废旧与不合格的气瓶不能冲装使用，气瓶入库前需进行安全检查，入库后定期进行安全检查。</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fldChar w:fldCharType="begin"/>
            </w:r>
            <w:r>
              <w:rPr>
                <w:rFonts w:hint="default" w:ascii="Times New Roman" w:hAnsi="Times New Roman" w:cs="Times New Roman"/>
                <w:color w:val="000000" w:themeColor="text1"/>
                <w:lang w:val="en-US" w:eastAsia="zh-CN"/>
                <w14:textFill>
                  <w14:solidFill>
                    <w14:schemeClr w14:val="tx1"/>
                  </w14:solidFill>
                </w14:textFill>
              </w:rPr>
              <w:instrText xml:space="preserve"> = 3 \* GB3 \* MERGEFORMAT </w:instrText>
            </w:r>
            <w:r>
              <w:rPr>
                <w:rFonts w:hint="default" w:ascii="Times New Roman" w:hAnsi="Times New Roman" w:cs="Times New Roman"/>
                <w:color w:val="000000" w:themeColor="text1"/>
                <w:lang w:val="en-US" w:eastAsia="zh-CN"/>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③</w:t>
            </w:r>
            <w:r>
              <w:rPr>
                <w:rFonts w:hint="default" w:ascii="Times New Roman" w:hAnsi="Times New Roman" w:cs="Times New Roman"/>
                <w:color w:val="000000" w:themeColor="text1"/>
                <w:lang w:val="en-US" w:eastAsia="zh-CN"/>
                <w14:textFill>
                  <w14:solidFill>
                    <w14:schemeClr w14:val="tx1"/>
                  </w14:solidFill>
                </w14:textFill>
              </w:rPr>
              <w:fldChar w:fldCharType="end"/>
            </w:r>
            <w:r>
              <w:rPr>
                <w:rFonts w:hint="default" w:ascii="Times New Roman" w:hAnsi="Times New Roman" w:cs="Times New Roman"/>
                <w:color w:val="000000" w:themeColor="text1"/>
                <w:lang w:val="en-US" w:eastAsia="zh-CN"/>
                <w14:textFill>
                  <w14:solidFill>
                    <w14:schemeClr w14:val="tx1"/>
                  </w14:solidFill>
                </w14:textFill>
              </w:rPr>
              <w:t>生产区域存放应远离切割区域，避免其处于高温，放置处注意光照、温度和湿度等，与设备连接的管道、阀门、钢瓶等设施应定期见擦汗维修，防止泄漏。</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cs="Times New Roman"/>
                <w:b/>
                <w:bCs w:val="0"/>
                <w:color w:val="000000" w:themeColor="text1"/>
                <w:kern w:val="0"/>
                <w:szCs w:val="21"/>
                <w:highlight w:val="none"/>
                <w:lang w:eastAsia="zh-CN"/>
                <w14:textFill>
                  <w14:solidFill>
                    <w14:schemeClr w14:val="tx1"/>
                  </w14:solidFill>
                </w14:textFill>
              </w:rPr>
            </w:pPr>
            <w:r>
              <w:rPr>
                <w:rFonts w:hint="default" w:ascii="Times New Roman" w:hAnsi="Times New Roman" w:cs="Times New Roman"/>
                <w:b/>
                <w:bCs w:val="0"/>
                <w:color w:val="000000" w:themeColor="text1"/>
                <w:kern w:val="0"/>
                <w:szCs w:val="21"/>
                <w:highlight w:val="none"/>
                <w:lang w:val="en-US" w:eastAsia="zh-CN"/>
                <w14:textFill>
                  <w14:solidFill>
                    <w14:schemeClr w14:val="tx1"/>
                  </w14:solidFill>
                </w14:textFill>
              </w:rPr>
              <w:t>D.</w:t>
            </w:r>
            <w:r>
              <w:rPr>
                <w:rFonts w:hint="default" w:ascii="Times New Roman" w:hAnsi="Times New Roman" w:cs="Times New Roman"/>
                <w:b/>
                <w:bCs w:val="0"/>
                <w:color w:val="000000" w:themeColor="text1"/>
                <w:kern w:val="0"/>
                <w:szCs w:val="21"/>
                <w:highlight w:val="none"/>
                <w:lang w:eastAsia="zh-CN"/>
                <w14:textFill>
                  <w14:solidFill>
                    <w14:schemeClr w14:val="tx1"/>
                  </w14:solidFill>
                </w14:textFill>
              </w:rPr>
              <w:t>氨水储罐区防范措施</w:t>
            </w:r>
          </w:p>
          <w:p>
            <w:pPr>
              <w:pStyle w:val="2"/>
              <w:keepLines w:val="0"/>
              <w:pageBreakBefore w:val="0"/>
              <w:widowControl w:val="0"/>
              <w:kinsoku/>
              <w:wordWrap/>
              <w:topLinePunct w:val="0"/>
              <w:autoSpaceDE/>
              <w:autoSpaceDN/>
              <w:bidi w:val="0"/>
              <w:adjustRightInd/>
              <w:snapToGrid/>
              <w:spacing w:before="0" w:after="0" w:line="360" w:lineRule="auto"/>
              <w:ind w:left="0" w:leftChars="0" w:firstLine="420" w:firstLineChars="200"/>
              <w:textAlignment w:val="auto"/>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instrText xml:space="preserve"> = 1 \* GB3 \* MERGEFORMAT </w:instrTex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①</w: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氨水管道主管道入口装有蝶阀及盲板阀作为可靠切断装置。</w:t>
            </w:r>
          </w:p>
          <w:p>
            <w:pPr>
              <w:pStyle w:val="2"/>
              <w:keepLines w:val="0"/>
              <w:pageBreakBefore w:val="0"/>
              <w:widowControl w:val="0"/>
              <w:kinsoku/>
              <w:wordWrap/>
              <w:topLinePunct w:val="0"/>
              <w:autoSpaceDE/>
              <w:autoSpaceDN/>
              <w:bidi w:val="0"/>
              <w:adjustRightInd/>
              <w:snapToGrid/>
              <w:spacing w:before="0" w:after="0" w:line="360" w:lineRule="auto"/>
              <w:ind w:left="0" w:leftChars="0" w:firstLine="420" w:firstLineChars="200"/>
              <w:textAlignment w:val="auto"/>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instrText xml:space="preserve"> = 2 \* GB3 \* MERGEFORMAT </w:instrTex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②</w: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氨水站设置有毒有害气体报警系统，保证检测报警仪正常、有效运行。一旦发现氨水泄漏必须第一时间果断的采取正确的补救措施；氨水储罐除设置外部显示液位计外，必须设置带有液位自动报警的内液位控制器。氨水储罐设置压力报警连锁装置，当压力过高时，确保安全阀起跳有效。</w:t>
            </w:r>
          </w:p>
          <w:p>
            <w:pPr>
              <w:pStyle w:val="2"/>
              <w:keepLines w:val="0"/>
              <w:pageBreakBefore w:val="0"/>
              <w:widowControl w:val="0"/>
              <w:kinsoku/>
              <w:wordWrap/>
              <w:topLinePunct w:val="0"/>
              <w:autoSpaceDE/>
              <w:autoSpaceDN/>
              <w:bidi w:val="0"/>
              <w:adjustRightInd/>
              <w:snapToGrid/>
              <w:spacing w:before="0" w:after="0" w:line="360" w:lineRule="auto"/>
              <w:ind w:left="0" w:leftChars="0" w:firstLine="420" w:firstLineChars="200"/>
              <w:textAlignment w:val="auto"/>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instrText xml:space="preserve"> = 3 \* GB3 \* MERGEFORMAT </w:instrTex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③</w: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氨水储罐设喷淋系统，以吸收泄漏的氨气。在氨水罐上方设顶棚，防止阳光直射，保持罐区阴凉、通风，远离热源、火种。氨水站地面采用防腐防渗材料构筑。罐区周边不得堆放易燃物。</w:t>
            </w:r>
          </w:p>
          <w:p>
            <w:pPr>
              <w:pStyle w:val="2"/>
              <w:keepLines w:val="0"/>
              <w:pageBreakBefore w:val="0"/>
              <w:widowControl w:val="0"/>
              <w:kinsoku/>
              <w:wordWrap/>
              <w:topLinePunct w:val="0"/>
              <w:autoSpaceDE/>
              <w:autoSpaceDN/>
              <w:bidi w:val="0"/>
              <w:adjustRightInd/>
              <w:snapToGrid/>
              <w:spacing w:before="0" w:after="0" w:line="360" w:lineRule="auto"/>
              <w:ind w:left="0" w:leftChars="0" w:firstLine="420" w:firstLineChars="200"/>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instrText xml:space="preserve"> = 4 \* GB3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cs="Times New Roman"/>
                <w:b w:val="0"/>
                <w:bCs w:val="0"/>
                <w:color w:val="000000" w:themeColor="text1"/>
                <w:sz w:val="21"/>
                <w:szCs w:val="21"/>
                <w14:textFill>
                  <w14:solidFill>
                    <w14:schemeClr w14:val="tx1"/>
                  </w14:solidFill>
                </w14:textFill>
              </w:rPr>
              <w:t>④</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氨水站设置围堰，采用抗渗混凝土一体浇筑，堵截泄漏物料。</w:t>
            </w:r>
          </w:p>
          <w:p>
            <w:pPr>
              <w:pStyle w:val="2"/>
              <w:keepLines w:val="0"/>
              <w:pageBreakBefore w:val="0"/>
              <w:widowControl w:val="0"/>
              <w:kinsoku/>
              <w:wordWrap/>
              <w:topLinePunct w:val="0"/>
              <w:autoSpaceDE/>
              <w:autoSpaceDN/>
              <w:bidi w:val="0"/>
              <w:adjustRightInd/>
              <w:snapToGrid/>
              <w:spacing w:before="0" w:after="0" w:line="360" w:lineRule="auto"/>
              <w:ind w:left="0" w:leftChars="0" w:firstLine="420" w:firstLineChars="200"/>
              <w:textAlignment w:val="auto"/>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instrText xml:space="preserve"> = 5 \* GB3 \* MERGEFORMAT </w:instrTex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cs="Times New Roman"/>
                <w:b w:val="0"/>
                <w:bCs w:val="0"/>
                <w:color w:val="000000" w:themeColor="text1"/>
                <w:sz w:val="21"/>
                <w:szCs w:val="21"/>
                <w14:textFill>
                  <w14:solidFill>
                    <w14:schemeClr w14:val="tx1"/>
                  </w14:solidFill>
                </w14:textFill>
              </w:rPr>
              <w:t>⑤</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fldChar w:fldCharType="end"/>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设置应急事故池，当氨水罐泄露后，关闭泄露氨水罐进、出口阀门，当班人员利用沙袋等将附近的排水沟进行封堵，防止污染物派出，将泄露氨水围堵在围堰内</w: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，之后利用卸氨泵的外排功能将泄露氨水倒空排至应急事故池，利用氨水厂家回收罐车或其他回收容器进行安全处理。</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cs="Times New Roman"/>
                <w:b/>
                <w:bCs w:val="0"/>
                <w:color w:val="000000" w:themeColor="text1"/>
                <w:kern w:val="0"/>
                <w:szCs w:val="21"/>
                <w:lang w:val="en-US" w:eastAsia="zh-CN"/>
                <w14:textFill>
                  <w14:solidFill>
                    <w14:schemeClr w14:val="tx1"/>
                  </w14:solidFill>
                </w14:textFill>
              </w:rPr>
            </w:pPr>
            <w:r>
              <w:rPr>
                <w:rFonts w:hint="eastAsia" w:cs="Times New Roman"/>
                <w:b/>
                <w:bCs w:val="0"/>
                <w:color w:val="000000" w:themeColor="text1"/>
                <w:kern w:val="0"/>
                <w:szCs w:val="21"/>
                <w:lang w:val="en-US" w:eastAsia="zh-CN"/>
                <w14:textFill>
                  <w14:solidFill>
                    <w14:schemeClr w14:val="tx1"/>
                  </w14:solidFill>
                </w14:textFill>
              </w:rPr>
              <w:t>E.酸洗钝化膏储存区防范措施</w:t>
            </w:r>
          </w:p>
          <w:p>
            <w:pPr>
              <w:pStyle w:val="20"/>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项目使用的</w:t>
            </w:r>
            <w:r>
              <w:rPr>
                <w:rFonts w:hint="eastAsia"/>
                <w:color w:val="000000" w:themeColor="text1"/>
                <w:sz w:val="21"/>
                <w:szCs w:val="21"/>
                <w:lang w:val="en-US" w:eastAsia="zh-CN"/>
                <w14:textFill>
                  <w14:solidFill>
                    <w14:schemeClr w14:val="tx1"/>
                  </w14:solidFill>
                </w14:textFill>
              </w:rPr>
              <w:t>酸洗钝化膏中所含有的硝酸、氢氟酸等危险化学物质</w:t>
            </w:r>
            <w:r>
              <w:rPr>
                <w:rFonts w:hint="default"/>
                <w:color w:val="000000" w:themeColor="text1"/>
                <w:sz w:val="21"/>
                <w:szCs w:val="21"/>
                <w:lang w:val="en-US" w:eastAsia="zh-CN"/>
                <w14:textFill>
                  <w14:solidFill>
                    <w14:schemeClr w14:val="tx1"/>
                  </w14:solidFill>
                </w14:textFill>
              </w:rPr>
              <w:t>。这类化学品在贮存和使用过程中除参照其它危险品管理措施外，还应注意：</w:t>
            </w:r>
          </w:p>
          <w:p>
            <w:pPr>
              <w:pStyle w:val="20"/>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①包装必须严密，严防泄漏，严禁与液化气体和其它物品共存。装卸、搬运贮酸容器时应按有关规定进行，做到轻装、轻卸。严禁摔、碰、撞、击、拖拉、倾倒和滚动。</w:t>
            </w:r>
          </w:p>
          <w:p>
            <w:pPr>
              <w:pStyle w:val="20"/>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②根据原辅材料的理化性质，应储存于阴凉、干燥、通风良好的区域，远离火种、热源，防止阳光直射。应与易燃或可燃物、酸类、碱类等分开存放。不可混储混运。搬运时要轻装轻卸，防止包装及容器损坏。分装和搬运作业要注意个人防护。</w:t>
            </w:r>
          </w:p>
          <w:p>
            <w:pPr>
              <w:pStyle w:val="20"/>
              <w:keepNext w:val="0"/>
              <w:keepLines w:val="0"/>
              <w:pageBreakBefore w:val="0"/>
              <w:widowControl w:val="0"/>
              <w:kinsoku/>
              <w:wordWrap/>
              <w:overflowPunct/>
              <w:topLinePunct w:val="0"/>
              <w:autoSpaceDE/>
              <w:autoSpaceDN/>
              <w:bidi w:val="0"/>
              <w:adjustRightInd/>
              <w:snapToGrid/>
              <w:spacing w:after="0"/>
              <w:ind w:left="0" w:leftChars="0"/>
              <w:textAlignment w:val="auto"/>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③使用中密闭操作，注意通风。</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cs="Times New Roman"/>
                <w:b/>
                <w:bCs w:val="0"/>
                <w:color w:val="000000" w:themeColor="text1"/>
                <w:kern w:val="0"/>
                <w:szCs w:val="21"/>
                <w14:textFill>
                  <w14:solidFill>
                    <w14:schemeClr w14:val="tx1"/>
                  </w14:solidFill>
                </w14:textFill>
              </w:rPr>
            </w:pPr>
            <w:r>
              <w:rPr>
                <w:rFonts w:hint="eastAsia" w:cs="Times New Roman"/>
                <w:b/>
                <w:bCs w:val="0"/>
                <w:color w:val="000000" w:themeColor="text1"/>
                <w:kern w:val="0"/>
                <w:szCs w:val="21"/>
                <w:lang w:val="en-US" w:eastAsia="zh-CN"/>
                <w14:textFill>
                  <w14:solidFill>
                    <w14:schemeClr w14:val="tx1"/>
                  </w14:solidFill>
                </w14:textFill>
              </w:rPr>
              <w:t>F</w:t>
            </w:r>
            <w:r>
              <w:rPr>
                <w:rFonts w:hint="default" w:ascii="Times New Roman" w:hAnsi="Times New Roman" w:cs="Times New Roman"/>
                <w:b/>
                <w:bCs w:val="0"/>
                <w:color w:val="000000" w:themeColor="text1"/>
                <w:kern w:val="0"/>
                <w:szCs w:val="21"/>
                <w:lang w:val="en-US" w:eastAsia="zh-CN"/>
                <w14:textFill>
                  <w14:solidFill>
                    <w14:schemeClr w14:val="tx1"/>
                  </w14:solidFill>
                </w14:textFill>
              </w:rPr>
              <w:t>.</w:t>
            </w:r>
            <w:r>
              <w:rPr>
                <w:rFonts w:hint="default" w:ascii="Times New Roman" w:hAnsi="Times New Roman" w:cs="Times New Roman"/>
                <w:b/>
                <w:bCs w:val="0"/>
                <w:color w:val="000000" w:themeColor="text1"/>
                <w:kern w:val="0"/>
                <w:szCs w:val="21"/>
                <w14:textFill>
                  <w14:solidFill>
                    <w14:schemeClr w14:val="tx1"/>
                  </w14:solidFill>
                </w14:textFill>
              </w:rPr>
              <w:t>其他管理措施</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fldChar w:fldCharType="begin"/>
            </w:r>
            <w:r>
              <w:rPr>
                <w:rFonts w:hint="default" w:ascii="Times New Roman" w:hAnsi="Times New Roman" w:cs="Times New Roman"/>
                <w:bCs/>
                <w:color w:val="000000" w:themeColor="text1"/>
                <w:kern w:val="0"/>
                <w:szCs w:val="21"/>
                <w14:textFill>
                  <w14:solidFill>
                    <w14:schemeClr w14:val="tx1"/>
                  </w14:solidFill>
                </w14:textFill>
              </w:rPr>
              <w:instrText xml:space="preserve"> = 1 \* GB3 \* MERGEFORMAT </w:instrText>
            </w:r>
            <w:r>
              <w:rPr>
                <w:rFonts w:hint="default" w:ascii="Times New Roman" w:hAnsi="Times New Roman" w:cs="Times New Roman"/>
                <w:bCs/>
                <w:color w:val="000000" w:themeColor="text1"/>
                <w:kern w:val="0"/>
                <w:szCs w:val="2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①</w:t>
            </w:r>
            <w:r>
              <w:rPr>
                <w:rFonts w:hint="default" w:ascii="Times New Roman" w:hAnsi="Times New Roman" w:cs="Times New Roman"/>
                <w:bCs/>
                <w:color w:val="000000" w:themeColor="text1"/>
                <w:kern w:val="0"/>
                <w:szCs w:val="21"/>
                <w14:textFill>
                  <w14:solidFill>
                    <w14:schemeClr w14:val="tx1"/>
                  </w14:solidFill>
                </w14:textFill>
              </w:rPr>
              <w:fldChar w:fldCharType="end"/>
            </w:r>
            <w:r>
              <w:rPr>
                <w:rFonts w:hint="default" w:ascii="Times New Roman" w:hAnsi="Times New Roman" w:cs="Times New Roman"/>
                <w:bCs/>
                <w:color w:val="000000" w:themeColor="text1"/>
                <w:kern w:val="0"/>
                <w:szCs w:val="21"/>
                <w14:textFill>
                  <w14:solidFill>
                    <w14:schemeClr w14:val="tx1"/>
                  </w14:solidFill>
                </w14:textFill>
              </w:rPr>
              <w:t>指定易燃物品使用过程的合理操作规程，防止在使用过程中由于操作不当引起大面积泄漏；</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fldChar w:fldCharType="begin"/>
            </w:r>
            <w:r>
              <w:rPr>
                <w:rFonts w:hint="default" w:ascii="Times New Roman" w:hAnsi="Times New Roman" w:cs="Times New Roman"/>
                <w:bCs/>
                <w:color w:val="000000" w:themeColor="text1"/>
                <w:kern w:val="0"/>
                <w:szCs w:val="21"/>
                <w14:textFill>
                  <w14:solidFill>
                    <w14:schemeClr w14:val="tx1"/>
                  </w14:solidFill>
                </w14:textFill>
              </w:rPr>
              <w:instrText xml:space="preserve"> = 2 \* GB3 \* MERGEFORMAT </w:instrText>
            </w:r>
            <w:r>
              <w:rPr>
                <w:rFonts w:hint="default" w:ascii="Times New Roman" w:hAnsi="Times New Roman" w:cs="Times New Roman"/>
                <w:bCs/>
                <w:color w:val="000000" w:themeColor="text1"/>
                <w:kern w:val="0"/>
                <w:szCs w:val="2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②</w:t>
            </w:r>
            <w:r>
              <w:rPr>
                <w:rFonts w:hint="default" w:ascii="Times New Roman" w:hAnsi="Times New Roman" w:cs="Times New Roman"/>
                <w:bCs/>
                <w:color w:val="000000" w:themeColor="text1"/>
                <w:kern w:val="0"/>
                <w:szCs w:val="21"/>
                <w14:textFill>
                  <w14:solidFill>
                    <w14:schemeClr w14:val="tx1"/>
                  </w14:solidFill>
                </w14:textFill>
              </w:rPr>
              <w:fldChar w:fldCharType="end"/>
            </w:r>
            <w:r>
              <w:rPr>
                <w:rFonts w:hint="default" w:ascii="Times New Roman" w:hAnsi="Times New Roman" w:cs="Times New Roman"/>
                <w:bCs/>
                <w:color w:val="000000" w:themeColor="text1"/>
                <w:kern w:val="0"/>
                <w:szCs w:val="21"/>
                <w14:textFill>
                  <w14:solidFill>
                    <w14:schemeClr w14:val="tx1"/>
                  </w14:solidFill>
                </w14:textFill>
              </w:rPr>
              <w:t>严格执行企业的各项安全管理制度，特别是</w:t>
            </w:r>
            <w:r>
              <w:rPr>
                <w:rFonts w:hint="default" w:ascii="Times New Roman" w:hAnsi="Times New Roman" w:cs="Times New Roman"/>
                <w:bCs/>
                <w:color w:val="000000" w:themeColor="text1"/>
                <w:kern w:val="0"/>
                <w:szCs w:val="21"/>
                <w:lang w:eastAsia="zh-CN"/>
                <w14:textFill>
                  <w14:solidFill>
                    <w14:schemeClr w14:val="tx1"/>
                  </w14:solidFill>
                </w14:textFill>
              </w:rPr>
              <w:t>蒸汽发生器及燃气调压柜等使用</w:t>
            </w:r>
            <w:r>
              <w:rPr>
                <w:rFonts w:hint="default" w:ascii="Times New Roman" w:hAnsi="Times New Roman" w:cs="Times New Roman"/>
                <w:bCs/>
                <w:color w:val="000000" w:themeColor="text1"/>
                <w:kern w:val="0"/>
                <w:szCs w:val="21"/>
                <w14:textFill>
                  <w14:solidFill>
                    <w14:schemeClr w14:val="tx1"/>
                  </w14:solidFill>
                </w14:textFill>
              </w:rPr>
              <w:t>的安全规定，增加警示标识标志牌；</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fldChar w:fldCharType="begin"/>
            </w:r>
            <w:r>
              <w:rPr>
                <w:rFonts w:hint="default" w:ascii="Times New Roman" w:hAnsi="Times New Roman" w:cs="Times New Roman"/>
                <w:bCs/>
                <w:color w:val="000000" w:themeColor="text1"/>
                <w:kern w:val="0"/>
                <w:szCs w:val="21"/>
                <w14:textFill>
                  <w14:solidFill>
                    <w14:schemeClr w14:val="tx1"/>
                  </w14:solidFill>
                </w14:textFill>
              </w:rPr>
              <w:instrText xml:space="preserve"> = 3 \* GB3 \* MERGEFORMAT </w:instrText>
            </w:r>
            <w:r>
              <w:rPr>
                <w:rFonts w:hint="default" w:ascii="Times New Roman" w:hAnsi="Times New Roman" w:cs="Times New Roman"/>
                <w:bCs/>
                <w:color w:val="000000" w:themeColor="text1"/>
                <w:kern w:val="0"/>
                <w:szCs w:val="2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③</w:t>
            </w:r>
            <w:r>
              <w:rPr>
                <w:rFonts w:hint="default" w:ascii="Times New Roman" w:hAnsi="Times New Roman" w:cs="Times New Roman"/>
                <w:bCs/>
                <w:color w:val="000000" w:themeColor="text1"/>
                <w:kern w:val="0"/>
                <w:szCs w:val="21"/>
                <w14:textFill>
                  <w14:solidFill>
                    <w14:schemeClr w14:val="tx1"/>
                  </w14:solidFill>
                </w14:textFill>
              </w:rPr>
              <w:fldChar w:fldCharType="end"/>
            </w:r>
            <w:r>
              <w:rPr>
                <w:rFonts w:hint="default" w:ascii="Times New Roman" w:hAnsi="Times New Roman" w:cs="Times New Roman"/>
                <w:bCs/>
                <w:color w:val="000000" w:themeColor="text1"/>
                <w:kern w:val="0"/>
                <w:szCs w:val="21"/>
                <w14:textFill>
                  <w14:solidFill>
                    <w14:schemeClr w14:val="tx1"/>
                  </w14:solidFill>
                </w14:textFill>
              </w:rPr>
              <w:t>加强操作工人培训，通过测试和考核后持证上岗；</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fldChar w:fldCharType="begin"/>
            </w:r>
            <w:r>
              <w:rPr>
                <w:rFonts w:hint="default" w:ascii="Times New Roman" w:hAnsi="Times New Roman" w:cs="Times New Roman"/>
                <w:bCs/>
                <w:color w:val="000000" w:themeColor="text1"/>
                <w:kern w:val="0"/>
                <w:szCs w:val="21"/>
                <w14:textFill>
                  <w14:solidFill>
                    <w14:schemeClr w14:val="tx1"/>
                  </w14:solidFill>
                </w14:textFill>
              </w:rPr>
              <w:instrText xml:space="preserve"> = 4 \* GB3 \* MERGEFORMAT </w:instrText>
            </w:r>
            <w:r>
              <w:rPr>
                <w:rFonts w:hint="default" w:ascii="Times New Roman" w:hAnsi="Times New Roman" w:cs="Times New Roman"/>
                <w:bCs/>
                <w:color w:val="000000" w:themeColor="text1"/>
                <w:kern w:val="0"/>
                <w:szCs w:val="2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④</w:t>
            </w:r>
            <w:r>
              <w:rPr>
                <w:rFonts w:hint="default" w:ascii="Times New Roman" w:hAnsi="Times New Roman" w:cs="Times New Roman"/>
                <w:bCs/>
                <w:color w:val="000000" w:themeColor="text1"/>
                <w:kern w:val="0"/>
                <w:szCs w:val="21"/>
                <w14:textFill>
                  <w14:solidFill>
                    <w14:schemeClr w14:val="tx1"/>
                  </w14:solidFill>
                </w14:textFill>
              </w:rPr>
              <w:fldChar w:fldCharType="end"/>
            </w:r>
            <w:r>
              <w:rPr>
                <w:rFonts w:hint="default" w:ascii="Times New Roman" w:hAnsi="Times New Roman" w:cs="Times New Roman"/>
                <w:bCs/>
                <w:color w:val="000000" w:themeColor="text1"/>
                <w:kern w:val="0"/>
                <w:szCs w:val="21"/>
                <w14:textFill>
                  <w14:solidFill>
                    <w14:schemeClr w14:val="tx1"/>
                  </w14:solidFill>
                </w14:textFill>
              </w:rPr>
              <w:t>指定操作规程卡片张贴在显要地方；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fldChar w:fldCharType="begin"/>
            </w:r>
            <w:r>
              <w:rPr>
                <w:rFonts w:hint="default" w:ascii="Times New Roman" w:hAnsi="Times New Roman" w:cs="Times New Roman"/>
                <w:bCs/>
                <w:color w:val="000000" w:themeColor="text1"/>
                <w:kern w:val="0"/>
                <w:szCs w:val="21"/>
                <w14:textFill>
                  <w14:solidFill>
                    <w14:schemeClr w14:val="tx1"/>
                  </w14:solidFill>
                </w14:textFill>
              </w:rPr>
              <w:instrText xml:space="preserve"> = 5 \* GB3 \* MERGEFORMAT </w:instrText>
            </w:r>
            <w:r>
              <w:rPr>
                <w:rFonts w:hint="default" w:ascii="Times New Roman" w:hAnsi="Times New Roman" w:cs="Times New Roman"/>
                <w:bCs/>
                <w:color w:val="000000" w:themeColor="text1"/>
                <w:kern w:val="0"/>
                <w:szCs w:val="2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⑤</w:t>
            </w:r>
            <w:r>
              <w:rPr>
                <w:rFonts w:hint="default" w:ascii="Times New Roman" w:hAnsi="Times New Roman" w:cs="Times New Roman"/>
                <w:bCs/>
                <w:color w:val="000000" w:themeColor="text1"/>
                <w:kern w:val="0"/>
                <w:szCs w:val="21"/>
                <w14:textFill>
                  <w14:solidFill>
                    <w14:schemeClr w14:val="tx1"/>
                  </w14:solidFill>
                </w14:textFill>
              </w:rPr>
              <w:fldChar w:fldCharType="end"/>
            </w:r>
            <w:r>
              <w:rPr>
                <w:rFonts w:hint="default" w:ascii="Times New Roman" w:hAnsi="Times New Roman" w:cs="Times New Roman"/>
                <w:bCs/>
                <w:color w:val="000000" w:themeColor="text1"/>
                <w:kern w:val="0"/>
                <w:szCs w:val="21"/>
                <w14:textFill>
                  <w14:solidFill>
                    <w14:schemeClr w14:val="tx1"/>
                  </w14:solidFill>
                </w14:textFill>
              </w:rPr>
              <w:t>安排生产负责人定期、不定期监督检查，对于违规操作进行及时更正，并进行相应处罚；</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fldChar w:fldCharType="begin"/>
            </w:r>
            <w:r>
              <w:rPr>
                <w:rFonts w:hint="default" w:ascii="Times New Roman" w:hAnsi="Times New Roman" w:cs="Times New Roman"/>
                <w:bCs/>
                <w:color w:val="000000" w:themeColor="text1"/>
                <w:kern w:val="0"/>
                <w:szCs w:val="21"/>
                <w14:textFill>
                  <w14:solidFill>
                    <w14:schemeClr w14:val="tx1"/>
                  </w14:solidFill>
                </w14:textFill>
              </w:rPr>
              <w:instrText xml:space="preserve"> = 6 \* GB3 \* MERGEFORMAT </w:instrText>
            </w:r>
            <w:r>
              <w:rPr>
                <w:rFonts w:hint="default" w:ascii="Times New Roman" w:hAnsi="Times New Roman" w:cs="Times New Roman"/>
                <w:bCs/>
                <w:color w:val="000000" w:themeColor="text1"/>
                <w:kern w:val="0"/>
                <w:szCs w:val="2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⑥</w:t>
            </w:r>
            <w:r>
              <w:rPr>
                <w:rFonts w:hint="default" w:ascii="Times New Roman" w:hAnsi="Times New Roman" w:cs="Times New Roman"/>
                <w:bCs/>
                <w:color w:val="000000" w:themeColor="text1"/>
                <w:kern w:val="0"/>
                <w:szCs w:val="21"/>
                <w14:textFill>
                  <w14:solidFill>
                    <w14:schemeClr w14:val="tx1"/>
                  </w14:solidFill>
                </w14:textFill>
              </w:rPr>
              <w:fldChar w:fldCharType="end"/>
            </w:r>
            <w:r>
              <w:rPr>
                <w:rFonts w:hint="default" w:ascii="Times New Roman" w:hAnsi="Times New Roman" w:cs="Times New Roman"/>
                <w:bCs/>
                <w:color w:val="000000" w:themeColor="text1"/>
                <w:kern w:val="0"/>
                <w:szCs w:val="21"/>
                <w14:textFill>
                  <w14:solidFill>
                    <w14:schemeClr w14:val="tx1"/>
                  </w14:solidFill>
                </w14:textFill>
              </w:rPr>
              <w:t>厂区进行防火设计，工人操作过程严格执行防火规程；</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fldChar w:fldCharType="begin"/>
            </w:r>
            <w:r>
              <w:rPr>
                <w:rFonts w:hint="default" w:ascii="Times New Roman" w:hAnsi="Times New Roman" w:cs="Times New Roman"/>
                <w:bCs/>
                <w:color w:val="000000" w:themeColor="text1"/>
                <w:kern w:val="0"/>
                <w:szCs w:val="21"/>
                <w14:textFill>
                  <w14:solidFill>
                    <w14:schemeClr w14:val="tx1"/>
                  </w14:solidFill>
                </w14:textFill>
              </w:rPr>
              <w:instrText xml:space="preserve"> = 7 \* GB3 \* MERGEFORMAT </w:instrText>
            </w:r>
            <w:r>
              <w:rPr>
                <w:rFonts w:hint="default" w:ascii="Times New Roman" w:hAnsi="Times New Roman" w:cs="Times New Roman"/>
                <w:bCs/>
                <w:color w:val="000000" w:themeColor="text1"/>
                <w:kern w:val="0"/>
                <w:szCs w:val="2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⑦</w:t>
            </w:r>
            <w:r>
              <w:rPr>
                <w:rFonts w:hint="default" w:ascii="Times New Roman" w:hAnsi="Times New Roman" w:cs="Times New Roman"/>
                <w:bCs/>
                <w:color w:val="000000" w:themeColor="text1"/>
                <w:kern w:val="0"/>
                <w:szCs w:val="21"/>
                <w14:textFill>
                  <w14:solidFill>
                    <w14:schemeClr w14:val="tx1"/>
                  </w14:solidFill>
                </w14:textFill>
              </w:rPr>
              <w:fldChar w:fldCharType="end"/>
            </w:r>
            <w:r>
              <w:rPr>
                <w:rFonts w:hint="default" w:ascii="Times New Roman" w:hAnsi="Times New Roman" w:cs="Times New Roman"/>
                <w:bCs/>
                <w:color w:val="000000" w:themeColor="text1"/>
                <w:kern w:val="0"/>
                <w:szCs w:val="21"/>
                <w14:textFill>
                  <w14:solidFill>
                    <w14:schemeClr w14:val="tx1"/>
                  </w14:solidFill>
                </w14:textFill>
              </w:rPr>
              <w:t>地面采取防腐、防渗、防泄措施，完善雨水收集措施，确保事故性废水和物料等泄漏进入事故应急池；</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企业制定一系列生产安全方面的管理制度，为了有效管理，企业需在实际生过程中严格落实，企业需要成立设备检修维护专业队伍，定期进行全厂设备检修，保证设备正常运转，企业涉及易发生事故生产设备，需要定期进行检测、维修。设备维护管理方法如下：</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A、成立设备围护管理机构，建立设备检修制度；</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B、制定《安全检修安装制度》，并严格遵照执行，定期进行全厂设备检修，并做详细记录；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C、定期检修生产设备、配电所等设备的连接处，如阀门、垫圈、法兰等；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D、定期检修废气设施，保证废气设施无渗漏；</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000000" w:themeColor="text1"/>
                <w:kern w:val="0"/>
                <w:szCs w:val="2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E、定期更换老化设备，对于老化设备及时进行处置，提高装备水平。</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cs="Times New Roman"/>
                <w:b/>
                <w:bCs/>
                <w:color w:val="000000" w:themeColor="text1"/>
                <w:kern w:val="0"/>
                <w:szCs w:val="21"/>
                <w14:textFill>
                  <w14:solidFill>
                    <w14:schemeClr w14:val="tx1"/>
                  </w14:solidFill>
                </w14:textFill>
              </w:rPr>
            </w:pPr>
            <w:r>
              <w:rPr>
                <w:rFonts w:hint="default" w:ascii="Times New Roman" w:hAnsi="Times New Roman" w:cs="Times New Roman"/>
                <w:b/>
                <w:bCs/>
                <w:color w:val="000000" w:themeColor="text1"/>
                <w:kern w:val="0"/>
                <w:szCs w:val="21"/>
                <w14:textFill>
                  <w14:solidFill>
                    <w14:schemeClr w14:val="tx1"/>
                  </w14:solidFill>
                </w14:textFill>
              </w:rPr>
              <w:t>（</w:t>
            </w:r>
            <w:r>
              <w:rPr>
                <w:rFonts w:hint="default" w:ascii="Times New Roman" w:hAnsi="Times New Roman" w:cs="Times New Roman"/>
                <w:b/>
                <w:bCs/>
                <w:color w:val="000000" w:themeColor="text1"/>
                <w:kern w:val="0"/>
                <w:szCs w:val="21"/>
                <w:lang w:val="en-US" w:eastAsia="zh-CN"/>
                <w14:textFill>
                  <w14:solidFill>
                    <w14:schemeClr w14:val="tx1"/>
                  </w14:solidFill>
                </w14:textFill>
              </w:rPr>
              <w:t>5</w:t>
            </w:r>
            <w:r>
              <w:rPr>
                <w:rFonts w:hint="default" w:ascii="Times New Roman" w:hAnsi="Times New Roman" w:cs="Times New Roman"/>
                <w:b/>
                <w:bCs/>
                <w:color w:val="000000" w:themeColor="text1"/>
                <w:kern w:val="0"/>
                <w:szCs w:val="21"/>
                <w14:textFill>
                  <w14:solidFill>
                    <w14:schemeClr w14:val="tx1"/>
                  </w14:solidFill>
                </w14:textFill>
              </w:rPr>
              <w:t>）应急预案</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color w:val="000000" w:themeColor="text1"/>
                <w14:textFill>
                  <w14:solidFill>
                    <w14:schemeClr w14:val="tx1"/>
                  </w14:solidFill>
                </w14:textFill>
              </w:rPr>
            </w:pPr>
            <w:r>
              <w:rPr>
                <w:rFonts w:hint="default" w:ascii="Times New Roman" w:hAnsi="Times New Roman" w:cs="Times New Roman"/>
                <w:bCs/>
                <w:color w:val="000000" w:themeColor="text1"/>
                <w:kern w:val="0"/>
                <w:szCs w:val="21"/>
                <w14:textFill>
                  <w14:solidFill>
                    <w14:schemeClr w14:val="tx1"/>
                  </w14:solidFill>
                </w14:textFill>
              </w:rPr>
              <w:t>根据《企业事业单位突发环境事件应急预案备案管理办法（试行）》、《企业突发环境事件风险分级方法》（HJ941-2018）等相关文件精神，结合本项目环境风险分析结果，建设单位应当制订环境污染事故应急预案。</w:t>
            </w:r>
            <w:r>
              <w:rPr>
                <w:rFonts w:hint="default" w:ascii="Times New Roman" w:hAnsi="Times New Roman" w:cs="Times New Roman"/>
                <w:bCs/>
                <w:color w:val="000000" w:themeColor="text1"/>
                <w:kern w:val="0"/>
                <w:szCs w:val="21"/>
                <w14:textFill>
                  <w14:solidFill>
                    <w14:schemeClr w14:val="tx1"/>
                  </w14:solidFill>
                </w14:textFill>
              </w:rPr>
              <w:br w:type="textWrapping"/>
            </w:r>
            <w:r>
              <w:rPr>
                <w:rFonts w:hint="default" w:ascii="Times New Roman" w:hAnsi="Times New Roman" w:cs="Times New Roman"/>
                <w:bCs/>
                <w:color w:val="000000" w:themeColor="text1"/>
                <w:kern w:val="0"/>
                <w:szCs w:val="21"/>
                <w14:textFill>
                  <w14:solidFill>
                    <w14:schemeClr w14:val="tx1"/>
                  </w14:solidFill>
                </w14:textFill>
              </w:rPr>
              <w:br w:type="textWrapping"/>
            </w:r>
            <w:r>
              <w:rPr>
                <w:rFonts w:hint="default" w:ascii="Times New Roman" w:hAnsi="Times New Roman" w:cs="Times New Roman"/>
                <w:bCs/>
                <w:color w:val="000000" w:themeColor="text1"/>
                <w:kern w:val="0"/>
                <w:szCs w:val="21"/>
                <w14:textFill>
                  <w14:solidFill>
                    <w14:schemeClr w14:val="tx1"/>
                  </w14:solidFill>
                </w14:textFill>
              </w:rPr>
              <w:br w:type="textWrapping"/>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highlight w:val="none"/>
                <w:lang w:val="en-US" w:eastAsia="zh-CN"/>
                <w14:textFill>
                  <w14:solidFill>
                    <w14:schemeClr w14:val="tx1"/>
                  </w14:solidFill>
                </w14:textFill>
              </w:rPr>
              <w:t>项目应急预案内容</w:t>
            </w:r>
          </w:p>
          <w:tbl>
            <w:tblPr>
              <w:tblStyle w:val="21"/>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22"/>
              <w:gridCol w:w="2646"/>
              <w:gridCol w:w="504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序号</w:t>
                  </w:r>
                </w:p>
              </w:tc>
              <w:tc>
                <w:tcPr>
                  <w:tcW w:w="159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项   目</w:t>
                  </w:r>
                </w:p>
              </w:tc>
              <w:tc>
                <w:tcPr>
                  <w:tcW w:w="30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内容及要求</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1</w:t>
                  </w:r>
                </w:p>
              </w:tc>
              <w:tc>
                <w:tcPr>
                  <w:tcW w:w="159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总则</w:t>
                  </w:r>
                </w:p>
              </w:tc>
              <w:tc>
                <w:tcPr>
                  <w:tcW w:w="30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简述生产过程中涉及物料性质及可能产生的突发事故</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2</w:t>
                  </w:r>
                </w:p>
              </w:tc>
              <w:tc>
                <w:tcPr>
                  <w:tcW w:w="159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危险源辨识</w:t>
                  </w:r>
                </w:p>
              </w:tc>
              <w:tc>
                <w:tcPr>
                  <w:tcW w:w="30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评述危险源类型、数量及其分布</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3</w:t>
                  </w:r>
                </w:p>
              </w:tc>
              <w:tc>
                <w:tcPr>
                  <w:tcW w:w="159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应急计划区</w:t>
                  </w:r>
                </w:p>
              </w:tc>
              <w:tc>
                <w:tcPr>
                  <w:tcW w:w="30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eastAsia="宋体" w:cs="Times New Roman"/>
                      <w:bCs/>
                      <w:color w:val="000000" w:themeColor="text1"/>
                      <w:kern w:val="0"/>
                      <w:sz w:val="18"/>
                      <w:szCs w:val="18"/>
                      <w:lang w:eastAsia="zh-CN"/>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危险目标：</w:t>
                  </w:r>
                  <w:r>
                    <w:rPr>
                      <w:rFonts w:hint="default" w:ascii="Times New Roman" w:hAnsi="Times New Roman" w:cs="Times New Roman"/>
                      <w:bCs/>
                      <w:color w:val="000000" w:themeColor="text1"/>
                      <w:kern w:val="0"/>
                      <w:sz w:val="18"/>
                      <w:szCs w:val="18"/>
                      <w:lang w:eastAsia="zh-CN"/>
                      <w14:textFill>
                        <w14:solidFill>
                          <w14:schemeClr w14:val="tx1"/>
                        </w14:solidFill>
                      </w14:textFill>
                    </w:rPr>
                    <w:t>天然气燃气柜、丙烷钢瓶储存区、氨水储罐区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4</w:t>
                  </w:r>
                </w:p>
              </w:tc>
              <w:tc>
                <w:tcPr>
                  <w:tcW w:w="159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应急组织</w:t>
                  </w:r>
                </w:p>
              </w:tc>
              <w:tc>
                <w:tcPr>
                  <w:tcW w:w="30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工厂：厂指挥部——负责全厂全面指挥</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专业救援队伍——负责事故控制、救援善后处理</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地区指挥部——负责工厂附近地区、全面指挥、救援、</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疏散专业救援队伍——负责对厂专业救援队伍支援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5</w:t>
                  </w:r>
                </w:p>
              </w:tc>
              <w:tc>
                <w:tcPr>
                  <w:tcW w:w="159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应急状态分类及应急响应程序</w:t>
                  </w:r>
                </w:p>
              </w:tc>
              <w:tc>
                <w:tcPr>
                  <w:tcW w:w="30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规定事故的级别及相应的应急分类响应程序</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37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6</w:t>
                  </w:r>
                </w:p>
              </w:tc>
              <w:tc>
                <w:tcPr>
                  <w:tcW w:w="159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应急设施、设备与材料</w:t>
                  </w:r>
                </w:p>
              </w:tc>
              <w:tc>
                <w:tcPr>
                  <w:tcW w:w="30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堵漏设施、个人防护服装等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7</w:t>
                  </w:r>
                </w:p>
              </w:tc>
              <w:tc>
                <w:tcPr>
                  <w:tcW w:w="159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应急通讯、通知和交通</w:t>
                  </w:r>
                </w:p>
              </w:tc>
              <w:tc>
                <w:tcPr>
                  <w:tcW w:w="30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规定应急状态下的通讯方式、通知方式和交通保障、管制</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37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8</w:t>
                  </w:r>
                </w:p>
              </w:tc>
              <w:tc>
                <w:tcPr>
                  <w:tcW w:w="159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应急环境监测及事故后评估</w:t>
                  </w:r>
                </w:p>
              </w:tc>
              <w:tc>
                <w:tcPr>
                  <w:tcW w:w="30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由专业队伍对事故现场进行侦察监测，对事故性质、参数与后果进行评估，为指挥部门提供决策依据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9</w:t>
                  </w:r>
                </w:p>
              </w:tc>
              <w:tc>
                <w:tcPr>
                  <w:tcW w:w="159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应急防护措施、消除泄漏措施方法和器材</w:t>
                  </w:r>
                </w:p>
              </w:tc>
              <w:tc>
                <w:tcPr>
                  <w:tcW w:w="30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事故现场：控制事故、防止扩大、漫延及连锁反应、消除现场泄漏物、降低危害；相应的设施器材配备</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邻近区域：控制火区域，控制和消除污染措施及相应设备配备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10</w:t>
                  </w:r>
                </w:p>
              </w:tc>
              <w:tc>
                <w:tcPr>
                  <w:tcW w:w="159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应急剂量控制、撤离组织计划、医疗救护与公众健康</w:t>
                  </w:r>
                </w:p>
              </w:tc>
              <w:tc>
                <w:tcPr>
                  <w:tcW w:w="30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事故现场：事故处理人员对毒物的应急剂量控制规定，现场及邻近装置人员撤离组织计划及救护</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工厂邻近区：受事故影响的邻近区域人员及公众对毒物应急剂量控制规定，撤离组织计划及救护</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11</w:t>
                  </w:r>
                </w:p>
              </w:tc>
              <w:tc>
                <w:tcPr>
                  <w:tcW w:w="159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应急状态终止与恢复措施</w:t>
                  </w:r>
                </w:p>
              </w:tc>
              <w:tc>
                <w:tcPr>
                  <w:tcW w:w="30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规定应急状态终止程序：事故善后处理，恢复措施邻近区域解除事故警戒及善后恢复措施</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37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12</w:t>
                  </w:r>
                </w:p>
              </w:tc>
              <w:tc>
                <w:tcPr>
                  <w:tcW w:w="159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人员培训与演练</w:t>
                  </w:r>
                </w:p>
              </w:tc>
              <w:tc>
                <w:tcPr>
                  <w:tcW w:w="30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应急计划制定后，平时安排人员培训及演练</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13</w:t>
                  </w:r>
                </w:p>
              </w:tc>
              <w:tc>
                <w:tcPr>
                  <w:tcW w:w="159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公众教育和信息</w:t>
                  </w:r>
                </w:p>
              </w:tc>
              <w:tc>
                <w:tcPr>
                  <w:tcW w:w="30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对工厂邻近地区开展公众教育、培训与发布相关信息</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37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14</w:t>
                  </w:r>
                </w:p>
              </w:tc>
              <w:tc>
                <w:tcPr>
                  <w:tcW w:w="159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记录和报告</w:t>
                  </w:r>
                </w:p>
              </w:tc>
              <w:tc>
                <w:tcPr>
                  <w:tcW w:w="30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设置应急事故专门记录，建立档案和专门报告制度，设专门部门和负责管理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4"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15</w:t>
                  </w:r>
                </w:p>
              </w:tc>
              <w:tc>
                <w:tcPr>
                  <w:tcW w:w="159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附件</w:t>
                  </w:r>
                </w:p>
              </w:tc>
              <w:tc>
                <w:tcPr>
                  <w:tcW w:w="3032" w:type="pct"/>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bCs/>
                      <w:color w:val="000000" w:themeColor="text1"/>
                      <w:kern w:val="0"/>
                      <w:sz w:val="18"/>
                      <w:szCs w:val="18"/>
                      <w14:textFill>
                        <w14:solidFill>
                          <w14:schemeClr w14:val="tx1"/>
                        </w14:solidFill>
                      </w14:textFill>
                    </w:rPr>
                  </w:pPr>
                  <w:r>
                    <w:rPr>
                      <w:rFonts w:hint="default" w:ascii="Times New Roman" w:hAnsi="Times New Roman" w:cs="Times New Roman"/>
                      <w:bCs/>
                      <w:color w:val="000000" w:themeColor="text1"/>
                      <w:kern w:val="0"/>
                      <w:sz w:val="18"/>
                      <w:szCs w:val="18"/>
                      <w14:textFill>
                        <w14:solidFill>
                          <w14:schemeClr w14:val="tx1"/>
                        </w14:solidFill>
                      </w14:textFill>
                    </w:rPr>
                    <w:t>与应急事故有关的多种附件材料的准备和形成</w:t>
                  </w:r>
                </w:p>
              </w:tc>
            </w:tr>
          </w:tbl>
          <w:p>
            <w:pPr>
              <w:rPr>
                <w:rFonts w:hint="eastAsia" w:ascii="Times New Roman" w:hAnsi="Times New Roman" w:eastAsia="宋体" w:cs="Times New Roman"/>
                <w:color w:val="000000" w:themeColor="text1"/>
                <w:vertAlign w:val="baseline"/>
                <w:lang w:eastAsia="zh-CN"/>
                <w14:textFill>
                  <w14:solidFill>
                    <w14:schemeClr w14:val="tx1"/>
                  </w14:solidFill>
                </w14:textFill>
              </w:rPr>
            </w:pPr>
            <w:r>
              <w:rPr>
                <w:rFonts w:hint="eastAsia" w:cs="Times New Roman"/>
                <w:color w:val="000000" w:themeColor="text1"/>
                <w:vertAlign w:val="baseline"/>
                <w:lang w:eastAsia="zh-CN"/>
                <w14:textFill>
                  <w14:solidFill>
                    <w14:schemeClr w14:val="tx1"/>
                  </w14:solidFill>
                </w14:textFill>
              </w:rPr>
              <w:t xml:space="preserve"> </w:t>
            </w:r>
            <w:r>
              <w:rPr>
                <w:rFonts w:hint="eastAsia" w:cs="Times New Roman"/>
                <w:color w:val="000000" w:themeColor="text1"/>
                <w:vertAlign w:val="baseline"/>
                <w:lang w:eastAsia="zh-CN"/>
                <w14:textFill>
                  <w14:solidFill>
                    <w14:schemeClr w14:val="tx1"/>
                  </w14:solidFill>
                </w14:textFill>
              </w:rPr>
              <w:br w:type="textWrapping"/>
            </w:r>
            <w:r>
              <w:rPr>
                <w:rFonts w:hint="eastAsia" w:cs="Times New Roman"/>
                <w:color w:val="000000" w:themeColor="text1"/>
                <w:vertAlign w:val="baseline"/>
                <w:lang w:eastAsia="zh-CN"/>
                <w14:textFill>
                  <w14:solidFill>
                    <w14:schemeClr w14:val="tx1"/>
                  </w14:solidFill>
                </w14:textFill>
              </w:rPr>
              <w:br w:type="textWrapping"/>
            </w:r>
            <w:r>
              <w:rPr>
                <w:rFonts w:hint="eastAsia" w:cs="Times New Roman"/>
                <w:color w:val="000000" w:themeColor="text1"/>
                <w:vertAlign w:val="baseline"/>
                <w:lang w:eastAsia="zh-CN"/>
                <w14:textFill>
                  <w14:solidFill>
                    <w14:schemeClr w14:val="tx1"/>
                  </w14:solidFill>
                </w14:textFill>
              </w:rPr>
              <w:br w:type="textWrapping"/>
            </w:r>
            <w:r>
              <w:rPr>
                <w:rFonts w:hint="eastAsia" w:cs="Times New Roman"/>
                <w:color w:val="000000" w:themeColor="text1"/>
                <w:vertAlign w:val="baseline"/>
                <w:lang w:eastAsia="zh-CN"/>
                <w14:textFill>
                  <w14:solidFill>
                    <w14:schemeClr w14:val="tx1"/>
                  </w14:solidFill>
                </w14:textFill>
              </w:rPr>
              <w:br w:type="textWrapping"/>
            </w:r>
            <w:r>
              <w:rPr>
                <w:rFonts w:hint="eastAsia" w:cs="Times New Roman"/>
                <w:color w:val="000000" w:themeColor="text1"/>
                <w:vertAlign w:val="baseline"/>
                <w:lang w:eastAsia="zh-CN"/>
                <w14:textFill>
                  <w14:solidFill>
                    <w14:schemeClr w14:val="tx1"/>
                  </w14:solidFill>
                </w14:textFill>
              </w:rPr>
              <w:br w:type="textWrapping"/>
            </w:r>
            <w:r>
              <w:rPr>
                <w:rFonts w:hint="eastAsia" w:cs="Times New Roman"/>
                <w:color w:val="000000" w:themeColor="text1"/>
                <w:vertAlign w:val="baseline"/>
                <w:lang w:eastAsia="zh-CN"/>
                <w14:textFill>
                  <w14:solidFill>
                    <w14:schemeClr w14:val="tx1"/>
                  </w14:solidFill>
                </w14:textFill>
              </w:rPr>
              <w:br w:type="textWrapping"/>
            </w:r>
          </w:p>
        </w:tc>
      </w:tr>
    </w:tbl>
    <w:p>
      <w:pPr>
        <w:rPr>
          <w:rFonts w:hint="default" w:ascii="Times New Roman" w:hAnsi="Times New Roman" w:cs="Times New Roman"/>
          <w:color w:val="000000" w:themeColor="text1"/>
          <w14:textFill>
            <w14:solidFill>
              <w14:schemeClr w14:val="tx1"/>
            </w14:solidFill>
          </w14:textFill>
        </w:rPr>
        <w:sectPr>
          <w:pgSz w:w="11907" w:h="16840"/>
          <w:pgMar w:top="1803" w:right="1440" w:bottom="1803" w:left="1440" w:header="851" w:footer="851" w:gutter="0"/>
          <w:pgBorders>
            <w:top w:val="none" w:sz="0" w:space="0"/>
            <w:left w:val="none" w:sz="0" w:space="0"/>
            <w:bottom w:val="none" w:sz="0" w:space="0"/>
            <w:right w:val="none" w:sz="0" w:space="0"/>
          </w:pgBorders>
          <w:pgNumType w:fmt="decimal"/>
          <w:cols w:space="720" w:num="1"/>
          <w:docGrid w:linePitch="312" w:charSpace="0"/>
        </w:sectPr>
      </w:pPr>
    </w:p>
    <w:p>
      <w:pPr>
        <w:pStyle w:val="16"/>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0"/>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pPr>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t>五、</w:t>
      </w:r>
      <w:bookmarkStart w:id="2" w:name="_Hlk54167917"/>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t>环境保护措施监督检查清单</w:t>
      </w:r>
      <w:bookmarkEnd w:id="2"/>
    </w:p>
    <w:tbl>
      <w:tblPr>
        <w:tblStyle w:val="21"/>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452"/>
        <w:gridCol w:w="1491"/>
        <w:gridCol w:w="1304"/>
        <w:gridCol w:w="1665"/>
        <w:gridCol w:w="260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2" w:type="pct"/>
            <w:tcBorders>
              <w:tl2br w:val="single" w:color="auto" w:sz="4" w:space="0"/>
            </w:tcBorders>
            <w:noWrap w:val="0"/>
            <w:vAlign w:val="top"/>
          </w:tcPr>
          <w:p>
            <w:pPr>
              <w:keepNext w:val="0"/>
              <w:keepLines w:val="0"/>
              <w:pageBreakBefore w:val="0"/>
              <w:kinsoku/>
              <w:wordWrap/>
              <w:overflowPunct/>
              <w:topLinePunct w:val="0"/>
              <w:bidi w:val="0"/>
              <w:adjustRightInd/>
              <w:snapToGrid/>
              <w:spacing w:line="320" w:lineRule="exact"/>
              <w:ind w:firstLine="0" w:firstLineChars="0"/>
              <w:jc w:val="right"/>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内容</w:t>
            </w:r>
          </w:p>
          <w:p>
            <w:pPr>
              <w:keepNext w:val="0"/>
              <w:keepLines w:val="0"/>
              <w:pageBreakBefore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要素</w:t>
            </w:r>
          </w:p>
        </w:tc>
        <w:tc>
          <w:tcPr>
            <w:tcW w:w="875"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排放口(编号、</w:t>
            </w:r>
          </w:p>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名称)/污染源</w:t>
            </w:r>
          </w:p>
        </w:tc>
        <w:tc>
          <w:tcPr>
            <w:tcW w:w="765"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污染物项目</w:t>
            </w:r>
          </w:p>
        </w:tc>
        <w:tc>
          <w:tcPr>
            <w:tcW w:w="977"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环境保护措施</w:t>
            </w:r>
          </w:p>
        </w:tc>
        <w:tc>
          <w:tcPr>
            <w:tcW w:w="1529"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执行标准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2" w:type="pct"/>
            <w:vMerge w:val="restar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大气环境</w:t>
            </w:r>
          </w:p>
        </w:tc>
        <w:tc>
          <w:tcPr>
            <w:tcW w:w="875"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燃气加热炉燃气废气排气筒（DA001）</w:t>
            </w:r>
          </w:p>
        </w:tc>
        <w:tc>
          <w:tcPr>
            <w:tcW w:w="765"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颗粒物、</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SO</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、NOx、氨气</w:t>
            </w:r>
          </w:p>
        </w:tc>
        <w:tc>
          <w:tcPr>
            <w:tcW w:w="977" w:type="pct"/>
            <w:noWrap w:val="0"/>
            <w:vAlign w:val="center"/>
          </w:tcPr>
          <w:p>
            <w:pPr>
              <w:keepNext w:val="0"/>
              <w:keepLines w:val="0"/>
              <w:pageBreakBefore w:val="0"/>
              <w:widowControl/>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依托现有</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选择性催化还原（SCR）装置+15m高排气筒</w:t>
            </w:r>
            <w:r>
              <w:rPr>
                <w:rFonts w:hint="eastAsia" w:cs="Times New Roman"/>
                <w:color w:val="000000" w:themeColor="text1"/>
                <w:sz w:val="21"/>
                <w:szCs w:val="21"/>
                <w:highlight w:val="none"/>
                <w:lang w:val="en-US" w:eastAsia="zh-CN"/>
                <w14:textFill>
                  <w14:solidFill>
                    <w14:schemeClr w14:val="tx1"/>
                  </w14:solidFill>
                </w14:textFill>
              </w:rPr>
              <w:t>）</w:t>
            </w:r>
          </w:p>
        </w:tc>
        <w:tc>
          <w:tcPr>
            <w:tcW w:w="1529" w:type="pct"/>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21"/>
                <w:szCs w:val="21"/>
                <w:highlight w:val="cyan"/>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河南省地方标准《工业炉窑大气污染物排放标准》（DB41/1066-2020）</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、《新乡市生态环境局关于进一步规范工业企业颗粒物排限值的通知》要求、《河南省重污染天气通用行业应急减排措施制定技术指南（2021年修订版）》中涉炉窑企业</w:t>
            </w:r>
            <w:r>
              <w:rPr>
                <w:rFonts w:hint="eastAsia" w:ascii="Times New Roman" w:cs="Times New Roman" w:eastAsiaTheme="minorEastAsia"/>
                <w:color w:val="000000" w:themeColor="text1"/>
                <w:sz w:val="21"/>
                <w:szCs w:val="21"/>
                <w:highlight w:val="none"/>
                <w:lang w:eastAsia="zh-CN"/>
                <w14:textFill>
                  <w14:solidFill>
                    <w14:schemeClr w14:val="tx1"/>
                  </w14:solidFill>
                </w14:textFill>
              </w:rPr>
              <w:t>（其他炉窑）</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排放限值要求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2" w:type="pct"/>
            <w:vMerge w:val="continue"/>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875"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切割下料工序配套除尘器排气筒（DA002）</w:t>
            </w:r>
          </w:p>
        </w:tc>
        <w:tc>
          <w:tcPr>
            <w:tcW w:w="765"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颗粒物</w:t>
            </w:r>
          </w:p>
        </w:tc>
        <w:tc>
          <w:tcPr>
            <w:tcW w:w="977" w:type="pct"/>
            <w:noWrap w:val="0"/>
            <w:vAlign w:val="center"/>
          </w:tcPr>
          <w:p>
            <w:pPr>
              <w:keepNext w:val="0"/>
              <w:keepLines w:val="0"/>
              <w:pageBreakBefore w:val="0"/>
              <w:widowControl/>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kern w:val="2"/>
                <w:sz w:val="21"/>
                <w:szCs w:val="21"/>
                <w:highlight w:val="none"/>
                <w:u w:val="single"/>
                <w:lang w:val="en-US" w:eastAsia="zh-CN" w:bidi="ar-SA"/>
                <w14:textFill>
                  <w14:solidFill>
                    <w14:schemeClr w14:val="tx1"/>
                  </w14:solidFill>
                </w14:textFill>
              </w:rPr>
            </w:pPr>
            <w:r>
              <w:rPr>
                <w:rFonts w:hint="eastAsia" w:cs="Times New Roman"/>
                <w:b/>
                <w:bCs/>
                <w:color w:val="000000" w:themeColor="text1"/>
                <w:sz w:val="21"/>
                <w:szCs w:val="21"/>
                <w:highlight w:val="none"/>
                <w:u w:val="single"/>
                <w:lang w:eastAsia="zh-CN"/>
                <w14:textFill>
                  <w14:solidFill>
                    <w14:schemeClr w14:val="tx1"/>
                  </w14:solidFill>
                </w14:textFill>
              </w:rPr>
              <w:t>新建（</w:t>
            </w:r>
            <w:r>
              <w:rPr>
                <w:rFonts w:hint="default" w:ascii="Times New Roman" w:hAnsi="Times New Roman" w:cs="Times New Roman"/>
                <w:b/>
                <w:bCs/>
                <w:color w:val="000000" w:themeColor="text1"/>
                <w:sz w:val="21"/>
                <w:szCs w:val="21"/>
                <w:highlight w:val="none"/>
                <w:u w:val="single"/>
                <w:lang w:eastAsia="zh-CN"/>
                <w14:textFill>
                  <w14:solidFill>
                    <w14:schemeClr w14:val="tx1"/>
                  </w14:solidFill>
                </w14:textFill>
              </w:rPr>
              <w:t>密闭间</w:t>
            </w:r>
            <w:r>
              <w:rPr>
                <w:rFonts w:hint="default" w:ascii="Times New Roman" w:hAnsi="Times New Roman" w:cs="Times New Roman"/>
                <w:b/>
                <w:bCs/>
                <w:color w:val="000000" w:themeColor="text1"/>
                <w:sz w:val="21"/>
                <w:szCs w:val="21"/>
                <w:highlight w:val="none"/>
                <w:u w:val="single"/>
                <w:lang w:val="en-US" w:eastAsia="zh-CN"/>
                <w14:textFill>
                  <w14:solidFill>
                    <w14:schemeClr w14:val="tx1"/>
                  </w14:solidFill>
                </w14:textFill>
              </w:rPr>
              <w:t>+负压集气罩+脉冲袋式除尘器+15m高排气筒</w:t>
            </w:r>
            <w:r>
              <w:rPr>
                <w:rFonts w:hint="eastAsia" w:cs="Times New Roman"/>
                <w:b/>
                <w:bCs/>
                <w:color w:val="000000" w:themeColor="text1"/>
                <w:sz w:val="21"/>
                <w:szCs w:val="21"/>
                <w:highlight w:val="none"/>
                <w:u w:val="single"/>
                <w:lang w:eastAsia="zh-CN"/>
                <w14:textFill>
                  <w14:solidFill>
                    <w14:schemeClr w14:val="tx1"/>
                  </w14:solidFill>
                </w14:textFill>
              </w:rPr>
              <w:t>）</w:t>
            </w:r>
          </w:p>
        </w:tc>
        <w:tc>
          <w:tcPr>
            <w:tcW w:w="1529" w:type="pct"/>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21"/>
                <w:szCs w:val="21"/>
                <w:highlight w:val="cyan"/>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《大气污染物综合排放标准》（GB16297-1996）标准</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、《新乡市生态环境局关于进一步规范工业企业颗粒物排限值的通知》要求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2" w:type="pct"/>
            <w:vMerge w:val="continue"/>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875"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焊接、打磨工序配套除尘器排气筒（DA003）</w:t>
            </w:r>
          </w:p>
        </w:tc>
        <w:tc>
          <w:tcPr>
            <w:tcW w:w="765"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颗粒物</w:t>
            </w:r>
          </w:p>
        </w:tc>
        <w:tc>
          <w:tcPr>
            <w:tcW w:w="977" w:type="pct"/>
            <w:noWrap w:val="0"/>
            <w:vAlign w:val="center"/>
          </w:tcPr>
          <w:p>
            <w:pPr>
              <w:keepNext w:val="0"/>
              <w:keepLines w:val="0"/>
              <w:pageBreakBefore w:val="0"/>
              <w:widowControl/>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u w:val="single"/>
                <w:lang w:val="en-US" w:eastAsia="zh-CN"/>
                <w14:textFill>
                  <w14:solidFill>
                    <w14:schemeClr w14:val="tx1"/>
                  </w14:solidFill>
                </w14:textFill>
              </w:rPr>
            </w:pPr>
            <w:r>
              <w:rPr>
                <w:rFonts w:hint="eastAsia" w:cs="Times New Roman"/>
                <w:b/>
                <w:bCs/>
                <w:color w:val="000000" w:themeColor="text1"/>
                <w:sz w:val="21"/>
                <w:szCs w:val="21"/>
                <w:highlight w:val="none"/>
                <w:u w:val="single"/>
                <w:lang w:eastAsia="zh-CN"/>
                <w14:textFill>
                  <w14:solidFill>
                    <w14:schemeClr w14:val="tx1"/>
                  </w14:solidFill>
                </w14:textFill>
              </w:rPr>
              <w:t>新建（</w:t>
            </w:r>
            <w:r>
              <w:rPr>
                <w:rFonts w:hint="default" w:ascii="Times New Roman" w:hAnsi="Times New Roman" w:cs="Times New Roman"/>
                <w:b/>
                <w:bCs/>
                <w:color w:val="000000" w:themeColor="text1"/>
                <w:sz w:val="21"/>
                <w:szCs w:val="21"/>
                <w:highlight w:val="none"/>
                <w:u w:val="single"/>
                <w:lang w:eastAsia="zh-CN"/>
                <w14:textFill>
                  <w14:solidFill>
                    <w14:schemeClr w14:val="tx1"/>
                  </w14:solidFill>
                </w14:textFill>
              </w:rPr>
              <w:t>密闭间</w:t>
            </w:r>
            <w:r>
              <w:rPr>
                <w:rFonts w:hint="default" w:ascii="Times New Roman" w:hAnsi="Times New Roman" w:cs="Times New Roman"/>
                <w:b/>
                <w:bCs/>
                <w:color w:val="000000" w:themeColor="text1"/>
                <w:sz w:val="21"/>
                <w:szCs w:val="21"/>
                <w:highlight w:val="none"/>
                <w:u w:val="single"/>
                <w:lang w:val="en-US" w:eastAsia="zh-CN"/>
                <w14:textFill>
                  <w14:solidFill>
                    <w14:schemeClr w14:val="tx1"/>
                  </w14:solidFill>
                </w14:textFill>
              </w:rPr>
              <w:t>+负压集气罩+脉冲袋式除尘器+15m高排气筒</w:t>
            </w:r>
            <w:r>
              <w:rPr>
                <w:rFonts w:hint="eastAsia" w:cs="Times New Roman"/>
                <w:b/>
                <w:bCs/>
                <w:color w:val="000000" w:themeColor="text1"/>
                <w:sz w:val="21"/>
                <w:szCs w:val="21"/>
                <w:highlight w:val="none"/>
                <w:u w:val="single"/>
                <w:lang w:eastAsia="zh-CN"/>
                <w14:textFill>
                  <w14:solidFill>
                    <w14:schemeClr w14:val="tx1"/>
                  </w14:solidFill>
                </w14:textFill>
              </w:rPr>
              <w:t>）</w:t>
            </w:r>
          </w:p>
        </w:tc>
        <w:tc>
          <w:tcPr>
            <w:tcW w:w="1529" w:type="pct"/>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21"/>
                <w:szCs w:val="21"/>
                <w:highlight w:val="cyan"/>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《大气污染物综合排放标准》（GB16297-1996）标准</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、《新乡市生态环境局关于进一步规范工业企业颗粒物排限值的通知》要求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852" w:type="pct"/>
            <w:vMerge w:val="continue"/>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875"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kern w:val="0"/>
                <w:sz w:val="21"/>
                <w:szCs w:val="21"/>
                <w:highlight w:val="none"/>
                <w:lang w:val="en-US" w:eastAsia="zh-CN" w:bidi="ar-SA"/>
                <w14:textFill>
                  <w14:solidFill>
                    <w14:schemeClr w14:val="tx1"/>
                  </w14:solidFill>
                </w14:textFill>
              </w:rPr>
              <w:t>酸洗工序配套</w:t>
            </w:r>
            <w:r>
              <w:rPr>
                <w:rFonts w:hint="eastAsia" w:cs="Times New Roman" w:eastAsiaTheme="minorEastAsia"/>
                <w:color w:val="000000" w:themeColor="text1"/>
                <w:kern w:val="0"/>
                <w:sz w:val="21"/>
                <w:szCs w:val="21"/>
                <w:highlight w:val="none"/>
                <w:lang w:val="en-US" w:eastAsia="zh-CN" w:bidi="ar-SA"/>
                <w14:textFill>
                  <w14:solidFill>
                    <w14:schemeClr w14:val="tx1"/>
                  </w14:solidFill>
                </w14:textFill>
              </w:rPr>
              <w:t>两级酸雾喷淋塔</w:t>
            </w:r>
            <w:r>
              <w:rPr>
                <w:rFonts w:hint="eastAsia" w:ascii="Times New Roman" w:hAnsi="Times New Roman" w:cs="Times New Roman" w:eastAsiaTheme="minorEastAsia"/>
                <w:color w:val="000000" w:themeColor="text1"/>
                <w:kern w:val="0"/>
                <w:sz w:val="21"/>
                <w:szCs w:val="21"/>
                <w:highlight w:val="none"/>
                <w:lang w:val="en-US" w:eastAsia="zh-CN" w:bidi="ar-SA"/>
                <w14:textFill>
                  <w14:solidFill>
                    <w14:schemeClr w14:val="tx1"/>
                  </w14:solidFill>
                </w14:textFill>
              </w:rPr>
              <w:t>排气筒（DA004）</w:t>
            </w:r>
          </w:p>
        </w:tc>
        <w:tc>
          <w:tcPr>
            <w:tcW w:w="765" w:type="pct"/>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1"/>
                <w:szCs w:val="21"/>
                <w:highlight w:val="none"/>
                <w:lang w:val="en-US" w:eastAsia="zh-CN" w:bidi="ar-SA"/>
                <w14:textFill>
                  <w14:solidFill>
                    <w14:schemeClr w14:val="tx1"/>
                  </w14:solidFill>
                </w14:textFill>
              </w:rPr>
              <w:t>氢氟酸雾</w:t>
            </w:r>
            <w:r>
              <w:rPr>
                <w:rFonts w:hint="eastAsia" w:ascii="Times New Roman" w:hAnsi="Times New Roman" w:cs="Times New Roman" w:eastAsiaTheme="minorEastAsia"/>
                <w:color w:val="000000" w:themeColor="text1"/>
                <w:kern w:val="0"/>
                <w:sz w:val="21"/>
                <w:szCs w:val="21"/>
                <w:highlight w:val="none"/>
                <w:lang w:val="en-US" w:eastAsia="zh-CN" w:bidi="ar-SA"/>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color w:val="000000" w:themeColor="text1"/>
                <w:kern w:val="0"/>
                <w:sz w:val="21"/>
                <w:szCs w:val="21"/>
                <w:highlight w:val="none"/>
                <w:lang w:val="en-US" w:eastAsia="zh-CN" w:bidi="ar-SA"/>
                <w14:textFill>
                  <w14:solidFill>
                    <w14:schemeClr w14:val="tx1"/>
                  </w14:solidFill>
                </w14:textFill>
              </w:rPr>
              <w:t>硝酸雾（NOx计）</w:t>
            </w:r>
          </w:p>
        </w:tc>
        <w:tc>
          <w:tcPr>
            <w:tcW w:w="977" w:type="pct"/>
            <w:noWrap w:val="0"/>
            <w:vAlign w:val="center"/>
          </w:tcPr>
          <w:p>
            <w:pPr>
              <w:keepNext w:val="0"/>
              <w:keepLines w:val="0"/>
              <w:pageBreakBefore w:val="0"/>
              <w:widowControl/>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eastAsiaTheme="minorEastAsia"/>
                <w:b/>
                <w:bCs/>
                <w:color w:val="000000" w:themeColor="text1"/>
                <w:kern w:val="0"/>
                <w:sz w:val="21"/>
                <w:szCs w:val="21"/>
                <w:highlight w:val="none"/>
                <w:u w:val="single"/>
                <w:lang w:val="en-US" w:eastAsia="zh-CN" w:bidi="ar-SA"/>
                <w14:textFill>
                  <w14:solidFill>
                    <w14:schemeClr w14:val="tx1"/>
                  </w14:solidFill>
                </w14:textFill>
              </w:rPr>
            </w:pPr>
            <w:r>
              <w:rPr>
                <w:rFonts w:hint="eastAsia" w:cs="Times New Roman"/>
                <w:b/>
                <w:bCs/>
                <w:color w:val="000000" w:themeColor="text1"/>
                <w:sz w:val="21"/>
                <w:szCs w:val="21"/>
                <w:highlight w:val="none"/>
                <w:u w:val="single"/>
                <w:lang w:eastAsia="zh-CN"/>
                <w14:textFill>
                  <w14:solidFill>
                    <w14:schemeClr w14:val="tx1"/>
                  </w14:solidFill>
                </w14:textFill>
              </w:rPr>
              <w:t>新建（</w:t>
            </w:r>
            <w:r>
              <w:rPr>
                <w:rFonts w:hint="eastAsia" w:ascii="Times New Roman" w:hAnsi="Times New Roman" w:cs="Times New Roman" w:eastAsiaTheme="minorEastAsia"/>
                <w:b/>
                <w:bCs/>
                <w:color w:val="000000" w:themeColor="text1"/>
                <w:kern w:val="0"/>
                <w:sz w:val="21"/>
                <w:szCs w:val="21"/>
                <w:highlight w:val="none"/>
                <w:u w:val="single"/>
                <w:lang w:val="en-US" w:eastAsia="zh-CN" w:bidi="ar-SA"/>
                <w14:textFill>
                  <w14:solidFill>
                    <w14:schemeClr w14:val="tx1"/>
                  </w14:solidFill>
                </w14:textFill>
              </w:rPr>
              <w:t>密闭间+负压集气+两级酸雾喷淋+</w:t>
            </w:r>
            <w:r>
              <w:rPr>
                <w:rFonts w:hint="default" w:ascii="Times New Roman" w:hAnsi="Times New Roman" w:cs="Times New Roman" w:eastAsiaTheme="minorEastAsia"/>
                <w:b/>
                <w:bCs/>
                <w:color w:val="000000" w:themeColor="text1"/>
                <w:kern w:val="0"/>
                <w:sz w:val="21"/>
                <w:szCs w:val="21"/>
                <w:highlight w:val="none"/>
                <w:u w:val="single"/>
                <w:lang w:val="en-US" w:eastAsia="zh-CN" w:bidi="ar-SA"/>
                <w14:textFill>
                  <w14:solidFill>
                    <w14:schemeClr w14:val="tx1"/>
                  </w14:solidFill>
                </w14:textFill>
              </w:rPr>
              <w:t>15m高排气筒</w:t>
            </w:r>
            <w:r>
              <w:rPr>
                <w:rFonts w:hint="eastAsia" w:cs="Times New Roman"/>
                <w:b/>
                <w:bCs/>
                <w:color w:val="000000" w:themeColor="text1"/>
                <w:sz w:val="21"/>
                <w:szCs w:val="21"/>
                <w:highlight w:val="none"/>
                <w:u w:val="single"/>
                <w:lang w:eastAsia="zh-CN"/>
                <w14:textFill>
                  <w14:solidFill>
                    <w14:schemeClr w14:val="tx1"/>
                  </w14:solidFill>
                </w14:textFill>
              </w:rPr>
              <w:t>）</w:t>
            </w:r>
          </w:p>
        </w:tc>
        <w:tc>
          <w:tcPr>
            <w:tcW w:w="1529" w:type="pct"/>
            <w:noWrap w:val="0"/>
            <w:vAlign w:val="center"/>
          </w:tcPr>
          <w:p>
            <w:pPr>
              <w:pStyle w:val="26"/>
              <w:keepNext w:val="0"/>
              <w:keepLines w:val="0"/>
              <w:pageBreakBefore w:val="0"/>
              <w:widowControl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cs="Times New Roman" w:eastAsiaTheme="minorEastAsia"/>
                <w:color w:val="000000" w:themeColor="text1"/>
                <w:sz w:val="21"/>
                <w:szCs w:val="21"/>
                <w:highlight w:val="cya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《大气污染物综合排放标准》（GB16297-1996）标准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2" w:type="pct"/>
            <w:vMerge w:val="restar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地表水环境</w:t>
            </w:r>
          </w:p>
        </w:tc>
        <w:tc>
          <w:tcPr>
            <w:tcW w:w="875" w:type="pct"/>
            <w:tcBorders>
              <w:top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21"/>
                <w:szCs w:val="21"/>
                <w:highlight w:val="none"/>
                <w:lang w:val="zh-CN" w:eastAsia="en-US"/>
                <w14:textFill>
                  <w14:solidFill>
                    <w14:schemeClr w14:val="tx1"/>
                  </w14:solidFill>
                </w14:textFill>
              </w:rPr>
              <w:t>生活废水</w:t>
            </w:r>
          </w:p>
        </w:tc>
        <w:tc>
          <w:tcPr>
            <w:tcW w:w="765"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COD、BOD</w:t>
            </w:r>
            <w:r>
              <w:rPr>
                <w:rFonts w:hint="default" w:ascii="Times New Roman" w:hAnsi="Times New Roman" w:cs="Times New Roman"/>
                <w:color w:val="000000" w:themeColor="text1"/>
                <w:kern w:val="0"/>
                <w:sz w:val="21"/>
                <w:szCs w:val="21"/>
                <w:highlight w:val="none"/>
                <w:vertAlign w:val="subscript"/>
                <w:lang w:val="en-US" w:eastAsia="zh-CN"/>
                <w14:textFill>
                  <w14:solidFill>
                    <w14:schemeClr w14:val="tx1"/>
                  </w14:solidFill>
                </w14:textFill>
              </w:rPr>
              <w:t>5</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、SS、NH</w:t>
            </w:r>
            <w:r>
              <w:rPr>
                <w:rFonts w:hint="default" w:ascii="Times New Roman" w:hAnsi="Times New Roman" w:cs="Times New Roman"/>
                <w:color w:val="000000" w:themeColor="text1"/>
                <w:kern w:val="0"/>
                <w:sz w:val="21"/>
                <w:szCs w:val="21"/>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-N、TP</w:t>
            </w:r>
          </w:p>
        </w:tc>
        <w:tc>
          <w:tcPr>
            <w:tcW w:w="977" w:type="pct"/>
            <w:tcBorders>
              <w:bottom w:val="single" w:color="000000"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依托现有</w:t>
            </w:r>
            <w:r>
              <w:rPr>
                <w:rFonts w:hint="default" w:ascii="Times New Roman" w:hAnsi="Times New Roman" w:cs="Times New Roman"/>
                <w:color w:val="000000" w:themeColor="text1"/>
                <w:sz w:val="21"/>
                <w:szCs w:val="21"/>
                <w:highlight w:val="none"/>
                <w14:textFill>
                  <w14:solidFill>
                    <w14:schemeClr w14:val="tx1"/>
                  </w14:solidFill>
                </w14:textFill>
              </w:rPr>
              <w:t>化粪池处理后，</w:t>
            </w:r>
            <w:r>
              <w:rPr>
                <w:rFonts w:hint="default" w:ascii="Times New Roman" w:hAnsi="Times New Roman" w:cs="Times New Roman"/>
                <w:color w:val="000000" w:themeColor="text1"/>
                <w:sz w:val="21"/>
                <w:szCs w:val="21"/>
                <w:highlight w:val="none"/>
                <w:lang w:eastAsia="zh-CN"/>
                <w14:textFill>
                  <w14:solidFill>
                    <w14:schemeClr w14:val="tx1"/>
                  </w14:solidFill>
                </w14:textFill>
              </w:rPr>
              <w:t>通过污水管网排入新乡县综合污水处理厂进一步处理</w:t>
            </w:r>
          </w:p>
        </w:tc>
        <w:tc>
          <w:tcPr>
            <w:tcW w:w="1529" w:type="pct"/>
            <w:tcBorders>
              <w:top w:val="single" w:color="000000" w:sz="4" w:space="0"/>
              <w:bottom w:val="single" w:color="000000"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21"/>
                <w:szCs w:val="21"/>
                <w:highlight w:val="cyan"/>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《污水综合排放标准》（</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GB8978-1996</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）表</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三级标准</w:t>
            </w:r>
            <w:r>
              <w:rPr>
                <w:rFonts w:hint="default" w:ascii="Times New Roman" w:hAnsi="Times New Roman" w:cs="Times New Roman"/>
                <w:bCs/>
                <w:color w:val="000000" w:themeColor="text1"/>
                <w:sz w:val="21"/>
                <w:szCs w:val="21"/>
                <w:highlight w:val="none"/>
                <w:lang w:val="zh-CN"/>
                <w14:textFill>
                  <w14:solidFill>
                    <w14:schemeClr w14:val="tx1"/>
                  </w14:solidFill>
                </w14:textFill>
              </w:rPr>
              <w:t>、新乡县综合污水处理厂收水标准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2" w:type="pct"/>
            <w:vMerge w:val="continue"/>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875" w:type="pct"/>
            <w:tcBorders>
              <w:top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zh-CN" w:eastAsia="en-US"/>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zh-CN" w:eastAsia="en-US"/>
                <w14:textFill>
                  <w14:solidFill>
                    <w14:schemeClr w14:val="tx1"/>
                  </w14:solidFill>
                </w14:textFill>
              </w:rPr>
              <w:t>酸洗工序冲洗废水</w:t>
            </w:r>
          </w:p>
        </w:tc>
        <w:tc>
          <w:tcPr>
            <w:tcW w:w="765" w:type="pct"/>
            <w:noWrap w:val="0"/>
            <w:vAlign w:val="center"/>
          </w:tcPr>
          <w:p>
            <w:pPr>
              <w:keepNext w:val="0"/>
              <w:keepLines w:val="0"/>
              <w:pageBreakBefore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pH、COD、SS、NH</w:t>
            </w:r>
            <w:r>
              <w:rPr>
                <w:rFonts w:hint="default" w:ascii="Times New Roman" w:hAnsi="Times New Roman" w:eastAsia="宋体" w:cs="Times New Roman"/>
                <w:color w:val="000000" w:themeColor="text1"/>
                <w:kern w:val="0"/>
                <w:sz w:val="21"/>
                <w:szCs w:val="21"/>
                <w:highlight w:val="none"/>
                <w:vertAlign w:val="subscript"/>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-N、石油类、TP、TN、</w:t>
            </w:r>
            <w:r>
              <w:rPr>
                <w:rFonts w:hint="eastAsia" w:cs="Times New Roman"/>
                <w:color w:val="000000" w:themeColor="text1"/>
                <w:kern w:val="0"/>
                <w:sz w:val="21"/>
                <w:szCs w:val="21"/>
                <w:highlight w:val="none"/>
                <w:lang w:val="en-US" w:eastAsia="zh-CN"/>
                <w14:textFill>
                  <w14:solidFill>
                    <w14:schemeClr w14:val="tx1"/>
                  </w14:solidFill>
                </w14:textFill>
              </w:rPr>
              <w:t>氟化物、</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铜、铅、锌、镍、镉、铁、砷、六价铬</w:t>
            </w:r>
          </w:p>
        </w:tc>
        <w:tc>
          <w:tcPr>
            <w:tcW w:w="977" w:type="pct"/>
            <w:vMerge w:val="restart"/>
            <w:noWrap w:val="0"/>
            <w:vAlign w:val="center"/>
          </w:tcPr>
          <w:p>
            <w:pPr>
              <w:keepNext w:val="0"/>
              <w:keepLines w:val="0"/>
              <w:pageBreakBefore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zh-CN"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zh-CN" w:eastAsia="zh-CN"/>
                <w14:textFill>
                  <w14:solidFill>
                    <w14:schemeClr w14:val="tx1"/>
                  </w14:solidFill>
                </w14:textFill>
              </w:rPr>
              <w:t>新建</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1套废水处理装置（</w:t>
            </w:r>
            <w:r>
              <w:rPr>
                <w:rFonts w:hint="default" w:ascii="Times New Roman" w:hAnsi="Times New Roman" w:eastAsia="宋体" w:cs="Times New Roman"/>
                <w:color w:val="000000" w:themeColor="text1"/>
                <w:kern w:val="0"/>
                <w:sz w:val="21"/>
                <w:szCs w:val="21"/>
                <w:highlight w:val="none"/>
                <w:lang w:val="zh-CN" w:eastAsia="zh-CN"/>
                <w14:textFill>
                  <w14:solidFill>
                    <w14:schemeClr w14:val="tx1"/>
                  </w14:solidFill>
                </w14:textFill>
              </w:rPr>
              <w:t>采用“隔油沉淀+调节+气浮+pH调节（调酸）+芬顿氧化+中和（调碱）+混凝沉淀+中和+水解酸化+MBR（微滤）</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+RO+高效蒸发器</w:t>
            </w:r>
            <w:r>
              <w:rPr>
                <w:rFonts w:hint="default" w:ascii="Times New Roman" w:hAnsi="Times New Roman" w:eastAsia="宋体" w:cs="Times New Roman"/>
                <w:color w:val="000000" w:themeColor="text1"/>
                <w:kern w:val="0"/>
                <w:sz w:val="21"/>
                <w:szCs w:val="21"/>
                <w:highlight w:val="none"/>
                <w:lang w:val="zh-CN" w:eastAsia="zh-CN"/>
                <w14:textFill>
                  <w14:solidFill>
                    <w14:schemeClr w14:val="tx1"/>
                  </w14:solidFill>
                </w14:textFill>
              </w:rPr>
              <w:t>”工艺</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）处理后，RO过滤后清水回用于冲洗，浓水经高效蒸发后残渣作为危废处理</w:t>
            </w:r>
          </w:p>
        </w:tc>
        <w:tc>
          <w:tcPr>
            <w:tcW w:w="1529" w:type="pct"/>
            <w:vMerge w:val="restart"/>
            <w:tcBorders>
              <w:top w:val="single" w:color="000000"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《城市污水再生利用 工业用水水质》（GB/T19923-2005）洗涤用水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2" w:type="pct"/>
            <w:vMerge w:val="continue"/>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875" w:type="pct"/>
            <w:tcBorders>
              <w:top w:val="single" w:color="auto" w:sz="4" w:space="0"/>
            </w:tcBorders>
            <w:noWrap w:val="0"/>
            <w:vAlign w:val="center"/>
          </w:tcPr>
          <w:p>
            <w:pPr>
              <w:keepNext w:val="0"/>
              <w:keepLines w:val="0"/>
              <w:pageBreakBefore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zh-CN" w:eastAsia="en-US"/>
                <w14:textFill>
                  <w14:solidFill>
                    <w14:schemeClr w14:val="tx1"/>
                  </w14:solidFill>
                </w14:textFill>
              </w:rPr>
            </w:pPr>
            <w:r>
              <w:rPr>
                <w:rFonts w:hint="eastAsia" w:cs="Times New Roman"/>
                <w:color w:val="000000" w:themeColor="text1"/>
                <w:kern w:val="0"/>
                <w:sz w:val="21"/>
                <w:szCs w:val="21"/>
                <w:highlight w:val="none"/>
                <w:lang w:val="zh-CN" w:eastAsia="en-US"/>
                <w14:textFill>
                  <w14:solidFill>
                    <w14:schemeClr w14:val="tx1"/>
                  </w14:solidFill>
                </w14:textFill>
              </w:rPr>
              <w:t>两级酸雾喷淋塔</w:t>
            </w:r>
          </w:p>
        </w:tc>
        <w:tc>
          <w:tcPr>
            <w:tcW w:w="765" w:type="pct"/>
            <w:noWrap w:val="0"/>
            <w:vAlign w:val="center"/>
          </w:tcPr>
          <w:p>
            <w:pPr>
              <w:keepNext w:val="0"/>
              <w:keepLines w:val="0"/>
              <w:pageBreakBefore w:val="0"/>
              <w:kinsoku/>
              <w:wordWrap/>
              <w:overflowPunct/>
              <w:topLinePunct w:val="0"/>
              <w:autoSpaceDE w:val="0"/>
              <w:autoSpaceDN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pH、COD、SS、氟化物</w:t>
            </w:r>
          </w:p>
        </w:tc>
        <w:tc>
          <w:tcPr>
            <w:tcW w:w="977" w:type="pct"/>
            <w:vMerge w:val="continue"/>
            <w:tcBorders>
              <w:bottom w:val="single" w:color="000000"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lang w:eastAsia="zh-CN"/>
                <w14:textFill>
                  <w14:solidFill>
                    <w14:schemeClr w14:val="tx1"/>
                  </w14:solidFill>
                </w14:textFill>
              </w:rPr>
            </w:pPr>
          </w:p>
        </w:tc>
        <w:tc>
          <w:tcPr>
            <w:tcW w:w="1529" w:type="pct"/>
            <w:vMerge w:val="continue"/>
            <w:tcBorders>
              <w:bottom w:val="single" w:color="000000"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2" w:type="pct"/>
            <w:vMerge w:val="restar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声环境</w:t>
            </w:r>
          </w:p>
        </w:tc>
        <w:tc>
          <w:tcPr>
            <w:tcW w:w="875"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各生产设备</w:t>
            </w:r>
          </w:p>
        </w:tc>
        <w:tc>
          <w:tcPr>
            <w:tcW w:w="765"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机械</w:t>
            </w:r>
            <w:r>
              <w:rPr>
                <w:rFonts w:hint="default" w:ascii="Times New Roman" w:hAnsi="Times New Roman" w:cs="Times New Roman"/>
                <w:color w:val="000000" w:themeColor="text1"/>
                <w:sz w:val="21"/>
                <w:szCs w:val="21"/>
                <w:highlight w:val="none"/>
                <w14:textFill>
                  <w14:solidFill>
                    <w14:schemeClr w14:val="tx1"/>
                  </w14:solidFill>
                </w14:textFill>
              </w:rPr>
              <w:t>噪声</w:t>
            </w:r>
          </w:p>
        </w:tc>
        <w:tc>
          <w:tcPr>
            <w:tcW w:w="977"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低噪声设备、基础减振、厂房隔声</w:t>
            </w:r>
          </w:p>
        </w:tc>
        <w:tc>
          <w:tcPr>
            <w:tcW w:w="1529" w:type="pct"/>
            <w:vMerge w:val="restart"/>
            <w:tcBorders>
              <w:top w:val="single" w:color="000000" w:sz="4" w:space="0"/>
              <w:bottom w:val="single" w:color="000000"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《工业企业厂界环境噪声排放标准》（GB12348-2008）</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类标准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2" w:type="pct"/>
            <w:vMerge w:val="continue"/>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875"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空气压缩机</w:t>
            </w:r>
          </w:p>
        </w:tc>
        <w:tc>
          <w:tcPr>
            <w:tcW w:w="765"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空气动力</w:t>
            </w:r>
            <w:r>
              <w:rPr>
                <w:rFonts w:hint="default" w:ascii="Times New Roman" w:hAnsi="Times New Roman" w:cs="Times New Roman"/>
                <w:color w:val="000000" w:themeColor="text1"/>
                <w:sz w:val="21"/>
                <w:szCs w:val="21"/>
                <w:highlight w:val="none"/>
                <w14:textFill>
                  <w14:solidFill>
                    <w14:schemeClr w14:val="tx1"/>
                  </w14:solidFill>
                </w14:textFill>
              </w:rPr>
              <w:t>噪声</w:t>
            </w:r>
          </w:p>
        </w:tc>
        <w:tc>
          <w:tcPr>
            <w:tcW w:w="977"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消声、基础减振、厂房隔声</w:t>
            </w:r>
          </w:p>
        </w:tc>
        <w:tc>
          <w:tcPr>
            <w:tcW w:w="1529" w:type="pct"/>
            <w:vMerge w:val="continue"/>
            <w:tcBorders>
              <w:top w:val="single" w:color="000000" w:sz="4" w:space="0"/>
              <w:bottom w:val="single" w:color="000000" w:sz="4" w:space="0"/>
            </w:tcBorders>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cya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2"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固体废物</w:t>
            </w:r>
          </w:p>
        </w:tc>
        <w:tc>
          <w:tcPr>
            <w:tcW w:w="4147" w:type="pct"/>
            <w:gridSpan w:val="4"/>
            <w:noWrap w:val="0"/>
            <w:vAlign w:val="center"/>
          </w:tcPr>
          <w:p>
            <w:pPr>
              <w:keepNext w:val="0"/>
              <w:keepLines w:val="0"/>
              <w:pageBreakBefore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color w:val="000000" w:themeColor="text1"/>
                <w:sz w:val="21"/>
                <w:szCs w:val="21"/>
                <w:highlight w:val="cyan"/>
                <w:lang w:eastAsia="zh-CN"/>
                <w14:textFill>
                  <w14:solidFill>
                    <w14:schemeClr w14:val="tx1"/>
                  </w14:solidFill>
                </w14:textFill>
              </w:rPr>
            </w:pPr>
            <w:r>
              <w:rPr>
                <w:rFonts w:hint="default" w:ascii="Times New Roman" w:hAnsi="Times New Roman" w:cs="Times New Roman"/>
                <w:snapToGrid w:val="0"/>
                <w:color w:val="000000" w:themeColor="text1"/>
                <w:sz w:val="21"/>
                <w:szCs w:val="21"/>
                <w:highlight w:val="none"/>
                <w:lang w:eastAsia="zh-CN"/>
                <w14:textFill>
                  <w14:solidFill>
                    <w14:schemeClr w14:val="tx1"/>
                  </w14:solidFill>
                </w14:textFill>
              </w:rPr>
              <w:fldChar w:fldCharType="begin"/>
            </w:r>
            <w:r>
              <w:rPr>
                <w:rFonts w:hint="default" w:ascii="Times New Roman" w:hAnsi="Times New Roman" w:cs="Times New Roman"/>
                <w:snapToGrid w:val="0"/>
                <w:color w:val="000000" w:themeColor="text1"/>
                <w:sz w:val="21"/>
                <w:szCs w:val="21"/>
                <w:highlight w:val="none"/>
                <w:lang w:eastAsia="zh-CN"/>
                <w14:textFill>
                  <w14:solidFill>
                    <w14:schemeClr w14:val="tx1"/>
                  </w14:solidFill>
                </w14:textFill>
              </w:rPr>
              <w:instrText xml:space="preserve"> = 1 \* GB3 \* MERGEFORMAT </w:instrText>
            </w:r>
            <w:r>
              <w:rPr>
                <w:rFonts w:hint="default" w:ascii="Times New Roman" w:hAnsi="Times New Roman" w:cs="Times New Roman"/>
                <w:snapToGrid w:val="0"/>
                <w:color w:val="000000" w:themeColor="text1"/>
                <w:sz w:val="21"/>
                <w:szCs w:val="21"/>
                <w:highlight w:val="none"/>
                <w:lang w:eastAsia="zh-CN"/>
                <w14:textFill>
                  <w14:solidFill>
                    <w14:schemeClr w14:val="tx1"/>
                  </w14:solidFill>
                </w14:textFill>
              </w:rPr>
              <w:fldChar w:fldCharType="separate"/>
            </w:r>
            <w:r>
              <w:rPr>
                <w:rFonts w:hint="default" w:ascii="Times New Roman" w:hAnsi="Times New Roman" w:cs="Times New Roman"/>
                <w:color w:val="000000" w:themeColor="text1"/>
                <w:sz w:val="21"/>
                <w:szCs w:val="21"/>
                <w:highlight w:val="none"/>
                <w14:textFill>
                  <w14:solidFill>
                    <w14:schemeClr w14:val="tx1"/>
                  </w14:solidFill>
                </w14:textFill>
              </w:rPr>
              <w:t>①</w:t>
            </w:r>
            <w:r>
              <w:rPr>
                <w:rFonts w:hint="default" w:ascii="Times New Roman" w:hAnsi="Times New Roman" w:cs="Times New Roman"/>
                <w:snapToGrid w:val="0"/>
                <w:color w:val="000000" w:themeColor="text1"/>
                <w:sz w:val="21"/>
                <w:szCs w:val="21"/>
                <w:highlight w:val="none"/>
                <w:lang w:eastAsia="zh-CN"/>
                <w14:textFill>
                  <w14:solidFill>
                    <w14:schemeClr w14:val="tx1"/>
                  </w14:solidFill>
                </w14:textFill>
              </w:rPr>
              <w:fldChar w:fldCharType="end"/>
            </w:r>
            <w:r>
              <w:rPr>
                <w:rFonts w:hint="default" w:ascii="Times New Roman" w:hAnsi="Times New Roman" w:cs="Times New Roman"/>
                <w:snapToGrid w:val="0"/>
                <w:color w:val="000000" w:themeColor="text1"/>
                <w:sz w:val="21"/>
                <w:szCs w:val="21"/>
                <w:highlight w:val="none"/>
                <w:lang w:eastAsia="zh-CN"/>
                <w14:textFill>
                  <w14:solidFill>
                    <w14:schemeClr w14:val="tx1"/>
                  </w14:solidFill>
                </w14:textFill>
              </w:rPr>
              <w:t>工程切割废边料、原辅材料包装、袋式除尘器集尘和焊机过程废焊渣均属于一般固废，经设置的一般固废暂存间（</w:t>
            </w:r>
            <w:r>
              <w:rPr>
                <w:rFonts w:hint="default" w:ascii="Times New Roman" w:hAnsi="Times New Roman" w:cs="Times New Roman"/>
                <w:snapToGrid w:val="0"/>
                <w:color w:val="000000" w:themeColor="text1"/>
                <w:sz w:val="21"/>
                <w:szCs w:val="21"/>
                <w:highlight w:val="none"/>
                <w:lang w:val="en-US" w:eastAsia="zh-CN"/>
                <w14:textFill>
                  <w14:solidFill>
                    <w14:schemeClr w14:val="tx1"/>
                  </w14:solidFill>
                </w14:textFill>
              </w:rPr>
              <w:t>35m</w:t>
            </w:r>
            <w:r>
              <w:rPr>
                <w:rFonts w:hint="default" w:ascii="Times New Roman" w:hAnsi="Times New Roman" w:cs="Times New Roman"/>
                <w:snapToGrid w:val="0"/>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cs="Times New Roman"/>
                <w:snapToGrid w:val="0"/>
                <w:color w:val="000000" w:themeColor="text1"/>
                <w:sz w:val="21"/>
                <w:szCs w:val="21"/>
                <w:highlight w:val="none"/>
                <w:lang w:eastAsia="zh-CN"/>
                <w14:textFill>
                  <w14:solidFill>
                    <w14:schemeClr w14:val="tx1"/>
                  </w14:solidFill>
                </w14:textFill>
              </w:rPr>
              <w:t>）暂存后，定期外售相应回收单位回收处理，生活垃圾经设置垃圾收集箱收集后，定期交由环卫部门清运处理。</w:t>
            </w:r>
            <w:r>
              <w:rPr>
                <w:rFonts w:hint="default" w:ascii="Times New Roman" w:hAnsi="Times New Roman" w:cs="Times New Roman"/>
                <w:bCs/>
                <w:color w:val="000000" w:themeColor="text1"/>
                <w:sz w:val="21"/>
                <w:szCs w:val="21"/>
                <w:highlight w:val="none"/>
                <w14:textFill>
                  <w14:solidFill>
                    <w14:schemeClr w14:val="tx1"/>
                  </w14:solidFill>
                </w14:textFill>
              </w:rPr>
              <w:t>一般固废暂存场所应按照</w:t>
            </w:r>
            <w:r>
              <w:rPr>
                <w:rFonts w:hint="default" w:ascii="Times New Roman" w:hAnsi="Times New Roman" w:cs="Times New Roman"/>
                <w:b w:val="0"/>
                <w:bCs/>
                <w:color w:val="000000" w:themeColor="text1"/>
                <w:kern w:val="0"/>
                <w:sz w:val="21"/>
                <w:szCs w:val="21"/>
                <w:highlight w:val="none"/>
                <w:u w:val="none"/>
                <w:lang w:eastAsia="zh-CN"/>
                <w14:textFill>
                  <w14:solidFill>
                    <w14:schemeClr w14:val="tx1"/>
                  </w14:solidFill>
                </w14:textFill>
              </w:rPr>
              <w:t>《一般工业固体废物贮存和填埋污染控制标准》（</w:t>
            </w:r>
            <w:r>
              <w:rPr>
                <w:rFonts w:hint="default" w:ascii="Times New Roman" w:hAnsi="Times New Roman" w:cs="Times New Roman"/>
                <w:b w:val="0"/>
                <w:bCs/>
                <w:color w:val="000000" w:themeColor="text1"/>
                <w:kern w:val="0"/>
                <w:sz w:val="21"/>
                <w:szCs w:val="21"/>
                <w:highlight w:val="none"/>
                <w:u w:val="none"/>
                <w:lang w:val="en-US" w:eastAsia="zh-CN"/>
                <w14:textFill>
                  <w14:solidFill>
                    <w14:schemeClr w14:val="tx1"/>
                  </w14:solidFill>
                </w14:textFill>
              </w:rPr>
              <w:t>GB18599-2020</w:t>
            </w:r>
            <w:r>
              <w:rPr>
                <w:rFonts w:hint="default" w:ascii="Times New Roman" w:hAnsi="Times New Roman" w:cs="Times New Roman"/>
                <w:b w:val="0"/>
                <w:bCs/>
                <w:color w:val="000000" w:themeColor="text1"/>
                <w:kern w:val="0"/>
                <w:sz w:val="21"/>
                <w:szCs w:val="21"/>
                <w:highlight w:val="none"/>
                <w:u w:val="none"/>
                <w:lang w:eastAsia="zh-CN"/>
                <w14:textFill>
                  <w14:solidFill>
                    <w14:schemeClr w14:val="tx1"/>
                  </w14:solidFill>
                </w14:textFill>
              </w:rPr>
              <w:t>）</w:t>
            </w:r>
            <w:r>
              <w:rPr>
                <w:rFonts w:hint="default" w:ascii="Times New Roman" w:hAnsi="Times New Roman" w:cs="Times New Roman"/>
                <w:bCs/>
                <w:color w:val="000000" w:themeColor="text1"/>
                <w:sz w:val="21"/>
                <w:szCs w:val="21"/>
                <w:highlight w:val="none"/>
                <w14:textFill>
                  <w14:solidFill>
                    <w14:schemeClr w14:val="tx1"/>
                  </w14:solidFill>
                </w14:textFill>
              </w:rPr>
              <w:t>进行设置</w:t>
            </w:r>
            <w:r>
              <w:rPr>
                <w:rFonts w:hint="default" w:ascii="Times New Roman" w:hAnsi="Times New Roman" w:cs="Times New Roman"/>
                <w:bCs/>
                <w:color w:val="000000" w:themeColor="text1"/>
                <w:sz w:val="21"/>
                <w:szCs w:val="21"/>
                <w:highlight w:val="none"/>
                <w:lang w:eastAsia="zh-CN"/>
                <w14:textFill>
                  <w14:solidFill>
                    <w14:schemeClr w14:val="tx1"/>
                  </w14:solidFill>
                </w14:textFill>
              </w:rPr>
              <w:t>。</w:t>
            </w:r>
            <w:r>
              <w:rPr>
                <w:rFonts w:hint="default" w:ascii="Times New Roman" w:hAnsi="Times New Roman" w:cs="Times New Roman"/>
                <w:snapToGrid w:val="0"/>
                <w:color w:val="000000" w:themeColor="text1"/>
                <w:sz w:val="21"/>
                <w:szCs w:val="21"/>
                <w:highlight w:val="none"/>
                <w:lang w:eastAsia="zh-CN"/>
                <w14:textFill>
                  <w14:solidFill>
                    <w14:schemeClr w14:val="tx1"/>
                  </w14:solidFill>
                </w14:textFill>
              </w:rPr>
              <w:br w:type="textWrapping"/>
            </w:r>
            <w:r>
              <w:rPr>
                <w:rFonts w:hint="default" w:ascii="Times New Roman" w:hAnsi="Times New Roman" w:cs="Times New Roman"/>
                <w:snapToGrid w:val="0"/>
                <w:color w:val="000000" w:themeColor="text1"/>
                <w:sz w:val="21"/>
                <w:szCs w:val="21"/>
                <w:highlight w:val="none"/>
                <w:lang w:eastAsia="zh-CN"/>
                <w14:textFill>
                  <w14:solidFill>
                    <w14:schemeClr w14:val="tx1"/>
                  </w14:solidFill>
                </w14:textFill>
              </w:rPr>
              <w:fldChar w:fldCharType="begin"/>
            </w:r>
            <w:r>
              <w:rPr>
                <w:rFonts w:hint="default" w:ascii="Times New Roman" w:hAnsi="Times New Roman" w:cs="Times New Roman"/>
                <w:snapToGrid w:val="0"/>
                <w:color w:val="000000" w:themeColor="text1"/>
                <w:sz w:val="21"/>
                <w:szCs w:val="21"/>
                <w:highlight w:val="none"/>
                <w:lang w:eastAsia="zh-CN"/>
                <w14:textFill>
                  <w14:solidFill>
                    <w14:schemeClr w14:val="tx1"/>
                  </w14:solidFill>
                </w14:textFill>
              </w:rPr>
              <w:instrText xml:space="preserve"> = 2 \* GB3 \* MERGEFORMAT </w:instrText>
            </w:r>
            <w:r>
              <w:rPr>
                <w:rFonts w:hint="default" w:ascii="Times New Roman" w:hAnsi="Times New Roman" w:cs="Times New Roman"/>
                <w:snapToGrid w:val="0"/>
                <w:color w:val="000000" w:themeColor="text1"/>
                <w:sz w:val="21"/>
                <w:szCs w:val="21"/>
                <w:highlight w:val="none"/>
                <w:lang w:eastAsia="zh-CN"/>
                <w14:textFill>
                  <w14:solidFill>
                    <w14:schemeClr w14:val="tx1"/>
                  </w14:solidFill>
                </w14:textFill>
              </w:rPr>
              <w:fldChar w:fldCharType="separate"/>
            </w:r>
            <w:r>
              <w:rPr>
                <w:rFonts w:hint="default" w:ascii="Times New Roman" w:hAnsi="Times New Roman" w:cs="Times New Roman"/>
                <w:color w:val="000000" w:themeColor="text1"/>
                <w:sz w:val="21"/>
                <w:szCs w:val="21"/>
                <w:highlight w:val="none"/>
                <w14:textFill>
                  <w14:solidFill>
                    <w14:schemeClr w14:val="tx1"/>
                  </w14:solidFill>
                </w14:textFill>
              </w:rPr>
              <w:t>②</w:t>
            </w:r>
            <w:r>
              <w:rPr>
                <w:rFonts w:hint="default" w:ascii="Times New Roman" w:hAnsi="Times New Roman" w:cs="Times New Roman"/>
                <w:snapToGrid w:val="0"/>
                <w:color w:val="000000" w:themeColor="text1"/>
                <w:sz w:val="21"/>
                <w:szCs w:val="21"/>
                <w:highlight w:val="none"/>
                <w:lang w:eastAsia="zh-CN"/>
                <w14:textFill>
                  <w14:solidFill>
                    <w14:schemeClr w14:val="tx1"/>
                  </w14:solidFill>
                </w14:textFill>
              </w:rPr>
              <w:fldChar w:fldCharType="end"/>
            </w:r>
            <w:r>
              <w:rPr>
                <w:rFonts w:hint="default" w:ascii="Times New Roman" w:hAnsi="Times New Roman" w:cs="Times New Roman"/>
                <w:snapToGrid w:val="0"/>
                <w:color w:val="000000" w:themeColor="text1"/>
                <w:sz w:val="21"/>
                <w:szCs w:val="21"/>
                <w:highlight w:val="none"/>
                <w:lang w:eastAsia="zh-CN"/>
                <w14:textFill>
                  <w14:solidFill>
                    <w14:schemeClr w14:val="tx1"/>
                  </w14:solidFill>
                </w14:textFill>
              </w:rPr>
              <w:t>工程设备定期维护更换的废润滑油、废液压油</w:t>
            </w:r>
            <w:r>
              <w:rPr>
                <w:rFonts w:hint="eastAsia" w:cs="Times New Roman"/>
                <w:snapToGrid w:val="0"/>
                <w:color w:val="000000" w:themeColor="text1"/>
                <w:sz w:val="21"/>
                <w:szCs w:val="21"/>
                <w:highlight w:val="none"/>
                <w:lang w:eastAsia="zh-CN"/>
                <w14:textFill>
                  <w14:solidFill>
                    <w14:schemeClr w14:val="tx1"/>
                  </w14:solidFill>
                </w14:textFill>
              </w:rPr>
              <w:t>和废水处理设施清理的油污、污泥、蒸发残渣等</w:t>
            </w:r>
            <w:r>
              <w:rPr>
                <w:rFonts w:hint="default" w:ascii="Times New Roman" w:hAnsi="Times New Roman" w:cs="Times New Roman"/>
                <w:snapToGrid w:val="0"/>
                <w:color w:val="000000" w:themeColor="text1"/>
                <w:sz w:val="21"/>
                <w:szCs w:val="21"/>
                <w:highlight w:val="none"/>
                <w:lang w:eastAsia="zh-CN"/>
                <w14:textFill>
                  <w14:solidFill>
                    <w14:schemeClr w14:val="tx1"/>
                  </w14:solidFill>
                </w14:textFill>
              </w:rPr>
              <w:t>均属于危险固废，经设置的危险固废暂存间（</w:t>
            </w:r>
            <w:r>
              <w:rPr>
                <w:rFonts w:hint="eastAsia" w:cs="Times New Roman"/>
                <w:snapToGrid w:val="0"/>
                <w:color w:val="000000" w:themeColor="text1"/>
                <w:sz w:val="21"/>
                <w:szCs w:val="21"/>
                <w:highlight w:val="none"/>
                <w:lang w:val="en-US" w:eastAsia="zh-CN"/>
                <w14:textFill>
                  <w14:solidFill>
                    <w14:schemeClr w14:val="tx1"/>
                  </w14:solidFill>
                </w14:textFill>
              </w:rPr>
              <w:t>15</w:t>
            </w:r>
            <w:r>
              <w:rPr>
                <w:rFonts w:hint="default" w:ascii="Times New Roman" w:hAnsi="Times New Roman" w:cs="Times New Roman"/>
                <w:snapToGrid w:val="0"/>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snapToGrid w:val="0"/>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cs="Times New Roman"/>
                <w:snapToGrid w:val="0"/>
                <w:color w:val="000000" w:themeColor="text1"/>
                <w:sz w:val="21"/>
                <w:szCs w:val="21"/>
                <w:highlight w:val="none"/>
                <w:lang w:eastAsia="zh-CN"/>
                <w14:textFill>
                  <w14:solidFill>
                    <w14:schemeClr w14:val="tx1"/>
                  </w14:solidFill>
                </w14:textFill>
              </w:rPr>
              <w:t>）暂存，定期委托有资质的危险废物处置单位回收处理。</w:t>
            </w:r>
            <w:r>
              <w:rPr>
                <w:rFonts w:hint="default" w:ascii="Times New Roman" w:hAnsi="Times New Roman" w:cs="Times New Roman"/>
                <w:bCs/>
                <w:color w:val="000000" w:themeColor="text1"/>
                <w:sz w:val="21"/>
                <w:szCs w:val="21"/>
                <w:highlight w:val="none"/>
                <w14:textFill>
                  <w14:solidFill>
                    <w14:schemeClr w14:val="tx1"/>
                  </w14:solidFill>
                </w14:textFill>
              </w:rPr>
              <w:t>建设单位在</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3#</w:t>
            </w:r>
            <w:r>
              <w:rPr>
                <w:rFonts w:hint="default" w:ascii="Times New Roman" w:hAnsi="Times New Roman" w:cs="Times New Roman"/>
                <w:bCs/>
                <w:color w:val="000000" w:themeColor="text1"/>
                <w:sz w:val="21"/>
                <w:szCs w:val="21"/>
                <w:highlight w:val="none"/>
                <w:lang w:eastAsia="zh-CN"/>
                <w14:textFill>
                  <w14:solidFill>
                    <w14:schemeClr w14:val="tx1"/>
                  </w14:solidFill>
                </w14:textFill>
              </w:rPr>
              <w:t>车间内</w:t>
            </w:r>
            <w:r>
              <w:rPr>
                <w:rFonts w:hint="default" w:ascii="Times New Roman" w:hAnsi="Times New Roman" w:cs="Times New Roman"/>
                <w:bCs/>
                <w:color w:val="000000" w:themeColor="text1"/>
                <w:sz w:val="21"/>
                <w:szCs w:val="21"/>
                <w:highlight w:val="none"/>
                <w14:textFill>
                  <w14:solidFill>
                    <w14:schemeClr w14:val="tx1"/>
                  </w14:solidFill>
                </w14:textFill>
              </w:rPr>
              <w:t>设置</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10</w:t>
            </w:r>
            <w:r>
              <w:rPr>
                <w:rFonts w:hint="default" w:ascii="Times New Roman" w:hAnsi="Times New Roman" w:cs="Times New Roman"/>
                <w:bCs/>
                <w:color w:val="000000" w:themeColor="text1"/>
                <w:sz w:val="21"/>
                <w:szCs w:val="21"/>
                <w:highlight w:val="none"/>
                <w14:textFill>
                  <w14:solidFill>
                    <w14:schemeClr w14:val="tx1"/>
                  </w14:solidFill>
                </w14:textFill>
              </w:rPr>
              <w:t>m</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2</w:t>
            </w:r>
            <w:r>
              <w:rPr>
                <w:rFonts w:hint="default" w:ascii="Times New Roman" w:hAnsi="Times New Roman" w:cs="Times New Roman"/>
                <w:bCs/>
                <w:color w:val="000000" w:themeColor="text1"/>
                <w:sz w:val="21"/>
                <w:szCs w:val="21"/>
                <w:highlight w:val="none"/>
                <w14:textFill>
                  <w14:solidFill>
                    <w14:schemeClr w14:val="tx1"/>
                  </w14:solidFill>
                </w14:textFill>
              </w:rPr>
              <w:t>危废暂存间1间，危险废物贮存间应严格按照《危险废物贮存污染控制标准》（GBl8597-2001）等相关要求</w:t>
            </w:r>
            <w:r>
              <w:rPr>
                <w:rFonts w:hint="default" w:ascii="Times New Roman" w:hAnsi="Times New Roman" w:cs="Times New Roman"/>
                <w:bCs/>
                <w:color w:val="000000" w:themeColor="text1"/>
                <w:sz w:val="21"/>
                <w:szCs w:val="21"/>
                <w:highlight w:val="none"/>
                <w:lang w:eastAsia="zh-CN"/>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2"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土壤及地下水</w:t>
            </w:r>
          </w:p>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污染防治措施</w:t>
            </w:r>
          </w:p>
        </w:tc>
        <w:tc>
          <w:tcPr>
            <w:tcW w:w="4147" w:type="pct"/>
            <w:gridSpan w:val="4"/>
            <w:noWrap w:val="0"/>
            <w:vAlign w:val="center"/>
          </w:tcPr>
          <w:p>
            <w:pPr>
              <w:keepNext w:val="0"/>
              <w:keepLines w:val="0"/>
              <w:pageBreakBefore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fldChar w:fldCharType="begin"/>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instrText xml:space="preserve"> = 1 \* GB3 \* MERGEFORMAT </w:instrTex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fldChar w:fldCharType="separate"/>
            </w:r>
            <w:r>
              <w:rPr>
                <w:rFonts w:hint="default" w:ascii="Times New Roman" w:hAnsi="Times New Roman" w:cs="Times New Roman"/>
                <w:color w:val="000000" w:themeColor="text1"/>
                <w:sz w:val="21"/>
                <w:szCs w:val="21"/>
                <w:highlight w:val="none"/>
                <w14:textFill>
                  <w14:solidFill>
                    <w14:schemeClr w14:val="tx1"/>
                  </w14:solidFill>
                </w14:textFill>
              </w:rPr>
              <w:t>①</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fldChar w:fldCharType="end"/>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化粪池</w:t>
            </w:r>
            <w:r>
              <w:rPr>
                <w:rFonts w:hint="eastAsia" w:cs="Times New Roman"/>
                <w:color w:val="000000" w:themeColor="text1"/>
                <w:sz w:val="21"/>
                <w:szCs w:val="21"/>
                <w:highlight w:val="none"/>
                <w:lang w:val="en-US" w:eastAsia="zh-CN"/>
                <w14:textFill>
                  <w14:solidFill>
                    <w14:schemeClr w14:val="tx1"/>
                  </w14:solidFill>
                </w14:textFill>
              </w:rPr>
              <w:t>、酸洗废水处理设施</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及配套管线应做防渗、防泄漏处理</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酸洗区域和</w:t>
            </w:r>
            <w:r>
              <w:rPr>
                <w:rFonts w:hint="eastAsia" w:cs="Times New Roman"/>
                <w:color w:val="000000" w:themeColor="text1"/>
                <w:sz w:val="21"/>
                <w:szCs w:val="21"/>
                <w:highlight w:val="none"/>
                <w:lang w:val="en-US" w:eastAsia="zh-CN"/>
                <w14:textFill>
                  <w14:solidFill>
                    <w14:schemeClr w14:val="tx1"/>
                  </w14:solidFill>
                </w14:textFill>
              </w:rPr>
              <w:t>配套</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污水处理设施区域采用三层防渗措施。下层采用混凝土防渗层的强度等级不小于《混凝土结构设计规范》（GB50010-2010）规定的混凝土强度等级C20，中间层采用2mm厚高密度聚乙烯（HDPE）或至少2mm厚的其它人工材料，渗透系数≤10-10cm/s；上层采用环氧树脂防渗材料。</w:t>
            </w:r>
          </w:p>
          <w:p>
            <w:pPr>
              <w:keepNext w:val="0"/>
              <w:keepLines w:val="0"/>
              <w:pageBreakBefore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cs="Times New Roman"/>
                <w:color w:val="000000" w:themeColor="text1"/>
                <w:sz w:val="21"/>
                <w:szCs w:val="21"/>
                <w:highlight w:val="none"/>
                <w14:textFill>
                  <w14:solidFill>
                    <w14:schemeClr w14:val="tx1"/>
                  </w14:solidFill>
                </w14:textFill>
              </w:rPr>
              <w:instrText xml:space="preserve"> = 2 \* GB3 \* MERGEFORMAT </w:instrText>
            </w:r>
            <w:r>
              <w:rPr>
                <w:rFonts w:hint="default" w:ascii="Times New Roman" w:hAnsi="Times New Roman"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 w:val="21"/>
                <w:szCs w:val="21"/>
                <w:highlight w:val="none"/>
                <w14:textFill>
                  <w14:solidFill>
                    <w14:schemeClr w14:val="tx1"/>
                  </w14:solidFill>
                </w14:textFill>
              </w:rPr>
              <w:t>②</w:t>
            </w:r>
            <w:r>
              <w:rPr>
                <w:rFonts w:hint="default" w:ascii="Times New Roman" w:hAnsi="Times New Roman" w:cs="Times New Roman"/>
                <w:color w:val="000000" w:themeColor="text1"/>
                <w:sz w:val="21"/>
                <w:szCs w:val="21"/>
                <w:highlight w:val="none"/>
                <w14:textFill>
                  <w14:solidFill>
                    <w14:schemeClr w14:val="tx1"/>
                  </w14:solidFill>
                </w14:textFill>
              </w:rPr>
              <w:fldChar w:fldCharType="end"/>
            </w:r>
            <w:r>
              <w:rPr>
                <w:rFonts w:hint="default" w:ascii="Times New Roman" w:hAnsi="Times New Roman" w:cs="Times New Roman"/>
                <w:color w:val="000000" w:themeColor="text1"/>
                <w:sz w:val="21"/>
                <w:szCs w:val="21"/>
                <w:highlight w:val="none"/>
                <w14:textFill>
                  <w14:solidFill>
                    <w14:schemeClr w14:val="tx1"/>
                  </w14:solidFill>
                </w14:textFill>
              </w:rPr>
              <w:t>危废暂存间采取防风、防雨、防晒、防渗等“四防”措施</w:t>
            </w:r>
            <w:r>
              <w:rPr>
                <w:rFonts w:hint="default" w:ascii="Times New Roman" w:hAnsi="Times New Roman" w:cs="Times New Roman"/>
                <w:color w:val="000000" w:themeColor="text1"/>
                <w:sz w:val="21"/>
                <w:szCs w:val="21"/>
                <w:highlight w:val="none"/>
                <w:lang w:eastAsia="zh-CN"/>
                <w14:textFill>
                  <w14:solidFill>
                    <w14:schemeClr w14:val="tx1"/>
                  </w14:solidFill>
                </w14:textFill>
              </w:rPr>
              <w:t>，确保雨水无法进入，渗漏液也无法外溢进入环境，地面与裙脚要用坚固、防渗的材料建造，防渗层为至少lm厚粘土层（渗透系数≤10</w:t>
            </w:r>
            <w:r>
              <w:rPr>
                <w:rFonts w:hint="default" w:ascii="Times New Roman" w:hAnsi="Times New Roman" w:cs="Times New Roman"/>
                <w:color w:val="000000" w:themeColor="text1"/>
                <w:sz w:val="21"/>
                <w:szCs w:val="21"/>
                <w:highlight w:val="none"/>
                <w:vertAlign w:val="superscript"/>
                <w:lang w:eastAsia="zh-CN"/>
                <w14:textFill>
                  <w14:solidFill>
                    <w14:schemeClr w14:val="tx1"/>
                  </w14:solidFill>
                </w14:textFill>
              </w:rPr>
              <w:t>-7</w:t>
            </w:r>
            <w:r>
              <w:rPr>
                <w:rFonts w:hint="default" w:ascii="Times New Roman" w:hAnsi="Times New Roman" w:cs="Times New Roman"/>
                <w:color w:val="000000" w:themeColor="text1"/>
                <w:sz w:val="21"/>
                <w:szCs w:val="21"/>
                <w:highlight w:val="none"/>
                <w:lang w:eastAsia="zh-CN"/>
                <w14:textFill>
                  <w14:solidFill>
                    <w14:schemeClr w14:val="tx1"/>
                  </w14:solidFill>
                </w14:textFill>
              </w:rPr>
              <w:t>cm/s）。</w:t>
            </w:r>
          </w:p>
          <w:p>
            <w:pPr>
              <w:keepNext w:val="0"/>
              <w:keepLines w:val="0"/>
              <w:pageBreakBefore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fldChar w:fldCharType="begin"/>
            </w:r>
            <w:r>
              <w:rPr>
                <w:rFonts w:hint="default" w:ascii="Times New Roman" w:hAnsi="Times New Roman" w:cs="Times New Roman"/>
                <w:color w:val="000000" w:themeColor="text1"/>
                <w:sz w:val="21"/>
                <w:szCs w:val="21"/>
                <w:highlight w:val="none"/>
                <w14:textFill>
                  <w14:solidFill>
                    <w14:schemeClr w14:val="tx1"/>
                  </w14:solidFill>
                </w14:textFill>
              </w:rPr>
              <w:instrText xml:space="preserve"> = 3 \* GB3 \* MERGEFORMAT </w:instrText>
            </w:r>
            <w:r>
              <w:rPr>
                <w:rFonts w:hint="default" w:ascii="Times New Roman" w:hAnsi="Times New Roman" w:cs="Times New Roman"/>
                <w:color w:val="000000" w:themeColor="text1"/>
                <w:sz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 w:val="21"/>
                <w:szCs w:val="21"/>
                <w:highlight w:val="none"/>
                <w14:textFill>
                  <w14:solidFill>
                    <w14:schemeClr w14:val="tx1"/>
                  </w14:solidFill>
                </w14:textFill>
              </w:rPr>
              <w:t>③</w:t>
            </w:r>
            <w:r>
              <w:rPr>
                <w:rFonts w:hint="default" w:ascii="Times New Roman" w:hAnsi="Times New Roman" w:cs="Times New Roman"/>
                <w:color w:val="000000" w:themeColor="text1"/>
                <w:sz w:val="21"/>
                <w:szCs w:val="21"/>
                <w:highlight w:val="none"/>
                <w14:textFill>
                  <w14:solidFill>
                    <w14:schemeClr w14:val="tx1"/>
                  </w14:solidFill>
                </w14:textFill>
              </w:rPr>
              <w:fldChar w:fldCharType="end"/>
            </w:r>
            <w:r>
              <w:rPr>
                <w:rFonts w:hint="default" w:ascii="Times New Roman" w:hAnsi="Times New Roman" w:cs="Times New Roman"/>
                <w:color w:val="000000" w:themeColor="text1"/>
                <w:sz w:val="21"/>
                <w:szCs w:val="21"/>
                <w:highlight w:val="none"/>
                <w14:textFill>
                  <w14:solidFill>
                    <w14:schemeClr w14:val="tx1"/>
                  </w14:solidFill>
                </w14:textFill>
              </w:rPr>
              <w:t>一般固废储存区域应地面硬化，设置满足“</w:t>
            </w:r>
            <w:r>
              <w:rPr>
                <w:rFonts w:hint="default" w:ascii="Times New Roman" w:hAnsi="Times New Roman" w:cs="Times New Roman"/>
                <w:color w:val="000000" w:themeColor="text1"/>
                <w:sz w:val="21"/>
                <w:szCs w:val="21"/>
                <w:highlight w:val="none"/>
                <w:lang w:eastAsia="zh-CN"/>
                <w14:textFill>
                  <w14:solidFill>
                    <w14:schemeClr w14:val="tx1"/>
                  </w14:solidFill>
                </w14:textFill>
              </w:rPr>
              <w:t>防渗漏</w:t>
            </w:r>
            <w:r>
              <w:rPr>
                <w:rFonts w:hint="default" w:ascii="Times New Roman" w:hAnsi="Times New Roman" w:cs="Times New Roman"/>
                <w:color w:val="000000" w:themeColor="text1"/>
                <w:sz w:val="21"/>
                <w:szCs w:val="21"/>
                <w:highlight w:val="none"/>
                <w14:textFill>
                  <w14:solidFill>
                    <w14:schemeClr w14:val="tx1"/>
                  </w14:solidFill>
                </w14:textFill>
              </w:rPr>
              <w:t>、防雨</w:t>
            </w:r>
            <w:r>
              <w:rPr>
                <w:rFonts w:hint="default" w:ascii="Times New Roman" w:hAnsi="Times New Roman" w:cs="Times New Roman"/>
                <w:color w:val="000000" w:themeColor="text1"/>
                <w:sz w:val="21"/>
                <w:szCs w:val="21"/>
                <w:highlight w:val="none"/>
                <w:lang w:eastAsia="zh-CN"/>
                <w14:textFill>
                  <w14:solidFill>
                    <w14:schemeClr w14:val="tx1"/>
                  </w14:solidFill>
                </w14:textFill>
              </w:rPr>
              <w:t>淋</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eastAsia="zh-CN"/>
                <w14:textFill>
                  <w14:solidFill>
                    <w14:schemeClr w14:val="tx1"/>
                  </w14:solidFill>
                </w14:textFill>
              </w:rPr>
              <w:t>防扬尘</w:t>
            </w:r>
            <w:r>
              <w:rPr>
                <w:rFonts w:hint="default" w:ascii="Times New Roman" w:hAnsi="Times New Roman" w:cs="Times New Roman"/>
                <w:color w:val="000000" w:themeColor="text1"/>
                <w:sz w:val="21"/>
                <w:szCs w:val="21"/>
                <w:highlight w:val="none"/>
                <w14:textFill>
                  <w14:solidFill>
                    <w14:schemeClr w14:val="tx1"/>
                  </w14:solidFill>
                </w14:textFill>
              </w:rPr>
              <w:t>”三防措施要求</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eastAsia="zh-CN"/>
                <w14:textFill>
                  <w14:solidFill>
                    <w14:schemeClr w14:val="tx1"/>
                  </w14:solidFill>
                </w14:textFill>
              </w:rPr>
              <w:br w:type="textWrapping"/>
            </w:r>
            <w:r>
              <w:rPr>
                <w:rFonts w:hint="default" w:ascii="Times New Roman" w:hAnsi="Times New Roman" w:cs="Times New Roman"/>
                <w:color w:val="000000" w:themeColor="text1"/>
                <w:sz w:val="21"/>
                <w:szCs w:val="21"/>
                <w:highlight w:val="none"/>
                <w:lang w:eastAsia="zh-CN"/>
                <w14:textFill>
                  <w14:solidFill>
                    <w14:schemeClr w14:val="tx1"/>
                  </w14:solidFill>
                </w14:textFill>
              </w:rPr>
              <w:fldChar w:fldCharType="begin"/>
            </w:r>
            <w:r>
              <w:rPr>
                <w:rFonts w:hint="default" w:ascii="Times New Roman" w:hAnsi="Times New Roman" w:cs="Times New Roman"/>
                <w:color w:val="000000" w:themeColor="text1"/>
                <w:sz w:val="21"/>
                <w:szCs w:val="21"/>
                <w:highlight w:val="none"/>
                <w:lang w:eastAsia="zh-CN"/>
                <w14:textFill>
                  <w14:solidFill>
                    <w14:schemeClr w14:val="tx1"/>
                  </w14:solidFill>
                </w14:textFill>
              </w:rPr>
              <w:instrText xml:space="preserve"> = 4 \* GB3 \* MERGEFORMAT </w:instrText>
            </w:r>
            <w:r>
              <w:rPr>
                <w:rFonts w:hint="default" w:ascii="Times New Roman" w:hAnsi="Times New Roman" w:cs="Times New Roman"/>
                <w:color w:val="000000" w:themeColor="text1"/>
                <w:sz w:val="21"/>
                <w:szCs w:val="21"/>
                <w:highlight w:val="none"/>
                <w:lang w:eastAsia="zh-CN"/>
                <w14:textFill>
                  <w14:solidFill>
                    <w14:schemeClr w14:val="tx1"/>
                  </w14:solidFill>
                </w14:textFill>
              </w:rPr>
              <w:fldChar w:fldCharType="separate"/>
            </w:r>
            <w:r>
              <w:rPr>
                <w:rFonts w:hint="default" w:ascii="Times New Roman" w:hAnsi="Times New Roman" w:cs="Times New Roman"/>
                <w:color w:val="000000" w:themeColor="text1"/>
                <w:sz w:val="21"/>
                <w:szCs w:val="21"/>
                <w14:textFill>
                  <w14:solidFill>
                    <w14:schemeClr w14:val="tx1"/>
                  </w14:solidFill>
                </w14:textFill>
              </w:rPr>
              <w:t>④</w:t>
            </w:r>
            <w:r>
              <w:rPr>
                <w:rFonts w:hint="default" w:ascii="Times New Roman" w:hAnsi="Times New Roman" w:cs="Times New Roman"/>
                <w:color w:val="000000" w:themeColor="text1"/>
                <w:sz w:val="21"/>
                <w:szCs w:val="21"/>
                <w:highlight w:val="none"/>
                <w:lang w:eastAsia="zh-CN"/>
                <w14:textFill>
                  <w14:solidFill>
                    <w14:schemeClr w14:val="tx1"/>
                  </w14:solidFill>
                </w14:textFill>
              </w:rPr>
              <w:fldChar w:fldCharType="end"/>
            </w:r>
            <w:r>
              <w:rPr>
                <w:rFonts w:hint="default" w:ascii="Times New Roman" w:hAnsi="Times New Roman" w:cs="Times New Roman"/>
                <w:color w:val="000000" w:themeColor="text1"/>
                <w:sz w:val="21"/>
                <w:szCs w:val="21"/>
                <w:highlight w:val="none"/>
                <w:lang w:eastAsia="zh-CN"/>
                <w14:textFill>
                  <w14:solidFill>
                    <w14:schemeClr w14:val="tx1"/>
                  </w14:solidFill>
                </w14:textFill>
              </w:rPr>
              <w:t>建立规范生产运行制度，定期对厂区内生产设施、污染治理设施进行检修、维护，确保其处于正常运行状态。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2"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pacing w:val="-8"/>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环境风险</w:t>
            </w:r>
          </w:p>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pacing w:val="-8"/>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防范措施</w:t>
            </w:r>
          </w:p>
        </w:tc>
        <w:tc>
          <w:tcPr>
            <w:tcW w:w="4147" w:type="pct"/>
            <w:gridSpan w:val="4"/>
            <w:noWrap w:val="0"/>
            <w:vAlign w:val="center"/>
          </w:tcPr>
          <w:p>
            <w:pPr>
              <w:keepNext w:val="0"/>
              <w:keepLines w:val="0"/>
              <w:pageBreakBefore w:val="0"/>
              <w:kinsoku/>
              <w:wordWrap/>
              <w:overflowPunct/>
              <w:topLinePunct w:val="0"/>
              <w:bidi w:val="0"/>
              <w:adjustRightInd/>
              <w:snapToGrid/>
              <w:spacing w:line="320" w:lineRule="exact"/>
              <w:ind w:firstLine="0" w:firstLineChars="0"/>
              <w:textAlignment w:val="auto"/>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fldChar w:fldCharType="begin"/>
            </w:r>
            <w:r>
              <w:rPr>
                <w:rFonts w:hint="default" w:ascii="Times New Roman" w:hAnsi="Times New Roman" w:cs="Times New Roman"/>
                <w:bCs/>
                <w:color w:val="000000" w:themeColor="text1"/>
                <w:kern w:val="0"/>
                <w:sz w:val="21"/>
                <w:szCs w:val="21"/>
                <w:highlight w:val="none"/>
                <w14:textFill>
                  <w14:solidFill>
                    <w14:schemeClr w14:val="tx1"/>
                  </w14:solidFill>
                </w14:textFill>
              </w:rPr>
              <w:instrText xml:space="preserve"> = 1 \* GB3 </w:instrText>
            </w:r>
            <w:r>
              <w:rPr>
                <w:rFonts w:hint="default" w:ascii="Times New Roman" w:hAnsi="Times New Roman" w:cs="Times New Roman"/>
                <w:bCs/>
                <w:color w:val="000000" w:themeColor="text1"/>
                <w:kern w:val="0"/>
                <w:sz w:val="21"/>
                <w:szCs w:val="21"/>
                <w:highlight w:val="none"/>
                <w14:textFill>
                  <w14:solidFill>
                    <w14:schemeClr w14:val="tx1"/>
                  </w14:solidFill>
                </w14:textFill>
              </w:rPr>
              <w:fldChar w:fldCharType="separate"/>
            </w:r>
            <w:r>
              <w:rPr>
                <w:rFonts w:hint="default" w:ascii="Times New Roman" w:hAnsi="Times New Roman" w:cs="Times New Roman"/>
                <w:bCs/>
                <w:color w:val="000000" w:themeColor="text1"/>
                <w:kern w:val="0"/>
                <w:sz w:val="21"/>
                <w:szCs w:val="21"/>
                <w:highlight w:val="none"/>
                <w14:textFill>
                  <w14:solidFill>
                    <w14:schemeClr w14:val="tx1"/>
                  </w14:solidFill>
                </w14:textFill>
              </w:rPr>
              <w:t>①</w:t>
            </w:r>
            <w:r>
              <w:rPr>
                <w:rFonts w:hint="default" w:ascii="Times New Roman" w:hAnsi="Times New Roman" w:cs="Times New Roman"/>
                <w:bCs/>
                <w:color w:val="000000" w:themeColor="text1"/>
                <w:kern w:val="0"/>
                <w:sz w:val="21"/>
                <w:szCs w:val="21"/>
                <w:highlight w:val="none"/>
                <w14:textFill>
                  <w14:solidFill>
                    <w14:schemeClr w14:val="tx1"/>
                  </w14:solidFill>
                </w14:textFill>
              </w:rPr>
              <w:fldChar w:fldCharType="end"/>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加热炉窑</w:t>
            </w:r>
            <w:r>
              <w:rPr>
                <w:rFonts w:hint="default" w:ascii="Times New Roman" w:hAnsi="Times New Roman" w:cs="Times New Roman"/>
                <w:bCs/>
                <w:color w:val="000000" w:themeColor="text1"/>
                <w:kern w:val="0"/>
                <w:sz w:val="21"/>
                <w:szCs w:val="21"/>
                <w:highlight w:val="none"/>
                <w14:textFill>
                  <w14:solidFill>
                    <w14:schemeClr w14:val="tx1"/>
                  </w14:solidFill>
                </w14:textFill>
              </w:rPr>
              <w:t>防范措施</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w:t>
            </w:r>
            <w:r>
              <w:rPr>
                <w:rFonts w:hint="default" w:ascii="Times New Roman" w:hAnsi="Times New Roman" w:cs="Times New Roman"/>
                <w:bCs/>
                <w:color w:val="000000" w:themeColor="text1"/>
                <w:kern w:val="0"/>
                <w:sz w:val="21"/>
                <w:szCs w:val="21"/>
                <w:highlight w:val="none"/>
                <w14:textFill>
                  <w14:solidFill>
                    <w14:schemeClr w14:val="tx1"/>
                  </w14:solidFill>
                </w14:textFill>
              </w:rPr>
              <w:t>在加热装置的空气管道设置防爆设施</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w:t>
            </w:r>
            <w:r>
              <w:rPr>
                <w:rFonts w:hint="default" w:ascii="Times New Roman" w:hAnsi="Times New Roman" w:cs="Times New Roman"/>
                <w:bCs/>
                <w:color w:val="000000" w:themeColor="text1"/>
                <w:kern w:val="0"/>
                <w:sz w:val="21"/>
                <w:szCs w:val="21"/>
                <w:highlight w:val="none"/>
                <w14:textFill>
                  <w14:solidFill>
                    <w14:schemeClr w14:val="tx1"/>
                  </w14:solidFill>
                </w14:textFill>
              </w:rPr>
              <w:t>设置声光报警系统</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w:t>
            </w:r>
            <w:r>
              <w:rPr>
                <w:rFonts w:hint="default" w:ascii="Times New Roman" w:hAnsi="Times New Roman" w:cs="Times New Roman"/>
                <w:bCs/>
                <w:color w:val="000000" w:themeColor="text1"/>
                <w:kern w:val="0"/>
                <w:sz w:val="21"/>
                <w:szCs w:val="21"/>
                <w:highlight w:val="none"/>
                <w14:textFill>
                  <w14:solidFill>
                    <w14:schemeClr w14:val="tx1"/>
                  </w14:solidFill>
                </w14:textFill>
              </w:rPr>
              <w:t>设有若干数量的烟感、温感及手动火灾报警器。</w:t>
            </w:r>
          </w:p>
          <w:p>
            <w:pPr>
              <w:keepNext w:val="0"/>
              <w:keepLines w:val="0"/>
              <w:pageBreakBefore w:val="0"/>
              <w:kinsoku/>
              <w:wordWrap/>
              <w:overflowPunct/>
              <w:topLinePunct w:val="0"/>
              <w:bidi w:val="0"/>
              <w:adjustRightInd/>
              <w:snapToGrid/>
              <w:spacing w:line="320" w:lineRule="exact"/>
              <w:ind w:firstLine="0" w:firstLineChars="0"/>
              <w:textAlignment w:val="auto"/>
              <w:rPr>
                <w:rFonts w:hint="default" w:ascii="Times New Roman" w:hAnsi="Times New Roman" w:eastAsia="宋体" w:cs="Times New Roman"/>
                <w:bCs/>
                <w:color w:val="000000" w:themeColor="text1"/>
                <w:kern w:val="0"/>
                <w:sz w:val="21"/>
                <w:szCs w:val="21"/>
                <w:highlight w:val="none"/>
                <w:lang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t>②天然气</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管道</w:t>
            </w:r>
            <w:r>
              <w:rPr>
                <w:rFonts w:hint="default" w:ascii="Times New Roman" w:hAnsi="Times New Roman" w:cs="Times New Roman"/>
                <w:bCs/>
                <w:color w:val="000000" w:themeColor="text1"/>
                <w:kern w:val="0"/>
                <w:sz w:val="21"/>
                <w:szCs w:val="21"/>
                <w:highlight w:val="none"/>
                <w14:textFill>
                  <w14:solidFill>
                    <w14:schemeClr w14:val="tx1"/>
                  </w14:solidFill>
                </w14:textFill>
              </w:rPr>
              <w:t>防范措施</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w:t>
            </w:r>
            <w:r>
              <w:rPr>
                <w:rFonts w:hint="default" w:ascii="Times New Roman" w:hAnsi="Times New Roman" w:cs="Times New Roman"/>
                <w:bCs/>
                <w:color w:val="000000" w:themeColor="text1"/>
                <w:kern w:val="0"/>
                <w:sz w:val="21"/>
                <w:szCs w:val="21"/>
                <w:highlight w:val="none"/>
                <w14:textFill>
                  <w14:solidFill>
                    <w14:schemeClr w14:val="tx1"/>
                  </w14:solidFill>
                </w14:textFill>
              </w:rPr>
              <w:t>天然气管道、阀门及弯曲连接处等设施必须在正压状态下运行，严禁在负压下运行。厂区天然气管末端设置放散管。设置声光报警系统。</w:t>
            </w:r>
            <w:r>
              <w:rPr>
                <w:rFonts w:hint="default" w:ascii="Times New Roman" w:hAnsi="Times New Roman" w:cs="Times New Roman"/>
                <w:bCs/>
                <w:color w:val="000000" w:themeColor="text1"/>
                <w:kern w:val="0"/>
                <w:sz w:val="21"/>
                <w:szCs w:val="21"/>
                <w:highlight w:val="none"/>
                <w14:textFill>
                  <w14:solidFill>
                    <w14:schemeClr w14:val="tx1"/>
                  </w14:solidFill>
                </w14:textFill>
              </w:rPr>
              <w:br w:type="textWrapping"/>
            </w:r>
            <w:r>
              <w:rPr>
                <w:rFonts w:hint="default" w:ascii="Times New Roman" w:hAnsi="Times New Roman" w:cs="Times New Roman"/>
                <w:bCs/>
                <w:color w:val="000000" w:themeColor="text1"/>
                <w:kern w:val="0"/>
                <w:sz w:val="21"/>
                <w:szCs w:val="21"/>
                <w:highlight w:val="none"/>
                <w14:textFill>
                  <w14:solidFill>
                    <w14:schemeClr w14:val="tx1"/>
                  </w14:solidFill>
                </w14:textFill>
              </w:rPr>
              <w:fldChar w:fldCharType="begin"/>
            </w:r>
            <w:r>
              <w:rPr>
                <w:rFonts w:hint="default" w:ascii="Times New Roman" w:hAnsi="Times New Roman" w:cs="Times New Roman"/>
                <w:bCs/>
                <w:color w:val="000000" w:themeColor="text1"/>
                <w:kern w:val="0"/>
                <w:sz w:val="21"/>
                <w:szCs w:val="21"/>
                <w:highlight w:val="none"/>
                <w14:textFill>
                  <w14:solidFill>
                    <w14:schemeClr w14:val="tx1"/>
                  </w14:solidFill>
                </w14:textFill>
              </w:rPr>
              <w:instrText xml:space="preserve"> = 3 \* GB3 \* MERGEFORMAT </w:instrText>
            </w:r>
            <w:r>
              <w:rPr>
                <w:rFonts w:hint="default" w:ascii="Times New Roman" w:hAnsi="Times New Roman" w:cs="Times New Roman"/>
                <w:bCs/>
                <w:color w:val="000000" w:themeColor="text1"/>
                <w:kern w:val="0"/>
                <w:sz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 w:val="21"/>
                <w:szCs w:val="21"/>
                <w:highlight w:val="none"/>
                <w14:textFill>
                  <w14:solidFill>
                    <w14:schemeClr w14:val="tx1"/>
                  </w14:solidFill>
                </w14:textFill>
              </w:rPr>
              <w:t>③</w:t>
            </w:r>
            <w:r>
              <w:rPr>
                <w:rFonts w:hint="default" w:ascii="Times New Roman" w:hAnsi="Times New Roman" w:cs="Times New Roman"/>
                <w:bCs/>
                <w:color w:val="000000" w:themeColor="text1"/>
                <w:kern w:val="0"/>
                <w:sz w:val="21"/>
                <w:szCs w:val="21"/>
                <w:highlight w:val="none"/>
                <w14:textFill>
                  <w14:solidFill>
                    <w14:schemeClr w14:val="tx1"/>
                  </w14:solidFill>
                </w14:textFill>
              </w:rPr>
              <w:fldChar w:fldCharType="end"/>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氨水储罐区防范措施：氨水管道主管道入口装有蝶阀及盲板阀作为可靠切断装置，氨水站设置有毒有害气体报警系统，保证检测报警仪正常、有效运行；氨水储罐除设置外部显示液位计外，必须设置带有液位自动报警的内液位控制器。氨水储罐设置压力报警连锁装置；氨水站设置围堰，采用抗渗混凝土一体浇筑，堵截泄漏物料；设置应急事故池，当氨水罐泄露后，关闭泄露氨水罐进、出口阀门，当班人员利用沙袋等将附近的排水沟进行封堵，防止污染物派出，将泄露氨水围堵在围堰内，之后利用卸氨泵的外排功能将泄露氨水倒空排至应急事故池，利用氨水厂家回收罐车或其他回收容器进行安全处理。</w:t>
            </w:r>
          </w:p>
          <w:p>
            <w:pPr>
              <w:keepNext w:val="0"/>
              <w:keepLines w:val="0"/>
              <w:pageBreakBefore w:val="0"/>
              <w:kinsoku/>
              <w:wordWrap/>
              <w:overflowPunct/>
              <w:topLinePunct w:val="0"/>
              <w:bidi w:val="0"/>
              <w:adjustRightInd/>
              <w:snapToGrid/>
              <w:spacing w:line="320" w:lineRule="exact"/>
              <w:ind w:firstLine="0" w:firstLineChars="0"/>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fldChar w:fldCharType="begin"/>
            </w:r>
            <w:r>
              <w:rPr>
                <w:rFonts w:hint="default" w:ascii="Times New Roman" w:hAnsi="Times New Roman" w:cs="Times New Roman"/>
                <w:bCs/>
                <w:color w:val="000000" w:themeColor="text1"/>
                <w:kern w:val="0"/>
                <w:sz w:val="21"/>
                <w:szCs w:val="21"/>
                <w:highlight w:val="none"/>
                <w14:textFill>
                  <w14:solidFill>
                    <w14:schemeClr w14:val="tx1"/>
                  </w14:solidFill>
                </w14:textFill>
              </w:rPr>
              <w:instrText xml:space="preserve"> = 4 \* GB3 \* MERGEFORMAT </w:instrText>
            </w:r>
            <w:r>
              <w:rPr>
                <w:rFonts w:hint="default" w:ascii="Times New Roman" w:hAnsi="Times New Roman" w:cs="Times New Roman"/>
                <w:bCs/>
                <w:color w:val="000000" w:themeColor="text1"/>
                <w:kern w:val="0"/>
                <w:sz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 w:val="21"/>
                <w:szCs w:val="21"/>
                <w:highlight w:val="none"/>
                <w14:textFill>
                  <w14:solidFill>
                    <w14:schemeClr w14:val="tx1"/>
                  </w14:solidFill>
                </w14:textFill>
              </w:rPr>
              <w:t>④</w:t>
            </w:r>
            <w:r>
              <w:rPr>
                <w:rFonts w:hint="default" w:ascii="Times New Roman" w:hAnsi="Times New Roman" w:cs="Times New Roman"/>
                <w:bCs/>
                <w:color w:val="000000" w:themeColor="text1"/>
                <w:kern w:val="0"/>
                <w:sz w:val="21"/>
                <w:szCs w:val="21"/>
                <w:highlight w:val="none"/>
                <w14:textFill>
                  <w14:solidFill>
                    <w14:schemeClr w14:val="tx1"/>
                  </w14:solidFill>
                </w14:textFill>
              </w:rPr>
              <w:fldChar w:fldCharType="end"/>
            </w:r>
            <w:r>
              <w:rPr>
                <w:rFonts w:hint="default" w:ascii="Times New Roman" w:hAnsi="Times New Roman" w:cs="Times New Roman"/>
                <w:bCs/>
                <w:color w:val="000000" w:themeColor="text1"/>
                <w:kern w:val="0"/>
                <w:sz w:val="21"/>
                <w:szCs w:val="21"/>
                <w:highlight w:val="none"/>
                <w14:textFill>
                  <w14:solidFill>
                    <w14:schemeClr w14:val="tx1"/>
                  </w14:solidFill>
                </w14:textFill>
              </w:rPr>
              <w:t>其他管理措施</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w:t>
            </w:r>
            <w:r>
              <w:rPr>
                <w:rFonts w:hint="default" w:ascii="Times New Roman" w:hAnsi="Times New Roman" w:cs="Times New Roman"/>
                <w:bCs/>
                <w:color w:val="000000" w:themeColor="text1"/>
                <w:kern w:val="0"/>
                <w:sz w:val="21"/>
                <w:szCs w:val="21"/>
                <w:highlight w:val="none"/>
                <w14:textFill>
                  <w14:solidFill>
                    <w14:schemeClr w14:val="tx1"/>
                  </w14:solidFill>
                </w14:textFill>
              </w:rPr>
              <w:t>指定易燃物品使用过程的合理操作规程；严格执行企业的各项安全管理制度；加强操作工人培训，通过测试和考核后持证上岗；指定操作规程卡片张贴在显要地方；安排生产负责人定期、不定期监督检查，对于违规操作进行及时更正，并进行相应处罚；厂区进行防火设计，工人操作过程严格执行防火规程；地面采取防腐、防渗、防泄措施，完善雨水收集措施，确保事故性废水和物料等泄漏进入事故应急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62" w:hRule="atLeast"/>
          <w:jc w:val="center"/>
        </w:trPr>
        <w:tc>
          <w:tcPr>
            <w:tcW w:w="852" w:type="pct"/>
            <w:noWrap w:val="0"/>
            <w:vAlign w:val="center"/>
          </w:tcPr>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pacing w:val="-8"/>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其他环境</w:t>
            </w:r>
          </w:p>
          <w:p>
            <w:pPr>
              <w:keepNext w:val="0"/>
              <w:keepLines w:val="0"/>
              <w:pageBreakBefore w:val="0"/>
              <w:kinsoku/>
              <w:wordWrap/>
              <w:overflowPunct/>
              <w:topLinePunct w:val="0"/>
              <w:bidi w:val="0"/>
              <w:adjustRightInd/>
              <w:snapToGrid/>
              <w:spacing w:line="320" w:lineRule="exact"/>
              <w:ind w:firstLine="0" w:firstLineChars="0"/>
              <w:jc w:val="center"/>
              <w:textAlignment w:val="auto"/>
              <w:rPr>
                <w:rFonts w:hint="default" w:ascii="Times New Roman" w:hAnsi="Times New Roman" w:cs="Times New Roman"/>
                <w:color w:val="000000" w:themeColor="text1"/>
                <w:spacing w:val="-8"/>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管理要求</w:t>
            </w:r>
          </w:p>
        </w:tc>
        <w:tc>
          <w:tcPr>
            <w:tcW w:w="4147" w:type="pct"/>
            <w:gridSpan w:val="4"/>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fldChar w:fldCharType="begin"/>
            </w:r>
            <w:r>
              <w:rPr>
                <w:rFonts w:hint="default" w:ascii="Times New Roman" w:hAnsi="Times New Roman" w:cs="Times New Roman"/>
                <w:bCs/>
                <w:color w:val="000000" w:themeColor="text1"/>
                <w:sz w:val="21"/>
                <w:szCs w:val="21"/>
                <w:highlight w:val="none"/>
                <w14:textFill>
                  <w14:solidFill>
                    <w14:schemeClr w14:val="tx1"/>
                  </w14:solidFill>
                </w14:textFill>
              </w:rPr>
              <w:instrText xml:space="preserve"> = 1 \* GB3 \* MERGEFORMAT </w:instrText>
            </w:r>
            <w:r>
              <w:rPr>
                <w:rFonts w:hint="default" w:ascii="Times New Roman" w:hAnsi="Times New Roman" w:cs="Times New Roman"/>
                <w:bCs/>
                <w:color w:val="000000" w:themeColor="text1"/>
                <w:sz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 w:val="21"/>
                <w:szCs w:val="21"/>
                <w:highlight w:val="none"/>
                <w14:textFill>
                  <w14:solidFill>
                    <w14:schemeClr w14:val="tx1"/>
                  </w14:solidFill>
                </w14:textFill>
              </w:rPr>
              <w:t>①</w:t>
            </w:r>
            <w:r>
              <w:rPr>
                <w:rFonts w:hint="default" w:ascii="Times New Roman" w:hAnsi="Times New Roman" w:cs="Times New Roman"/>
                <w:bCs/>
                <w:color w:val="000000" w:themeColor="text1"/>
                <w:sz w:val="21"/>
                <w:szCs w:val="21"/>
                <w:highlight w:val="none"/>
                <w14:textFill>
                  <w14:solidFill>
                    <w14:schemeClr w14:val="tx1"/>
                  </w14:solidFill>
                </w14:textFill>
              </w:rPr>
              <w:fldChar w:fldCharType="end"/>
            </w:r>
            <w:r>
              <w:rPr>
                <w:rFonts w:hint="default" w:ascii="Times New Roman" w:hAnsi="Times New Roman" w:cs="Times New Roman"/>
                <w:bCs/>
                <w:color w:val="000000" w:themeColor="text1"/>
                <w:sz w:val="21"/>
                <w:szCs w:val="21"/>
                <w:highlight w:val="none"/>
                <w14:textFill>
                  <w14:solidFill>
                    <w14:schemeClr w14:val="tx1"/>
                  </w14:solidFill>
                </w14:textFill>
              </w:rPr>
              <w:t>总用电控制位置、主要生产设施和污染治理设施安装用电量监控系统终端；</w:t>
            </w:r>
          </w:p>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fldChar w:fldCharType="begin"/>
            </w:r>
            <w:r>
              <w:rPr>
                <w:rFonts w:hint="default" w:ascii="Times New Roman" w:hAnsi="Times New Roman" w:cs="Times New Roman"/>
                <w:bCs/>
                <w:color w:val="000000" w:themeColor="text1"/>
                <w:sz w:val="21"/>
                <w:szCs w:val="21"/>
                <w:highlight w:val="none"/>
                <w14:textFill>
                  <w14:solidFill>
                    <w14:schemeClr w14:val="tx1"/>
                  </w14:solidFill>
                </w14:textFill>
              </w:rPr>
              <w:instrText xml:space="preserve"> = 2 \* GB3 \* MERGEFORMAT </w:instrText>
            </w:r>
            <w:r>
              <w:rPr>
                <w:rFonts w:hint="default" w:ascii="Times New Roman" w:hAnsi="Times New Roman" w:cs="Times New Roman"/>
                <w:bCs/>
                <w:color w:val="000000" w:themeColor="text1"/>
                <w:sz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 w:val="21"/>
                <w:szCs w:val="21"/>
                <w:highlight w:val="none"/>
                <w14:textFill>
                  <w14:solidFill>
                    <w14:schemeClr w14:val="tx1"/>
                  </w14:solidFill>
                </w14:textFill>
              </w:rPr>
              <w:t>②</w:t>
            </w:r>
            <w:r>
              <w:rPr>
                <w:rFonts w:hint="default" w:ascii="Times New Roman" w:hAnsi="Times New Roman" w:cs="Times New Roman"/>
                <w:bCs/>
                <w:color w:val="000000" w:themeColor="text1"/>
                <w:sz w:val="21"/>
                <w:szCs w:val="21"/>
                <w:highlight w:val="none"/>
                <w14:textFill>
                  <w14:solidFill>
                    <w14:schemeClr w14:val="tx1"/>
                  </w14:solidFill>
                </w14:textFill>
              </w:rPr>
              <w:fldChar w:fldCharType="end"/>
            </w:r>
            <w:r>
              <w:rPr>
                <w:rFonts w:hint="default" w:ascii="Times New Roman" w:hAnsi="Times New Roman" w:cs="Times New Roman"/>
                <w:bCs/>
                <w:color w:val="000000" w:themeColor="text1"/>
                <w:sz w:val="21"/>
                <w:szCs w:val="21"/>
                <w:highlight w:val="none"/>
                <w:lang w:eastAsia="zh-CN"/>
                <w14:textFill>
                  <w14:solidFill>
                    <w14:schemeClr w14:val="tx1"/>
                  </w14:solidFill>
                </w14:textFill>
              </w:rPr>
              <w:t>安装视频监控，对生产过程废气收集和治理设施运行情况24小时视频录像；</w:t>
            </w:r>
            <w:r>
              <w:rPr>
                <w:rFonts w:hint="default" w:ascii="Times New Roman" w:hAnsi="Times New Roman" w:cs="Times New Roman"/>
                <w:bCs/>
                <w:color w:val="000000" w:themeColor="text1"/>
                <w:sz w:val="21"/>
                <w:szCs w:val="21"/>
                <w:highlight w:val="none"/>
                <w:lang w:eastAsia="zh-CN"/>
                <w14:textFill>
                  <w14:solidFill>
                    <w14:schemeClr w14:val="tx1"/>
                  </w14:solidFill>
                </w14:textFill>
              </w:rPr>
              <w:br w:type="textWrapping"/>
            </w:r>
            <w:r>
              <w:rPr>
                <w:rFonts w:hint="default" w:ascii="Times New Roman" w:hAnsi="Times New Roman" w:cs="Times New Roman"/>
                <w:color w:val="000000" w:themeColor="text1"/>
                <w:sz w:val="21"/>
                <w:szCs w:val="21"/>
                <w:lang w:eastAsia="zh-CN"/>
                <w14:textFill>
                  <w14:solidFill>
                    <w14:schemeClr w14:val="tx1"/>
                  </w14:solidFill>
                </w14:textFill>
              </w:rPr>
              <w:fldChar w:fldCharType="begin"/>
            </w:r>
            <w:r>
              <w:rPr>
                <w:rFonts w:hint="default" w:ascii="Times New Roman" w:hAnsi="Times New Roman" w:cs="Times New Roman"/>
                <w:color w:val="000000" w:themeColor="text1"/>
                <w:sz w:val="21"/>
                <w:szCs w:val="21"/>
                <w:lang w:eastAsia="zh-CN"/>
                <w14:textFill>
                  <w14:solidFill>
                    <w14:schemeClr w14:val="tx1"/>
                  </w14:solidFill>
                </w14:textFill>
              </w:rPr>
              <w:instrText xml:space="preserve"> = 3 \* GB3 \* MERGEFORMAT </w:instrText>
            </w:r>
            <w:r>
              <w:rPr>
                <w:rFonts w:hint="default" w:ascii="Times New Roman" w:hAnsi="Times New Roman" w:cs="Times New Roman"/>
                <w:color w:val="000000" w:themeColor="text1"/>
                <w:sz w:val="21"/>
                <w:szCs w:val="21"/>
                <w:lang w:eastAsia="zh-CN"/>
                <w14:textFill>
                  <w14:solidFill>
                    <w14:schemeClr w14:val="tx1"/>
                  </w14:solidFill>
                </w14:textFill>
              </w:rPr>
              <w:fldChar w:fldCharType="separate"/>
            </w:r>
            <w:r>
              <w:rPr>
                <w:rFonts w:hint="default" w:ascii="Times New Roman" w:hAnsi="Times New Roman" w:cs="Times New Roman"/>
                <w:color w:val="000000" w:themeColor="text1"/>
                <w:sz w:val="21"/>
                <w:szCs w:val="21"/>
                <w14:textFill>
                  <w14:solidFill>
                    <w14:schemeClr w14:val="tx1"/>
                  </w14:solidFill>
                </w14:textFill>
              </w:rPr>
              <w:t>③</w:t>
            </w:r>
            <w:r>
              <w:rPr>
                <w:rFonts w:hint="default" w:ascii="Times New Roman" w:hAnsi="Times New Roman" w:cs="Times New Roman"/>
                <w:color w:val="000000" w:themeColor="text1"/>
                <w:sz w:val="21"/>
                <w:szCs w:val="21"/>
                <w:lang w:eastAsia="zh-CN"/>
                <w14:textFill>
                  <w14:solidFill>
                    <w14:schemeClr w14:val="tx1"/>
                  </w14:solidFill>
                </w14:textFill>
              </w:rPr>
              <w:fldChar w:fldCharType="end"/>
            </w:r>
            <w:r>
              <w:rPr>
                <w:rFonts w:hint="default" w:ascii="Times New Roman" w:hAnsi="Times New Roman" w:cs="Times New Roman"/>
                <w:color w:val="000000" w:themeColor="text1"/>
                <w:sz w:val="21"/>
                <w:szCs w:val="21"/>
                <w:lang w:eastAsia="zh-CN"/>
                <w14:textFill>
                  <w14:solidFill>
                    <w14:schemeClr w14:val="tx1"/>
                  </w14:solidFill>
                </w14:textFill>
              </w:rPr>
              <w:t>厂区内安装粉尘自动在线监测装置；</w:t>
            </w:r>
          </w:p>
        </w:tc>
      </w:tr>
    </w:tbl>
    <w:p>
      <w:pPr>
        <w:pStyle w:val="16"/>
        <w:jc w:val="center"/>
        <w:outlineLvl w:val="0"/>
        <w:rPr>
          <w:rFonts w:hint="default" w:ascii="Times New Roman" w:hAnsi="Times New Roman" w:cs="Times New Roman"/>
          <w:snapToGrid w:val="0"/>
          <w:color w:val="000000" w:themeColor="text1"/>
          <w:highlight w:val="cyan"/>
          <w14:textFill>
            <w14:solidFill>
              <w14:schemeClr w14:val="tx1"/>
            </w14:solidFill>
          </w14:textFill>
        </w:rPr>
        <w:sectPr>
          <w:pgSz w:w="11906" w:h="16838"/>
          <w:pgMar w:top="1440" w:right="1800" w:bottom="1440" w:left="1800"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default" w:ascii="Times New Roman" w:hAnsi="Times New Roman" w:cs="Times New Roman"/>
          <w:snapToGrid w:val="0"/>
          <w:color w:val="000000" w:themeColor="text1"/>
          <w:highlight w:val="cyan"/>
          <w14:textFill>
            <w14:solidFill>
              <w14:schemeClr w14:val="tx1"/>
            </w14:solidFill>
          </w14:textFill>
        </w:rPr>
        <w:br w:type="page"/>
      </w:r>
    </w:p>
    <w:p>
      <w:pPr>
        <w:pStyle w:val="16"/>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0"/>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pPr>
      <w:bookmarkStart w:id="3" w:name="_GoBack"/>
      <w:bookmarkEnd w:id="3"/>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t>六、结论</w:t>
      </w:r>
    </w:p>
    <w:tbl>
      <w:tblPr>
        <w:tblStyle w:val="21"/>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97" w:hRule="atLeast"/>
          <w:jc w:val="center"/>
        </w:trPr>
        <w:tc>
          <w:tcPr>
            <w:tcW w:w="5000" w:type="pct"/>
            <w:noWrap w:val="0"/>
            <w:vAlign w:val="top"/>
          </w:tcPr>
          <w:p>
            <w:pPr>
              <w:adjustRightInd w:val="0"/>
              <w:snapToGrid w:val="0"/>
              <w:spacing w:line="360" w:lineRule="auto"/>
              <w:ind w:firstLine="420" w:firstLineChars="200"/>
              <w:rPr>
                <w:rFonts w:hint="default" w:ascii="Times New Roman" w:hAnsi="Times New Roman" w:cs="Times New Roman"/>
                <w:bCs/>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kern w:val="0"/>
                <w:szCs w:val="21"/>
                <w:highlight w:val="none"/>
                <w14:textFill>
                  <w14:solidFill>
                    <w14:schemeClr w14:val="tx1"/>
                  </w14:solidFill>
                </w14:textFill>
              </w:rPr>
              <w:t>新乡中联石化封头锻压有限公司年产</w:t>
            </w:r>
            <w:r>
              <w:rPr>
                <w:rFonts w:hint="eastAsia" w:cs="Times New Roman"/>
                <w:bCs/>
                <w:color w:val="000000" w:themeColor="text1"/>
                <w:kern w:val="0"/>
                <w:szCs w:val="21"/>
                <w:highlight w:val="none"/>
                <w:lang w:eastAsia="zh-CN"/>
                <w14:textFill>
                  <w14:solidFill>
                    <w14:schemeClr w14:val="tx1"/>
                  </w14:solidFill>
                </w14:textFill>
              </w:rPr>
              <w:t>26000吨</w:t>
            </w:r>
            <w:r>
              <w:rPr>
                <w:rFonts w:hint="default" w:ascii="Times New Roman" w:hAnsi="Times New Roman" w:cs="Times New Roman"/>
                <w:bCs/>
                <w:color w:val="000000" w:themeColor="text1"/>
                <w:kern w:val="0"/>
                <w:szCs w:val="21"/>
                <w:highlight w:val="none"/>
                <w14:textFill>
                  <w14:solidFill>
                    <w14:schemeClr w14:val="tx1"/>
                  </w14:solidFill>
                </w14:textFill>
              </w:rPr>
              <w:t>世界级超重型封头生产线建设项目位于新乡市新乡县小冀镇青龙大道39号，该项目的建设符合国家产业政策及相关规划，符合生态保护红线、资源利用上线、环境质量底线和环境准入负面清单等“三线一单”相关要求；项目采取的环保措施可行，能实现达标排放；各类污染物达标排放，环境保护措施可行。</w:t>
            </w:r>
          </w:p>
          <w:p>
            <w:pPr>
              <w:adjustRightInd w:val="0"/>
              <w:snapToGrid w:val="0"/>
              <w:spacing w:line="360" w:lineRule="auto"/>
              <w:ind w:firstLine="420" w:firstLineChars="200"/>
              <w:rPr>
                <w:rFonts w:hint="default" w:ascii="Times New Roman" w:hAnsi="Times New Roman" w:cs="Times New Roman"/>
                <w:bCs/>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kern w:val="0"/>
                <w:szCs w:val="21"/>
                <w:highlight w:val="none"/>
                <w14:textFill>
                  <w14:solidFill>
                    <w14:schemeClr w14:val="tx1"/>
                  </w14:solidFill>
                </w14:textFill>
              </w:rPr>
              <w:t>因此，在建设单位加强项目的环境管理，严格遵守“三同时”等环保制度，严格落实本报告书提出的各项环保措施，确保污染防治设施稳定运行和污染物达标排放前提下，从环境保护角度，建设项目环境影响可行。</w:t>
            </w:r>
          </w:p>
          <w:p>
            <w:pPr>
              <w:spacing w:line="360" w:lineRule="auto"/>
              <w:rPr>
                <w:rFonts w:hint="default" w:ascii="Times New Roman" w:hAnsi="Times New Roman" w:cs="Times New Roman"/>
                <w:color w:val="000000" w:themeColor="text1"/>
                <w:sz w:val="24"/>
                <w:highlight w:val="cyan"/>
                <w14:textFill>
                  <w14:solidFill>
                    <w14:schemeClr w14:val="tx1"/>
                  </w14:solidFill>
                </w14:textFill>
              </w:rPr>
            </w:pPr>
          </w:p>
        </w:tc>
      </w:tr>
    </w:tbl>
    <w:p>
      <w:pPr>
        <w:rPr>
          <w:rFonts w:hint="default" w:ascii="Times New Roman" w:hAnsi="Times New Roman" w:cs="Times New Roman"/>
          <w:color w:val="000000" w:themeColor="text1"/>
          <w:highlight w:val="cyan"/>
          <w14:textFill>
            <w14:solidFill>
              <w14:schemeClr w14:val="tx1"/>
            </w14:solidFill>
          </w14:textFill>
        </w:rPr>
        <w:sectPr>
          <w:pgSz w:w="11906" w:h="16838"/>
          <w:pgMar w:top="1440" w:right="1800" w:bottom="1440" w:left="1800" w:header="851" w:footer="851" w:gutter="0"/>
          <w:pgBorders>
            <w:top w:val="none" w:sz="0" w:space="0"/>
            <w:left w:val="none" w:sz="0" w:space="0"/>
            <w:bottom w:val="none" w:sz="0" w:space="0"/>
            <w:right w:val="none" w:sz="0" w:space="0"/>
          </w:pgBorders>
          <w:pgNumType w:fmt="decimal"/>
          <w:cols w:space="720" w:num="1"/>
          <w:docGrid w:linePitch="312" w:charSpace="0"/>
        </w:sectPr>
      </w:pPr>
    </w:p>
    <w:p>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textAlignment w:val="auto"/>
        <w:outlineLvl w:val="0"/>
        <w:rPr>
          <w:rFonts w:hint="default" w:ascii="Times New Roman" w:hAnsi="Times New Roman" w:eastAsia="黑体" w:cs="Times New Roman"/>
          <w:snapToGrid w:val="0"/>
          <w:color w:val="000000" w:themeColor="text1"/>
          <w:sz w:val="32"/>
          <w:szCs w:val="32"/>
          <w:highlight w:val="none"/>
          <w14:textFill>
            <w14:solidFill>
              <w14:schemeClr w14:val="tx1"/>
            </w14:solidFill>
          </w14:textFill>
        </w:rPr>
      </w:pPr>
      <w:r>
        <w:rPr>
          <w:rFonts w:hint="default" w:ascii="Times New Roman" w:hAnsi="Times New Roman" w:eastAsia="黑体" w:cs="Times New Roman"/>
          <w:snapToGrid w:val="0"/>
          <w:color w:val="000000" w:themeColor="text1"/>
          <w:sz w:val="32"/>
          <w:szCs w:val="32"/>
          <w:highlight w:val="none"/>
          <w14:textFill>
            <w14:solidFill>
              <w14:schemeClr w14:val="tx1"/>
            </w14:solidFill>
          </w14:textFill>
        </w:rPr>
        <w:t>附表</w:t>
      </w:r>
    </w:p>
    <w:p>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outlineLvl w:val="0"/>
        <w:rPr>
          <w:rFonts w:hint="default" w:ascii="Times New Roman" w:hAnsi="Times New Roman" w:eastAsia="方正小标宋_GBK" w:cs="Times New Roman"/>
          <w:snapToGrid w:val="0"/>
          <w:color w:val="000000" w:themeColor="text1"/>
          <w:sz w:val="38"/>
          <w:szCs w:val="38"/>
          <w:highlight w:val="none"/>
          <w14:textFill>
            <w14:solidFill>
              <w14:schemeClr w14:val="tx1"/>
            </w14:solidFill>
          </w14:textFill>
        </w:rPr>
      </w:pPr>
      <w:r>
        <w:rPr>
          <w:rFonts w:hint="default" w:ascii="Times New Roman" w:hAnsi="Times New Roman" w:eastAsia="方正小标宋_GBK" w:cs="Times New Roman"/>
          <w:snapToGrid w:val="0"/>
          <w:color w:val="000000" w:themeColor="text1"/>
          <w:sz w:val="38"/>
          <w:szCs w:val="38"/>
          <w:highlight w:val="none"/>
          <w14:textFill>
            <w14:solidFill>
              <w14:schemeClr w14:val="tx1"/>
            </w14:solidFill>
          </w14:textFill>
        </w:rPr>
        <w:t>建设项目污染物排放量汇总表</w:t>
      </w:r>
    </w:p>
    <w:tbl>
      <w:tblPr>
        <w:tblStyle w:val="21"/>
        <w:tblW w:w="1378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02"/>
        <w:gridCol w:w="2272"/>
        <w:gridCol w:w="1473"/>
        <w:gridCol w:w="1473"/>
        <w:gridCol w:w="1473"/>
        <w:gridCol w:w="1473"/>
        <w:gridCol w:w="1473"/>
        <w:gridCol w:w="1473"/>
        <w:gridCol w:w="147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tcBorders>
              <w:tl2br w:val="single" w:color="auto" w:sz="4" w:space="0"/>
            </w:tcBorders>
            <w:noWrap w:val="0"/>
            <w:tcMar>
              <w:left w:w="28" w:type="dxa"/>
              <w:right w:w="28" w:type="dxa"/>
            </w:tcMar>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right"/>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项目</w:t>
            </w:r>
          </w:p>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left"/>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分类</w:t>
            </w:r>
          </w:p>
        </w:tc>
        <w:tc>
          <w:tcPr>
            <w:tcW w:w="2272" w:type="dxa"/>
            <w:noWrap w:val="0"/>
            <w:tcMar>
              <w:left w:w="28" w:type="dxa"/>
              <w:right w:w="28" w:type="dxa"/>
            </w:tcMar>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污染物名称</w:t>
            </w:r>
          </w:p>
        </w:tc>
        <w:tc>
          <w:tcPr>
            <w:tcW w:w="1473" w:type="dxa"/>
            <w:noWrap w:val="0"/>
            <w:tcMar>
              <w:left w:w="28" w:type="dxa"/>
              <w:right w:w="28" w:type="dxa"/>
            </w:tcMar>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现有工程</w:t>
            </w:r>
          </w:p>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排放量（固体废物产生量）</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instrText xml:space="preserve">=1\*GB3\*MERGEFORMAT</w:instrTex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黑体" w:cs="Times New Roman"/>
                <w:color w:val="000000" w:themeColor="text1"/>
                <w:kern w:val="2"/>
                <w:szCs w:val="21"/>
                <w:highlight w:val="none"/>
                <w14:textFill>
                  <w14:solidFill>
                    <w14:schemeClr w14:val="tx1"/>
                  </w14:solidFill>
                </w14:textFill>
              </w:rPr>
              <w:t>①</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end"/>
            </w:r>
          </w:p>
        </w:tc>
        <w:tc>
          <w:tcPr>
            <w:tcW w:w="1473" w:type="dxa"/>
            <w:noWrap w:val="0"/>
            <w:tcMar>
              <w:left w:w="28" w:type="dxa"/>
              <w:right w:w="28" w:type="dxa"/>
            </w:tcMar>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现有工程</w:t>
            </w:r>
          </w:p>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许可排放量</w:t>
            </w:r>
          </w:p>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instrText xml:space="preserve">=2\*GB3\*MERGEFORMAT</w:instrTex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②</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end"/>
            </w:r>
          </w:p>
        </w:tc>
        <w:tc>
          <w:tcPr>
            <w:tcW w:w="1473" w:type="dxa"/>
            <w:noWrap w:val="0"/>
            <w:tcMar>
              <w:left w:w="28" w:type="dxa"/>
              <w:right w:w="28" w:type="dxa"/>
            </w:tcMar>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在建工程</w:t>
            </w:r>
          </w:p>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排放量（固体废物产生量）</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instrText xml:space="preserve">=3\*GB3\*MERGEFORMAT</w:instrTex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黑体" w:cs="Times New Roman"/>
                <w:color w:val="000000" w:themeColor="text1"/>
                <w:kern w:val="2"/>
                <w:szCs w:val="21"/>
                <w:highlight w:val="none"/>
                <w14:textFill>
                  <w14:solidFill>
                    <w14:schemeClr w14:val="tx1"/>
                  </w14:solidFill>
                </w14:textFill>
              </w:rPr>
              <w:t>③</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end"/>
            </w:r>
          </w:p>
        </w:tc>
        <w:tc>
          <w:tcPr>
            <w:tcW w:w="1473" w:type="dxa"/>
            <w:noWrap w:val="0"/>
            <w:tcMar>
              <w:left w:w="28" w:type="dxa"/>
              <w:right w:w="28" w:type="dxa"/>
            </w:tcMar>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本项目</w:t>
            </w:r>
          </w:p>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排放量（固体废物产生量）</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instrText xml:space="preserve">=4\*GB3\*MERGEFORMAT</w:instrTex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黑体" w:cs="Times New Roman"/>
                <w:color w:val="000000" w:themeColor="text1"/>
                <w:kern w:val="2"/>
                <w:szCs w:val="21"/>
                <w:highlight w:val="none"/>
                <w14:textFill>
                  <w14:solidFill>
                    <w14:schemeClr w14:val="tx1"/>
                  </w14:solidFill>
                </w14:textFill>
              </w:rPr>
              <w:t>④</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end"/>
            </w:r>
          </w:p>
        </w:tc>
        <w:tc>
          <w:tcPr>
            <w:tcW w:w="1473" w:type="dxa"/>
            <w:noWrap w:val="0"/>
            <w:tcMar>
              <w:left w:w="28" w:type="dxa"/>
              <w:right w:w="28" w:type="dxa"/>
            </w:tcMar>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t>以新带老削减量</w:t>
            </w:r>
          </w:p>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t>（新建项目不填）</w:t>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instrText xml:space="preserve">=5\*GB3\*MERGEFORMAT</w:instrText>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eastAsia="黑体" w:cs="Times New Roman"/>
                <w:color w:val="000000" w:themeColor="text1"/>
                <w:kern w:val="2"/>
                <w:szCs w:val="21"/>
                <w:highlight w:val="none"/>
                <w14:textFill>
                  <w14:solidFill>
                    <w14:schemeClr w14:val="tx1"/>
                  </w14:solidFill>
                </w14:textFill>
              </w:rPr>
              <w:t>⑤</w:t>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fldChar w:fldCharType="end"/>
            </w:r>
          </w:p>
        </w:tc>
        <w:tc>
          <w:tcPr>
            <w:tcW w:w="1473" w:type="dxa"/>
            <w:noWrap w:val="0"/>
            <w:tcMar>
              <w:left w:w="28" w:type="dxa"/>
              <w:right w:w="28" w:type="dxa"/>
            </w:tcMar>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t>本项目建成后</w:t>
            </w:r>
          </w:p>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t>全厂排放量（固体废物产生量）</w:t>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instrText xml:space="preserve">=6\*GB3\*MERGEFORMAT</w:instrText>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eastAsia="黑体" w:cs="Times New Roman"/>
                <w:color w:val="000000" w:themeColor="text1"/>
                <w:kern w:val="2"/>
                <w:szCs w:val="21"/>
                <w:highlight w:val="none"/>
                <w14:textFill>
                  <w14:solidFill>
                    <w14:schemeClr w14:val="tx1"/>
                  </w14:solidFill>
                </w14:textFill>
              </w:rPr>
              <w:t>⑥</w:t>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fldChar w:fldCharType="end"/>
            </w:r>
          </w:p>
        </w:tc>
        <w:tc>
          <w:tcPr>
            <w:tcW w:w="1476" w:type="dxa"/>
            <w:noWrap w:val="0"/>
            <w:tcMar>
              <w:left w:w="28" w:type="dxa"/>
              <w:right w:w="28" w:type="dxa"/>
            </w:tcMar>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变化量</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instrText xml:space="preserve">=7\*GB3\*MERGEFORMAT</w:instrTex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黑体" w:cs="Times New Roman"/>
                <w:color w:val="000000" w:themeColor="text1"/>
                <w:kern w:val="2"/>
                <w:szCs w:val="21"/>
                <w:highlight w:val="none"/>
                <w14:textFill>
                  <w14:solidFill>
                    <w14:schemeClr w14:val="tx1"/>
                  </w14:solidFill>
                </w14:textFill>
              </w:rPr>
              <w:t>⑦</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end"/>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vMerge w:val="restart"/>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14:textFill>
                  <w14:solidFill>
                    <w14:schemeClr w14:val="tx1"/>
                  </w14:solidFill>
                </w14:textFill>
              </w:rPr>
              <w:t>废气</w:t>
            </w:r>
          </w:p>
        </w:tc>
        <w:tc>
          <w:tcPr>
            <w:tcW w:w="2272"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eastAsia="zh-CN"/>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颗粒物（</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t/a</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 w:val="21"/>
                <w:szCs w:val="21"/>
                <w:highlight w:val="none"/>
                <w:lang w:val="en-US" w:eastAsia="zh-CN"/>
                <w14:textFill>
                  <w14:solidFill>
                    <w14:schemeClr w14:val="tx1"/>
                  </w14:solidFill>
                </w14:textFill>
              </w:rPr>
              <w:t>0.2046</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3.3</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 w:val="21"/>
                <w:szCs w:val="21"/>
                <w:highlight w:val="none"/>
                <w:lang w:val="en-US" w:eastAsia="zh-CN"/>
                <w14:textFill>
                  <w14:solidFill>
                    <w14:schemeClr w14:val="tx1"/>
                  </w14:solidFill>
                </w14:textFill>
              </w:rPr>
              <w:t>0.2735</w:t>
            </w: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 w:val="21"/>
                <w:szCs w:val="21"/>
                <w:highlight w:val="none"/>
                <w:lang w:val="en-US" w:eastAsia="zh-CN"/>
                <w14:textFill>
                  <w14:solidFill>
                    <w14:schemeClr w14:val="tx1"/>
                  </w14:solidFill>
                </w14:textFill>
              </w:rPr>
              <w:t>0.4781</w:t>
            </w:r>
          </w:p>
        </w:tc>
        <w:tc>
          <w:tcPr>
            <w:tcW w:w="1476"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0.</w:t>
            </w:r>
            <w:r>
              <w:rPr>
                <w:rFonts w:hint="eastAsia" w:cs="Times New Roman"/>
                <w:snapToGrid w:val="0"/>
                <w:color w:val="000000" w:themeColor="text1"/>
                <w:kern w:val="21"/>
                <w:sz w:val="21"/>
                <w:szCs w:val="21"/>
                <w:highlight w:val="none"/>
                <w:lang w:val="en-US" w:eastAsia="zh-CN"/>
                <w14:textFill>
                  <w14:solidFill>
                    <w14:schemeClr w14:val="tx1"/>
                  </w14:solidFill>
                </w14:textFill>
              </w:rPr>
              <w:t>2735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vMerge w:val="continue"/>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2272"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SO</w:t>
            </w:r>
            <w:r>
              <w:rPr>
                <w:rFonts w:hint="default" w:ascii="Times New Roman" w:hAnsi="Times New Roman" w:cs="Times New Roman"/>
                <w:snapToGrid w:val="0"/>
                <w:color w:val="000000" w:themeColor="text1"/>
                <w:kern w:val="21"/>
                <w:sz w:val="21"/>
                <w:szCs w:val="21"/>
                <w:highlight w:val="none"/>
                <w:vertAlign w:val="subscript"/>
                <w:lang w:val="en-US" w:eastAsia="zh-CN"/>
                <w14:textFill>
                  <w14:solidFill>
                    <w14:schemeClr w14:val="tx1"/>
                  </w14:solidFill>
                </w14:textFill>
              </w:rPr>
              <w:t>2</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t/a</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t>0.1392</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1.4</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t>0.1322</w:t>
            </w: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t>0.2714</w:t>
            </w:r>
          </w:p>
        </w:tc>
        <w:tc>
          <w:tcPr>
            <w:tcW w:w="1476"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bCs/>
                <w:color w:val="000000" w:themeColor="text1"/>
                <w:kern w:val="2"/>
                <w:sz w:val="21"/>
                <w:szCs w:val="21"/>
                <w:highlight w:val="cyan"/>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+0.1322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vMerge w:val="continue"/>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2272"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NO</w:t>
            </w:r>
            <w:r>
              <w:rPr>
                <w:rFonts w:hint="default" w:ascii="Times New Roman" w:hAnsi="Times New Roman" w:cs="Times New Roman"/>
                <w:snapToGrid w:val="0"/>
                <w:color w:val="000000" w:themeColor="text1"/>
                <w:kern w:val="21"/>
                <w:sz w:val="21"/>
                <w:szCs w:val="21"/>
                <w:highlight w:val="none"/>
                <w:vertAlign w:val="subscript"/>
                <w:lang w:val="en-US" w:eastAsia="zh-CN"/>
                <w14:textFill>
                  <w14:solidFill>
                    <w14:schemeClr w14:val="tx1"/>
                  </w14:solidFill>
                </w14:textFill>
              </w:rPr>
              <w:t>x</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t/a</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t>0.3132</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t>0.6989</w:t>
            </w: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t>1.0121</w:t>
            </w:r>
          </w:p>
        </w:tc>
        <w:tc>
          <w:tcPr>
            <w:tcW w:w="1476"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bCs/>
                <w:color w:val="000000" w:themeColor="text1"/>
                <w:kern w:val="2"/>
                <w:sz w:val="21"/>
                <w:szCs w:val="21"/>
                <w:highlight w:val="cyan"/>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+0.6989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vMerge w:val="continue"/>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2272"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 w:val="21"/>
                <w:szCs w:val="21"/>
                <w:highlight w:val="none"/>
                <w:lang w:val="en-US" w:eastAsia="zh-CN"/>
                <w14:textFill>
                  <w14:solidFill>
                    <w14:schemeClr w14:val="tx1"/>
                  </w14:solidFill>
                </w14:textFill>
              </w:rPr>
              <w:t>氨</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t/a</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t>0.0646</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t>0.116</w:t>
            </w: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t>0.1806</w:t>
            </w:r>
          </w:p>
        </w:tc>
        <w:tc>
          <w:tcPr>
            <w:tcW w:w="1476"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bCs/>
                <w:color w:val="000000" w:themeColor="text1"/>
                <w:kern w:val="2"/>
                <w:sz w:val="21"/>
                <w:szCs w:val="21"/>
                <w:highlight w:val="cyan"/>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+0.116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vMerge w:val="continue"/>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2272"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 w:val="21"/>
                <w:szCs w:val="21"/>
                <w:highlight w:val="none"/>
                <w:lang w:val="en-US" w:eastAsia="zh-CN"/>
                <w14:textFill>
                  <w14:solidFill>
                    <w14:schemeClr w14:val="tx1"/>
                  </w14:solidFill>
                </w14:textFill>
              </w:rPr>
              <w:t>氢氟酸雾</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t/a</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t>0.0046</w:t>
            </w: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t>0.0046</w:t>
            </w:r>
          </w:p>
        </w:tc>
        <w:tc>
          <w:tcPr>
            <w:tcW w:w="1476" w:type="dxa"/>
            <w:noWrap w:val="0"/>
            <w:vAlign w:val="center"/>
          </w:tcPr>
          <w:p>
            <w:pPr>
              <w:pStyle w:val="64"/>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bCs/>
                <w:color w:val="000000" w:themeColor="text1"/>
                <w:kern w:val="2"/>
                <w:sz w:val="21"/>
                <w:szCs w:val="21"/>
                <w:highlight w:val="cyan"/>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+0.0046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vMerge w:val="restart"/>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14:textFill>
                  <w14:solidFill>
                    <w14:schemeClr w14:val="tx1"/>
                  </w14:solidFill>
                </w14:textFill>
              </w:rPr>
              <w:t>废水</w:t>
            </w:r>
          </w:p>
        </w:tc>
        <w:tc>
          <w:tcPr>
            <w:tcW w:w="2272"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eastAsia="zh-CN"/>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废水量（</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m</w:t>
            </w:r>
            <w:r>
              <w:rPr>
                <w:rFonts w:hint="default" w:ascii="Times New Roman" w:hAnsi="Times New Roman" w:cs="Times New Roman"/>
                <w:snapToGrid w:val="0"/>
                <w:color w:val="000000" w:themeColor="text1"/>
                <w:kern w:val="2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/a</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t>384</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192</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t>576</w:t>
            </w:r>
          </w:p>
        </w:tc>
        <w:tc>
          <w:tcPr>
            <w:tcW w:w="1476"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+192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vMerge w:val="continue"/>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2272"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COD</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t/a</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t>0.0154</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t>0.0077</w:t>
            </w: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t>0.0231</w:t>
            </w:r>
          </w:p>
        </w:tc>
        <w:tc>
          <w:tcPr>
            <w:tcW w:w="1476"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t>+0.0077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vMerge w:val="continue"/>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2272"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 w:val="21"/>
                <w:szCs w:val="21"/>
                <w:highlight w:val="none"/>
                <w:lang w:val="en-US" w:eastAsia="zh-CN"/>
                <w14:textFill>
                  <w14:solidFill>
                    <w14:schemeClr w14:val="tx1"/>
                  </w14:solidFill>
                </w14:textFill>
              </w:rPr>
              <w:t>SS（</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t/a</w:t>
            </w:r>
            <w:r>
              <w:rPr>
                <w:rFonts w:hint="eastAsia" w:asci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pP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pP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pP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pP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p>
        </w:tc>
        <w:tc>
          <w:tcPr>
            <w:tcW w:w="1476"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vMerge w:val="continue"/>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2272"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NH</w:t>
            </w:r>
            <w:r>
              <w:rPr>
                <w:rFonts w:hint="default" w:ascii="Times New Roman" w:hAnsi="Times New Roman" w:cs="Times New Roman"/>
                <w:snapToGrid w:val="0"/>
                <w:color w:val="000000" w:themeColor="text1"/>
                <w:kern w:val="21"/>
                <w:sz w:val="21"/>
                <w:szCs w:val="21"/>
                <w:highlight w:val="none"/>
                <w:vertAlign w:val="subscript"/>
                <w:lang w:val="en-US" w:eastAsia="zh-CN"/>
                <w14:textFill>
                  <w14:solidFill>
                    <w14:schemeClr w14:val="tx1"/>
                  </w14:solidFill>
                </w14:textFill>
              </w:rPr>
              <w:t>3</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-N</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t/a</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t>0.0008</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t>0.0004</w:t>
            </w: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t>0</w:t>
            </w: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t>0.0012</w:t>
            </w:r>
          </w:p>
        </w:tc>
        <w:tc>
          <w:tcPr>
            <w:tcW w:w="1476"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t>+0.0004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vMerge w:val="continue"/>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2272"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 w:val="21"/>
                <w:szCs w:val="21"/>
                <w:highlight w:val="none"/>
                <w:lang w:val="en-US" w:eastAsia="zh-CN"/>
                <w14:textFill>
                  <w14:solidFill>
                    <w14:schemeClr w14:val="tx1"/>
                  </w14:solidFill>
                </w14:textFill>
              </w:rPr>
              <w:t>TP</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t/a</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476"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vMerge w:val="restart"/>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14:textFill>
                  <w14:solidFill>
                    <w14:schemeClr w14:val="tx1"/>
                  </w14:solidFill>
                </w14:textFill>
              </w:rPr>
              <w:t>危险废物</w:t>
            </w:r>
          </w:p>
        </w:tc>
        <w:tc>
          <w:tcPr>
            <w:tcW w:w="2272"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废液压油</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t/a</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t>1.5</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sz w:val="21"/>
                <w:szCs w:val="21"/>
                <w:highlight w:val="none"/>
                <w:u w:val="none"/>
                <w:lang w:val="en-US" w:eastAsia="zh-CN"/>
                <w14:textFill>
                  <w14:solidFill>
                    <w14:schemeClr w14:val="tx1"/>
                  </w14:solidFill>
                </w14:textFill>
              </w:rPr>
              <w:t>2.2</w:t>
            </w: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3.7</w:t>
            </w:r>
          </w:p>
        </w:tc>
        <w:tc>
          <w:tcPr>
            <w:tcW w:w="1476"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sz w:val="21"/>
                <w:szCs w:val="21"/>
                <w:highlight w:val="none"/>
                <w:u w:val="none"/>
                <w:lang w:val="en-US" w:eastAsia="zh-CN"/>
                <w14:textFill>
                  <w14:solidFill>
                    <w14:schemeClr w14:val="tx1"/>
                  </w14:solidFill>
                </w14:textFill>
              </w:rPr>
              <w:t>+2.2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vMerge w:val="continue"/>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2272"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废润滑油</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t/a</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t>0.5</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1"/>
                <w:szCs w:val="21"/>
                <w:highlight w:val="none"/>
                <w:u w:val="none"/>
                <w:lang w:val="en-US" w:eastAsia="zh-CN" w:bidi="ar-SA"/>
                <w14:textFill>
                  <w14:solidFill>
                    <w14:schemeClr w14:val="tx1"/>
                  </w14:solidFill>
                </w14:textFill>
              </w:rPr>
              <w:t>0.5</w:t>
            </w: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1</w:t>
            </w:r>
          </w:p>
        </w:tc>
        <w:tc>
          <w:tcPr>
            <w:tcW w:w="1476"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1"/>
                <w:szCs w:val="21"/>
                <w:highlight w:val="none"/>
                <w:u w:val="none"/>
                <w:lang w:val="en-US" w:eastAsia="zh-CN" w:bidi="ar-SA"/>
                <w14:textFill>
                  <w14:solidFill>
                    <w14:schemeClr w14:val="tx1"/>
                  </w14:solidFill>
                </w14:textFill>
              </w:rPr>
              <w:t>+0.5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vMerge w:val="continue"/>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2272"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隔油池油污</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t/a</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1"/>
                <w:szCs w:val="21"/>
                <w:highlight w:val="none"/>
                <w:u w:val="none"/>
                <w:lang w:val="en-US" w:eastAsia="zh-CN" w:bidi="ar-SA"/>
                <w14:textFill>
                  <w14:solidFill>
                    <w14:schemeClr w14:val="tx1"/>
                  </w14:solidFill>
                </w14:textFill>
              </w:rPr>
              <w:t>0.0005</w:t>
            </w: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0.0005</w:t>
            </w:r>
          </w:p>
        </w:tc>
        <w:tc>
          <w:tcPr>
            <w:tcW w:w="1476"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1"/>
                <w:szCs w:val="21"/>
                <w:highlight w:val="none"/>
                <w:u w:val="none"/>
                <w:lang w:val="en-US" w:eastAsia="zh-CN" w:bidi="ar-SA"/>
                <w14:textFill>
                  <w14:solidFill>
                    <w14:schemeClr w14:val="tx1"/>
                  </w14:solidFill>
                </w14:textFill>
              </w:rPr>
              <w:t>+0.0005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vMerge w:val="continue"/>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2272"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清理污泥</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t/a</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1"/>
                <w:szCs w:val="21"/>
                <w:highlight w:val="none"/>
                <w:u w:val="none"/>
                <w:lang w:val="en-US" w:eastAsia="zh-CN" w:bidi="ar-SA"/>
                <w14:textFill>
                  <w14:solidFill>
                    <w14:schemeClr w14:val="tx1"/>
                  </w14:solidFill>
                </w14:textFill>
              </w:rPr>
              <w:t>160</w:t>
            </w: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160</w:t>
            </w:r>
          </w:p>
        </w:tc>
        <w:tc>
          <w:tcPr>
            <w:tcW w:w="1476"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1"/>
                <w:szCs w:val="21"/>
                <w:highlight w:val="none"/>
                <w:u w:val="none"/>
                <w:lang w:val="en-US" w:eastAsia="zh-CN" w:bidi="ar-SA"/>
                <w14:textFill>
                  <w14:solidFill>
                    <w14:schemeClr w14:val="tx1"/>
                  </w14:solidFill>
                </w14:textFill>
              </w:rPr>
              <w:t>+160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vMerge w:val="continue"/>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2272"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高效蒸发浓缩残渣</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t/a</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1"/>
                <w:szCs w:val="21"/>
                <w:highlight w:val="none"/>
                <w:u w:val="none"/>
                <w:lang w:val="en-US" w:eastAsia="zh-CN" w:bidi="ar-SA"/>
                <w14:textFill>
                  <w14:solidFill>
                    <w14:schemeClr w14:val="tx1"/>
                  </w14:solidFill>
                </w14:textFill>
              </w:rPr>
              <w:t>0.057</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0</w:t>
            </w:r>
          </w:p>
        </w:tc>
        <w:tc>
          <w:tcPr>
            <w:tcW w:w="1473"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1"/>
                <w:szCs w:val="21"/>
                <w:highlight w:val="none"/>
                <w:u w:val="none"/>
                <w:lang w:val="en-US" w:eastAsia="zh-CN" w:bidi="ar-SA"/>
                <w14:textFill>
                  <w14:solidFill>
                    <w14:schemeClr w14:val="tx1"/>
                  </w14:solidFill>
                </w14:textFill>
              </w:rPr>
              <w:t>0.057</w:t>
            </w:r>
          </w:p>
        </w:tc>
        <w:tc>
          <w:tcPr>
            <w:tcW w:w="1476"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1"/>
                <w:szCs w:val="21"/>
                <w:highlight w:val="none"/>
                <w:u w:val="none"/>
                <w:lang w:val="en-US" w:eastAsia="zh-CN" w:bidi="ar-SA"/>
                <w14:textFill>
                  <w14:solidFill>
                    <w14:schemeClr w14:val="tx1"/>
                  </w14:solidFill>
                </w14:textFill>
              </w:rPr>
              <w:t>+0.057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vMerge w:val="continue"/>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2272"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eastAsia="zh-CN"/>
                <w14:textFill>
                  <w14:solidFill>
                    <w14:schemeClr w14:val="tx1"/>
                  </w14:solidFill>
                </w14:textFill>
              </w:rPr>
              <w:t>废RO过滤膜（含铬）（</w:t>
            </w:r>
            <w: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t>t/a</w:t>
            </w:r>
            <w:r>
              <w:rPr>
                <w:rFonts w:hint="default" w:ascii="Times New Roman" w:hAnsi="Times New Roman" w:eastAsia="宋体" w:cs="Times New Roman"/>
                <w:snapToGrid w:val="0"/>
                <w:color w:val="000000" w:themeColor="text1"/>
                <w:kern w:val="21"/>
                <w:sz w:val="21"/>
                <w:szCs w:val="21"/>
                <w:highlight w:val="none"/>
                <w:lang w:eastAsia="zh-CN"/>
                <w14:textFill>
                  <w14:solidFill>
                    <w14:schemeClr w14:val="tx1"/>
                  </w14:solidFill>
                </w14:textFill>
              </w:rPr>
              <w:t>）</w:t>
            </w:r>
          </w:p>
        </w:tc>
        <w:tc>
          <w:tcPr>
            <w:tcW w:w="1473"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1"/>
                <w:szCs w:val="21"/>
                <w:highlight w:val="none"/>
                <w:u w:val="none"/>
                <w:lang w:val="en-US" w:eastAsia="zh-CN" w:bidi="ar-SA"/>
                <w14:textFill>
                  <w14:solidFill>
                    <w14:schemeClr w14:val="tx1"/>
                  </w14:solidFill>
                </w14:textFill>
              </w:rPr>
              <w:t>0.05</w:t>
            </w: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0.05</w:t>
            </w:r>
          </w:p>
        </w:tc>
        <w:tc>
          <w:tcPr>
            <w:tcW w:w="1476"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eastAsiaTheme="minorEastAsia"/>
                <w:b w:val="0"/>
                <w:b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kern w:val="2"/>
                <w:sz w:val="21"/>
                <w:szCs w:val="21"/>
                <w:highlight w:val="none"/>
                <w:u w:val="none"/>
                <w:lang w:val="en-US" w:eastAsia="zh-CN" w:bidi="ar-SA"/>
                <w14:textFill>
                  <w14:solidFill>
                    <w14:schemeClr w14:val="tx1"/>
                  </w14:solidFill>
                </w14:textFill>
              </w:rPr>
              <w:t>+0.05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vMerge w:val="restart"/>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14:textFill>
                  <w14:solidFill>
                    <w14:schemeClr w14:val="tx1"/>
                  </w14:solidFill>
                </w14:textFill>
              </w:rPr>
              <w:t>一般工业</w:t>
            </w:r>
          </w:p>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14:textFill>
                  <w14:solidFill>
                    <w14:schemeClr w14:val="tx1"/>
                  </w14:solidFill>
                </w14:textFill>
              </w:rPr>
              <w:t>固体废物</w:t>
            </w:r>
          </w:p>
        </w:tc>
        <w:tc>
          <w:tcPr>
            <w:tcW w:w="2272"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废边角料</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t/a</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790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sz w:val="21"/>
                <w:szCs w:val="21"/>
                <w:highlight w:val="none"/>
                <w:u w:val="none"/>
                <w:lang w:val="en-US" w:eastAsia="zh-CN"/>
                <w14:textFill>
                  <w14:solidFill>
                    <w14:schemeClr w14:val="tx1"/>
                  </w14:solidFill>
                </w14:textFill>
              </w:rPr>
              <w:t>1300</w:t>
            </w: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2090</w:t>
            </w:r>
          </w:p>
        </w:tc>
        <w:tc>
          <w:tcPr>
            <w:tcW w:w="1476"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+1300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vMerge w:val="continue"/>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2272"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废包装</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t/a</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sz w:val="21"/>
                <w:szCs w:val="21"/>
                <w:highlight w:val="none"/>
                <w:u w:val="none"/>
                <w:lang w:val="en-US" w:eastAsia="zh-CN"/>
                <w14:textFill>
                  <w14:solidFill>
                    <w14:schemeClr w14:val="tx1"/>
                  </w14:solidFill>
                </w14:textFill>
              </w:rPr>
              <w:t>3.293</w:t>
            </w: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3.293</w:t>
            </w:r>
          </w:p>
        </w:tc>
        <w:tc>
          <w:tcPr>
            <w:tcW w:w="1476"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+3.293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vMerge w:val="continue"/>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2272"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袋式除尘器集尘</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t/a</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24.1905</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2"/>
                <w:sz w:val="21"/>
                <w:szCs w:val="21"/>
                <w:highlight w:val="none"/>
                <w:u w:val="none"/>
                <w:lang w:val="en-US" w:eastAsia="zh-CN" w:bidi="ar-SA"/>
                <w14:textFill>
                  <w14:solidFill>
                    <w14:schemeClr w14:val="tx1"/>
                  </w14:solidFill>
                </w14:textFill>
              </w:rPr>
              <w:t>100.8299</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cs="Times New Roman"/>
                <w:snapToGrid w:val="0"/>
                <w:color w:val="000000" w:themeColor="text1"/>
                <w:kern w:val="21"/>
                <w:sz w:val="21"/>
                <w:szCs w:val="21"/>
                <w:highlight w:val="none"/>
                <w:lang w:val="en-US" w:eastAsia="zh-CN" w:bidi="ar-SA"/>
                <w14:textFill>
                  <w14:solidFill>
                    <w14:schemeClr w14:val="tx1"/>
                  </w14:solidFill>
                </w14:textFill>
              </w:rPr>
              <w:t>125.0204</w:t>
            </w:r>
          </w:p>
        </w:tc>
        <w:tc>
          <w:tcPr>
            <w:tcW w:w="1476"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i w:val="0"/>
                <w:iCs w:val="0"/>
                <w:color w:val="000000" w:themeColor="text1"/>
                <w:kern w:val="2"/>
                <w:sz w:val="21"/>
                <w:szCs w:val="21"/>
                <w:highlight w:val="none"/>
                <w:u w:val="none"/>
                <w:lang w:val="en-US" w:eastAsia="zh-CN" w:bidi="ar-SA"/>
                <w14:textFill>
                  <w14:solidFill>
                    <w14:schemeClr w14:val="tx1"/>
                  </w14:solidFill>
                </w14:textFill>
              </w:rPr>
              <w:t>+</w:t>
            </w:r>
            <w:r>
              <w:rPr>
                <w:rFonts w:hint="eastAsia" w:ascii="Times New Roman" w:cs="Times New Roman"/>
                <w:i w:val="0"/>
                <w:iCs w:val="0"/>
                <w:color w:val="000000" w:themeColor="text1"/>
                <w:kern w:val="2"/>
                <w:sz w:val="21"/>
                <w:szCs w:val="21"/>
                <w:highlight w:val="none"/>
                <w:u w:val="none"/>
                <w:lang w:val="en-US" w:eastAsia="zh-CN" w:bidi="ar-SA"/>
                <w14:textFill>
                  <w14:solidFill>
                    <w14:schemeClr w14:val="tx1"/>
                  </w14:solidFill>
                </w14:textFill>
              </w:rPr>
              <w:t>100.8299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vMerge w:val="continue"/>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2272"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废焊渣</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t/a</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3.24</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sz w:val="21"/>
                <w:szCs w:val="21"/>
                <w:highlight w:val="none"/>
                <w:u w:val="none"/>
                <w:lang w:val="en-US" w:eastAsia="zh-CN"/>
                <w14:textFill>
                  <w14:solidFill>
                    <w14:schemeClr w14:val="tx1"/>
                  </w14:solidFill>
                </w14:textFill>
              </w:rPr>
              <w:t>2.4</w:t>
            </w: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5.64</w:t>
            </w:r>
          </w:p>
        </w:tc>
        <w:tc>
          <w:tcPr>
            <w:tcW w:w="1476"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+2.4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2" w:type="dxa"/>
            <w:vMerge w:val="continue"/>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2272"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生活垃圾</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t/a</w:t>
            </w:r>
            <w:r>
              <w:rPr>
                <w:rFonts w:hint="default" w:ascii="Times New Roman" w:hAnsi="Times New Roman" w:cs="Times New Roman"/>
                <w:snapToGrid w:val="0"/>
                <w:color w:val="000000" w:themeColor="text1"/>
                <w:kern w:val="21"/>
                <w:sz w:val="21"/>
                <w:szCs w:val="21"/>
                <w:highlight w:val="none"/>
                <w:lang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6</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14:textFill>
                  <w14:solidFill>
                    <w14:schemeClr w14:val="tx1"/>
                  </w14:solidFill>
                </w14:textFill>
              </w:rPr>
              <w:t>/</w:t>
            </w:r>
          </w:p>
        </w:tc>
        <w:tc>
          <w:tcPr>
            <w:tcW w:w="1473"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val="0"/>
                <w:bCs w:val="0"/>
                <w:color w:val="000000" w:themeColor="text1"/>
                <w:sz w:val="21"/>
                <w:szCs w:val="21"/>
                <w:highlight w:val="none"/>
                <w:u w:val="none"/>
                <w:lang w:val="en-US" w:eastAsia="zh-CN"/>
                <w14:textFill>
                  <w14:solidFill>
                    <w14:schemeClr w14:val="tx1"/>
                  </w14:solidFill>
                </w14:textFill>
              </w:rPr>
              <w:t>3</w:t>
            </w:r>
          </w:p>
        </w:tc>
        <w:tc>
          <w:tcPr>
            <w:tcW w:w="1473" w:type="dxa"/>
            <w:noWrap w:val="0"/>
            <w:vAlign w:val="center"/>
          </w:tcPr>
          <w:p>
            <w:pPr>
              <w:keepNext w:val="0"/>
              <w:keepLines w:val="0"/>
              <w:pageBreakBefore w:val="0"/>
              <w:kinsoku/>
              <w:wordWrap/>
              <w:overflowPunct/>
              <w:topLinePunct w:val="0"/>
              <w:autoSpaceDE/>
              <w:autoSpaceDN/>
              <w:bidi w:val="0"/>
              <w:adjustRightInd/>
              <w:snapToGrid/>
              <w:spacing w:line="320" w:lineRule="exact"/>
              <w:ind w:firstLine="0" w:firstLineChars="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t>0</w:t>
            </w:r>
          </w:p>
        </w:tc>
        <w:tc>
          <w:tcPr>
            <w:tcW w:w="1473"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9</w:t>
            </w:r>
          </w:p>
        </w:tc>
        <w:tc>
          <w:tcPr>
            <w:tcW w:w="1476" w:type="dxa"/>
            <w:noWrap w:val="0"/>
            <w:vAlign w:val="center"/>
          </w:tcPr>
          <w:p>
            <w:pPr>
              <w:pStyle w:val="34"/>
              <w:keepNext w:val="0"/>
              <w:keepLines w:val="0"/>
              <w:pageBreakBefore w:val="0"/>
              <w:widowControl w:val="0"/>
              <w:kinsoku/>
              <w:wordWrap/>
              <w:overflowPunct/>
              <w:topLinePunct w:val="0"/>
              <w:autoSpaceDE/>
              <w:autoSpaceDN/>
              <w:bidi w:val="0"/>
              <w:adjustRightInd/>
              <w:snapToGrid/>
              <w:spacing w:beforeLines="0" w:afterLines="0" w:line="320" w:lineRule="exact"/>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kern w:val="21"/>
                <w:sz w:val="21"/>
                <w:szCs w:val="21"/>
                <w:highlight w:val="none"/>
                <w:lang w:val="en-US" w:eastAsia="zh-CN" w:bidi="ar-SA"/>
                <w14:textFill>
                  <w14:solidFill>
                    <w14:schemeClr w14:val="tx1"/>
                  </w14:solidFill>
                </w14:textFill>
              </w:rPr>
              <w:t>+3</w:t>
            </w:r>
          </w:p>
        </w:tc>
      </w:tr>
    </w:tbl>
    <w:p>
      <w:pPr>
        <w:pStyle w:val="34"/>
        <w:spacing w:before="192" w:beforeLines="80" w:after="24"/>
        <w:jc w:val="left"/>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sectPr>
          <w:footerReference r:id="rId7" w:type="default"/>
          <w:pgSz w:w="16838" w:h="11906" w:orient="landscape"/>
          <w:pgMar w:top="1803" w:right="1440" w:bottom="1803" w:left="1440"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default" w:ascii="Times New Roman" w:hAnsi="Times New Roman" w:cs="Times New Roman"/>
          <w:snapToGrid w:val="0"/>
          <w:color w:val="000000" w:themeColor="text1"/>
          <w:kern w:val="21"/>
          <w:szCs w:val="21"/>
          <w:highlight w:val="none"/>
          <w14:textFill>
            <w14:solidFill>
              <w14:schemeClr w14:val="tx1"/>
            </w14:solidFill>
          </w14:textFill>
        </w:rPr>
        <w:t>注：</w: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instrText xml:space="preserve">=6\*GB3\*MERGEFORMAT</w:instrTex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⑥</w: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t>=</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instrText xml:space="preserve">=1\*GB3\*MERGEFORMAT</w:instrTex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①</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t>+</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instrText xml:space="preserve">=3\*GB3\*MERGEFORMAT</w:instrTex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③</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t>+</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instrText xml:space="preserve">=4\*GB3\*MERGEFORMAT</w:instrTex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④</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t>-</w: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instrText xml:space="preserve">=5\*GB3\*MERGEFORMAT</w:instrTex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⑤</w: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t>；</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instrText xml:space="preserve">=7\*GB3\*MERGEFORMAT</w:instrTex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⑦</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t>=</w: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instrText xml:space="preserve">=6\*GB3\*MERGEFORMAT</w:instrTex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⑥</w: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spacing w:val="-16"/>
          <w:kern w:val="21"/>
          <w:szCs w:val="21"/>
          <w:highlight w:val="none"/>
          <w:lang w:val="en-US" w:eastAsia="zh-CN"/>
          <w14:textFill>
            <w14:solidFill>
              <w14:schemeClr w14:val="tx1"/>
            </w14:solidFill>
          </w14:textFill>
        </w:rPr>
        <w:t>-</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instrText xml:space="preserve">=1\*GB3\*MERGEFORMAT</w:instrTex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①</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end"/>
      </w:r>
    </w:p>
    <w:p>
      <w:pPr>
        <w:rPr>
          <w:rFonts w:hint="eastAsia" w:eastAsia="宋体"/>
          <w:lang w:eastAsia="zh-CN"/>
        </w:rPr>
        <w:sectPr>
          <w:pgSz w:w="11906" w:h="16838"/>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59264" behindDoc="0" locked="0" layoutInCell="1" allowOverlap="1">
            <wp:simplePos x="0" y="0"/>
            <wp:positionH relativeFrom="column">
              <wp:posOffset>-1144905</wp:posOffset>
            </wp:positionH>
            <wp:positionV relativeFrom="paragraph">
              <wp:posOffset>-914400</wp:posOffset>
            </wp:positionV>
            <wp:extent cx="7576820" cy="10720705"/>
            <wp:effectExtent l="0" t="0" r="5080" b="4445"/>
            <wp:wrapSquare wrapText="bothSides"/>
            <wp:docPr id="3" name="图片 3" descr="2附图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附图_页面_1"/>
                    <pic:cNvPicPr>
                      <a:picLocks noChangeAspect="1"/>
                    </pic:cNvPicPr>
                  </pic:nvPicPr>
                  <pic:blipFill>
                    <a:blip r:embed="rId28"/>
                    <a:stretch>
                      <a:fillRect/>
                    </a:stretch>
                  </pic:blipFill>
                  <pic:spPr>
                    <a:xfrm>
                      <a:off x="0" y="0"/>
                      <a:ext cx="7576820" cy="10720705"/>
                    </a:xfrm>
                    <a:prstGeom prst="rect">
                      <a:avLst/>
                    </a:prstGeom>
                  </pic:spPr>
                </pic:pic>
              </a:graphicData>
            </a:graphic>
          </wp:anchor>
        </w:drawing>
      </w:r>
    </w:p>
    <w:p>
      <w:pPr>
        <w:pStyle w:val="2"/>
        <w:rPr>
          <w:rFonts w:hint="eastAsia" w:eastAsia="宋体"/>
          <w:lang w:eastAsia="zh-CN"/>
        </w:rPr>
        <w:sectPr>
          <w:pgSz w:w="16838" w:h="11906" w:orient="landscape"/>
          <w:pgMar w:top="1803" w:right="1440" w:bottom="1803" w:left="1440"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60288" behindDoc="0" locked="0" layoutInCell="1" allowOverlap="1">
            <wp:simplePos x="0" y="0"/>
            <wp:positionH relativeFrom="column">
              <wp:posOffset>-861695</wp:posOffset>
            </wp:positionH>
            <wp:positionV relativeFrom="paragraph">
              <wp:posOffset>-1096645</wp:posOffset>
            </wp:positionV>
            <wp:extent cx="10620375" cy="7506335"/>
            <wp:effectExtent l="0" t="0" r="9525" b="18415"/>
            <wp:wrapSquare wrapText="bothSides"/>
            <wp:docPr id="5" name="图片 5" descr="2附图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附图_页面_2"/>
                    <pic:cNvPicPr>
                      <a:picLocks noChangeAspect="1"/>
                    </pic:cNvPicPr>
                  </pic:nvPicPr>
                  <pic:blipFill>
                    <a:blip r:embed="rId29"/>
                    <a:stretch>
                      <a:fillRect/>
                    </a:stretch>
                  </pic:blipFill>
                  <pic:spPr>
                    <a:xfrm>
                      <a:off x="0" y="0"/>
                      <a:ext cx="10620375" cy="7506335"/>
                    </a:xfrm>
                    <a:prstGeom prst="rect">
                      <a:avLst/>
                    </a:prstGeom>
                  </pic:spPr>
                </pic:pic>
              </a:graphicData>
            </a:graphic>
          </wp:anchor>
        </w:drawing>
      </w:r>
    </w:p>
    <w:p>
      <w:pPr>
        <w:rPr>
          <w:rFonts w:hint="eastAsia" w:eastAsia="宋体"/>
          <w:lang w:eastAsia="zh-CN"/>
        </w:rPr>
        <w:sectPr>
          <w:pgSz w:w="16838" w:h="11906" w:orient="landscape"/>
          <w:pgMar w:top="1803" w:right="1440" w:bottom="1803" w:left="1440"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61312" behindDoc="0" locked="0" layoutInCell="1" allowOverlap="1">
            <wp:simplePos x="0" y="0"/>
            <wp:positionH relativeFrom="column">
              <wp:posOffset>-864870</wp:posOffset>
            </wp:positionH>
            <wp:positionV relativeFrom="paragraph">
              <wp:posOffset>-1131570</wp:posOffset>
            </wp:positionV>
            <wp:extent cx="10608310" cy="7497445"/>
            <wp:effectExtent l="0" t="0" r="2540" b="8255"/>
            <wp:wrapSquare wrapText="bothSides"/>
            <wp:docPr id="6" name="图片 6" descr="2附图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附图_页面_3"/>
                    <pic:cNvPicPr>
                      <a:picLocks noChangeAspect="1"/>
                    </pic:cNvPicPr>
                  </pic:nvPicPr>
                  <pic:blipFill>
                    <a:blip r:embed="rId30"/>
                    <a:stretch>
                      <a:fillRect/>
                    </a:stretch>
                  </pic:blipFill>
                  <pic:spPr>
                    <a:xfrm>
                      <a:off x="0" y="0"/>
                      <a:ext cx="10608310" cy="7497445"/>
                    </a:xfrm>
                    <a:prstGeom prst="rect">
                      <a:avLst/>
                    </a:prstGeom>
                  </pic:spPr>
                </pic:pic>
              </a:graphicData>
            </a:graphic>
          </wp:anchor>
        </w:drawing>
      </w:r>
    </w:p>
    <w:p>
      <w:pPr>
        <w:pStyle w:val="2"/>
        <w:rPr>
          <w:rFonts w:hint="eastAsia" w:eastAsia="宋体"/>
          <w:lang w:eastAsia="zh-CN"/>
        </w:rPr>
        <w:sectPr>
          <w:pgSz w:w="16838" w:h="11906" w:orient="landscape"/>
          <w:pgMar w:top="1803" w:right="1440" w:bottom="1803" w:left="1440"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62336" behindDoc="0" locked="0" layoutInCell="1" allowOverlap="1">
            <wp:simplePos x="0" y="0"/>
            <wp:positionH relativeFrom="column">
              <wp:posOffset>-912495</wp:posOffset>
            </wp:positionH>
            <wp:positionV relativeFrom="paragraph">
              <wp:posOffset>-1115695</wp:posOffset>
            </wp:positionV>
            <wp:extent cx="10640060" cy="7519670"/>
            <wp:effectExtent l="0" t="0" r="8890" b="5080"/>
            <wp:wrapSquare wrapText="bothSides"/>
            <wp:docPr id="7" name="图片 7" descr="2附图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附图_页面_4"/>
                    <pic:cNvPicPr>
                      <a:picLocks noChangeAspect="1"/>
                    </pic:cNvPicPr>
                  </pic:nvPicPr>
                  <pic:blipFill>
                    <a:blip r:embed="rId31"/>
                    <a:stretch>
                      <a:fillRect/>
                    </a:stretch>
                  </pic:blipFill>
                  <pic:spPr>
                    <a:xfrm>
                      <a:off x="0" y="0"/>
                      <a:ext cx="10640060" cy="7519670"/>
                    </a:xfrm>
                    <a:prstGeom prst="rect">
                      <a:avLst/>
                    </a:prstGeom>
                  </pic:spPr>
                </pic:pic>
              </a:graphicData>
            </a:graphic>
          </wp:anchor>
        </w:drawing>
      </w:r>
    </w:p>
    <w:p>
      <w:pPr>
        <w:rPr>
          <w:rFonts w:hint="eastAsia" w:eastAsia="宋体"/>
          <w:lang w:eastAsia="zh-CN"/>
        </w:rPr>
        <w:sectPr>
          <w:pgSz w:w="16838" w:h="11906" w:orient="landscape"/>
          <w:pgMar w:top="1803" w:right="1440" w:bottom="1803" w:left="1440"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63360" behindDoc="0" locked="0" layoutInCell="1" allowOverlap="1">
            <wp:simplePos x="0" y="0"/>
            <wp:positionH relativeFrom="column">
              <wp:posOffset>-864870</wp:posOffset>
            </wp:positionH>
            <wp:positionV relativeFrom="paragraph">
              <wp:posOffset>-1147445</wp:posOffset>
            </wp:positionV>
            <wp:extent cx="10671810" cy="7542530"/>
            <wp:effectExtent l="0" t="0" r="15240" b="1270"/>
            <wp:wrapSquare wrapText="bothSides"/>
            <wp:docPr id="8" name="图片 8" descr="2附图_页面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附图_页面_5"/>
                    <pic:cNvPicPr>
                      <a:picLocks noChangeAspect="1"/>
                    </pic:cNvPicPr>
                  </pic:nvPicPr>
                  <pic:blipFill>
                    <a:blip r:embed="rId32"/>
                    <a:stretch>
                      <a:fillRect/>
                    </a:stretch>
                  </pic:blipFill>
                  <pic:spPr>
                    <a:xfrm>
                      <a:off x="0" y="0"/>
                      <a:ext cx="10671810" cy="7542530"/>
                    </a:xfrm>
                    <a:prstGeom prst="rect">
                      <a:avLst/>
                    </a:prstGeom>
                  </pic:spPr>
                </pic:pic>
              </a:graphicData>
            </a:graphic>
          </wp:anchor>
        </w:drawing>
      </w:r>
    </w:p>
    <w:p>
      <w:pPr>
        <w:pStyle w:val="2"/>
        <w:rPr>
          <w:rFonts w:hint="eastAsia" w:eastAsia="宋体"/>
          <w:lang w:eastAsia="zh-CN"/>
        </w:rPr>
        <w:sectPr>
          <w:pgSz w:w="11906" w:h="16838"/>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64384" behindDoc="0" locked="0" layoutInCell="1" allowOverlap="1">
            <wp:simplePos x="0" y="0"/>
            <wp:positionH relativeFrom="column">
              <wp:posOffset>-1125855</wp:posOffset>
            </wp:positionH>
            <wp:positionV relativeFrom="paragraph">
              <wp:posOffset>-893445</wp:posOffset>
            </wp:positionV>
            <wp:extent cx="7503795" cy="10617200"/>
            <wp:effectExtent l="0" t="0" r="1905" b="12700"/>
            <wp:wrapSquare wrapText="bothSides"/>
            <wp:docPr id="9" name="图片 9" descr="2附图_页面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附图_页面_6"/>
                    <pic:cNvPicPr>
                      <a:picLocks noChangeAspect="1"/>
                    </pic:cNvPicPr>
                  </pic:nvPicPr>
                  <pic:blipFill>
                    <a:blip r:embed="rId33"/>
                    <a:stretch>
                      <a:fillRect/>
                    </a:stretch>
                  </pic:blipFill>
                  <pic:spPr>
                    <a:xfrm>
                      <a:off x="0" y="0"/>
                      <a:ext cx="7503795" cy="10617200"/>
                    </a:xfrm>
                    <a:prstGeom prst="rect">
                      <a:avLst/>
                    </a:prstGeom>
                  </pic:spPr>
                </pic:pic>
              </a:graphicData>
            </a:graphic>
          </wp:anchor>
        </w:drawing>
      </w:r>
    </w:p>
    <w:p>
      <w:pPr>
        <w:rPr>
          <w:rFonts w:hint="eastAsia" w:eastAsia="宋体"/>
          <w:lang w:eastAsia="zh-CN"/>
        </w:rPr>
        <w:sectPr>
          <w:pgSz w:w="11906" w:h="16838"/>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65408" behindDoc="0" locked="0" layoutInCell="1" allowOverlap="1">
            <wp:simplePos x="0" y="0"/>
            <wp:positionH relativeFrom="column">
              <wp:posOffset>-1144905</wp:posOffset>
            </wp:positionH>
            <wp:positionV relativeFrom="paragraph">
              <wp:posOffset>-914400</wp:posOffset>
            </wp:positionV>
            <wp:extent cx="7503160" cy="10616565"/>
            <wp:effectExtent l="0" t="0" r="2540" b="13335"/>
            <wp:wrapSquare wrapText="bothSides"/>
            <wp:docPr id="10" name="图片 10" descr="3附件_页面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3附件_页面_01"/>
                    <pic:cNvPicPr>
                      <a:picLocks noChangeAspect="1"/>
                    </pic:cNvPicPr>
                  </pic:nvPicPr>
                  <pic:blipFill>
                    <a:blip r:embed="rId34"/>
                    <a:stretch>
                      <a:fillRect/>
                    </a:stretch>
                  </pic:blipFill>
                  <pic:spPr>
                    <a:xfrm>
                      <a:off x="0" y="0"/>
                      <a:ext cx="7503160" cy="10616565"/>
                    </a:xfrm>
                    <a:prstGeom prst="rect">
                      <a:avLst/>
                    </a:prstGeom>
                  </pic:spPr>
                </pic:pic>
              </a:graphicData>
            </a:graphic>
          </wp:anchor>
        </w:drawing>
      </w:r>
    </w:p>
    <w:p>
      <w:pPr>
        <w:pStyle w:val="2"/>
        <w:rPr>
          <w:rFonts w:hint="eastAsia" w:eastAsia="宋体"/>
          <w:lang w:eastAsia="zh-CN"/>
        </w:rPr>
        <w:sectPr>
          <w:pgSz w:w="11906" w:h="16838"/>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66432" behindDoc="0" locked="0" layoutInCell="1" allowOverlap="1">
            <wp:simplePos x="0" y="0"/>
            <wp:positionH relativeFrom="column">
              <wp:posOffset>-1144905</wp:posOffset>
            </wp:positionH>
            <wp:positionV relativeFrom="paragraph">
              <wp:posOffset>-914400</wp:posOffset>
            </wp:positionV>
            <wp:extent cx="7550785" cy="10683875"/>
            <wp:effectExtent l="0" t="0" r="12065" b="3175"/>
            <wp:wrapSquare wrapText="bothSides"/>
            <wp:docPr id="11" name="图片 11" descr="3附件_页面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3附件_页面_03"/>
                    <pic:cNvPicPr>
                      <a:picLocks noChangeAspect="1"/>
                    </pic:cNvPicPr>
                  </pic:nvPicPr>
                  <pic:blipFill>
                    <a:blip r:embed="rId35"/>
                    <a:stretch>
                      <a:fillRect/>
                    </a:stretch>
                  </pic:blipFill>
                  <pic:spPr>
                    <a:xfrm>
                      <a:off x="0" y="0"/>
                      <a:ext cx="7550785" cy="10683875"/>
                    </a:xfrm>
                    <a:prstGeom prst="rect">
                      <a:avLst/>
                    </a:prstGeom>
                  </pic:spPr>
                </pic:pic>
              </a:graphicData>
            </a:graphic>
          </wp:anchor>
        </w:drawing>
      </w:r>
    </w:p>
    <w:p>
      <w:pPr>
        <w:rPr>
          <w:rFonts w:hint="eastAsia" w:eastAsia="宋体"/>
          <w:lang w:eastAsia="zh-CN"/>
        </w:rPr>
        <w:sectPr>
          <w:pgSz w:w="11906" w:h="16838"/>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67456" behindDoc="0" locked="0" layoutInCell="1" allowOverlap="1">
            <wp:simplePos x="0" y="0"/>
            <wp:positionH relativeFrom="column">
              <wp:posOffset>-1144905</wp:posOffset>
            </wp:positionH>
            <wp:positionV relativeFrom="paragraph">
              <wp:posOffset>-914400</wp:posOffset>
            </wp:positionV>
            <wp:extent cx="7550785" cy="10683875"/>
            <wp:effectExtent l="0" t="0" r="12065" b="3175"/>
            <wp:wrapSquare wrapText="bothSides"/>
            <wp:docPr id="12" name="图片 12" descr="3附件_页面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3附件_页面_05"/>
                    <pic:cNvPicPr>
                      <a:picLocks noChangeAspect="1"/>
                    </pic:cNvPicPr>
                  </pic:nvPicPr>
                  <pic:blipFill>
                    <a:blip r:embed="rId36"/>
                    <a:stretch>
                      <a:fillRect/>
                    </a:stretch>
                  </pic:blipFill>
                  <pic:spPr>
                    <a:xfrm>
                      <a:off x="0" y="0"/>
                      <a:ext cx="7550785" cy="10683875"/>
                    </a:xfrm>
                    <a:prstGeom prst="rect">
                      <a:avLst/>
                    </a:prstGeom>
                  </pic:spPr>
                </pic:pic>
              </a:graphicData>
            </a:graphic>
          </wp:anchor>
        </w:drawing>
      </w:r>
    </w:p>
    <w:p>
      <w:pPr>
        <w:pStyle w:val="2"/>
        <w:rPr>
          <w:rFonts w:hint="eastAsia" w:eastAsia="宋体"/>
          <w:lang w:eastAsia="zh-CN"/>
        </w:rPr>
        <w:sectPr>
          <w:pgSz w:w="11906" w:h="16838"/>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68480" behindDoc="0" locked="0" layoutInCell="1" allowOverlap="1">
            <wp:simplePos x="0" y="0"/>
            <wp:positionH relativeFrom="column">
              <wp:posOffset>-1144905</wp:posOffset>
            </wp:positionH>
            <wp:positionV relativeFrom="paragraph">
              <wp:posOffset>-914400</wp:posOffset>
            </wp:positionV>
            <wp:extent cx="7479665" cy="10582910"/>
            <wp:effectExtent l="0" t="0" r="6985" b="8890"/>
            <wp:wrapSquare wrapText="bothSides"/>
            <wp:docPr id="13" name="图片 13" descr="3附件_页面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3附件_页面_06"/>
                    <pic:cNvPicPr>
                      <a:picLocks noChangeAspect="1"/>
                    </pic:cNvPicPr>
                  </pic:nvPicPr>
                  <pic:blipFill>
                    <a:blip r:embed="rId37"/>
                    <a:stretch>
                      <a:fillRect/>
                    </a:stretch>
                  </pic:blipFill>
                  <pic:spPr>
                    <a:xfrm>
                      <a:off x="0" y="0"/>
                      <a:ext cx="7479665" cy="10582910"/>
                    </a:xfrm>
                    <a:prstGeom prst="rect">
                      <a:avLst/>
                    </a:prstGeom>
                  </pic:spPr>
                </pic:pic>
              </a:graphicData>
            </a:graphic>
          </wp:anchor>
        </w:drawing>
      </w:r>
    </w:p>
    <w:p>
      <w:pPr>
        <w:rPr>
          <w:rFonts w:hint="eastAsia" w:eastAsia="宋体"/>
          <w:lang w:eastAsia="zh-CN"/>
        </w:rPr>
        <w:sectPr>
          <w:pgSz w:w="11906" w:h="16838"/>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69504" behindDoc="0" locked="0" layoutInCell="1" allowOverlap="1">
            <wp:simplePos x="0" y="0"/>
            <wp:positionH relativeFrom="column">
              <wp:posOffset>-1144905</wp:posOffset>
            </wp:positionH>
            <wp:positionV relativeFrom="paragraph">
              <wp:posOffset>-914400</wp:posOffset>
            </wp:positionV>
            <wp:extent cx="7598410" cy="10751185"/>
            <wp:effectExtent l="0" t="0" r="2540" b="12065"/>
            <wp:wrapSquare wrapText="bothSides"/>
            <wp:docPr id="14" name="图片 14" descr="3附件_页面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附件_页面_07"/>
                    <pic:cNvPicPr>
                      <a:picLocks noChangeAspect="1"/>
                    </pic:cNvPicPr>
                  </pic:nvPicPr>
                  <pic:blipFill>
                    <a:blip r:embed="rId38"/>
                    <a:stretch>
                      <a:fillRect/>
                    </a:stretch>
                  </pic:blipFill>
                  <pic:spPr>
                    <a:xfrm>
                      <a:off x="0" y="0"/>
                      <a:ext cx="7598410" cy="10751185"/>
                    </a:xfrm>
                    <a:prstGeom prst="rect">
                      <a:avLst/>
                    </a:prstGeom>
                  </pic:spPr>
                </pic:pic>
              </a:graphicData>
            </a:graphic>
          </wp:anchor>
        </w:drawing>
      </w:r>
    </w:p>
    <w:p>
      <w:pPr>
        <w:pStyle w:val="2"/>
        <w:rPr>
          <w:rFonts w:hint="eastAsia" w:eastAsia="宋体"/>
          <w:lang w:eastAsia="zh-CN"/>
        </w:rPr>
        <w:sectPr>
          <w:pgSz w:w="11906" w:h="16838"/>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70528" behindDoc="0" locked="0" layoutInCell="1" allowOverlap="1">
            <wp:simplePos x="0" y="0"/>
            <wp:positionH relativeFrom="column">
              <wp:posOffset>-1144905</wp:posOffset>
            </wp:positionH>
            <wp:positionV relativeFrom="paragraph">
              <wp:posOffset>-914400</wp:posOffset>
            </wp:positionV>
            <wp:extent cx="7526020" cy="10648315"/>
            <wp:effectExtent l="0" t="0" r="17780" b="635"/>
            <wp:wrapSquare wrapText="bothSides"/>
            <wp:docPr id="15" name="图片 15" descr="3附件_页面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3附件_页面_09"/>
                    <pic:cNvPicPr>
                      <a:picLocks noChangeAspect="1"/>
                    </pic:cNvPicPr>
                  </pic:nvPicPr>
                  <pic:blipFill>
                    <a:blip r:embed="rId39"/>
                    <a:stretch>
                      <a:fillRect/>
                    </a:stretch>
                  </pic:blipFill>
                  <pic:spPr>
                    <a:xfrm>
                      <a:off x="0" y="0"/>
                      <a:ext cx="7526020" cy="10648315"/>
                    </a:xfrm>
                    <a:prstGeom prst="rect">
                      <a:avLst/>
                    </a:prstGeom>
                  </pic:spPr>
                </pic:pic>
              </a:graphicData>
            </a:graphic>
          </wp:anchor>
        </w:drawing>
      </w:r>
    </w:p>
    <w:p>
      <w:pPr>
        <w:rPr>
          <w:rFonts w:hint="eastAsia" w:eastAsia="宋体"/>
          <w:lang w:eastAsia="zh-CN"/>
        </w:rPr>
        <w:sectPr>
          <w:pgSz w:w="11906" w:h="16838"/>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71552" behindDoc="0" locked="0" layoutInCell="1" allowOverlap="1">
            <wp:simplePos x="0" y="0"/>
            <wp:positionH relativeFrom="column">
              <wp:posOffset>-1144905</wp:posOffset>
            </wp:positionH>
            <wp:positionV relativeFrom="paragraph">
              <wp:posOffset>-914400</wp:posOffset>
            </wp:positionV>
            <wp:extent cx="7526655" cy="10649585"/>
            <wp:effectExtent l="0" t="0" r="17145" b="18415"/>
            <wp:wrapSquare wrapText="bothSides"/>
            <wp:docPr id="16" name="图片 16" descr="3附件_页面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3附件_页面_10"/>
                    <pic:cNvPicPr>
                      <a:picLocks noChangeAspect="1"/>
                    </pic:cNvPicPr>
                  </pic:nvPicPr>
                  <pic:blipFill>
                    <a:blip r:embed="rId40"/>
                    <a:stretch>
                      <a:fillRect/>
                    </a:stretch>
                  </pic:blipFill>
                  <pic:spPr>
                    <a:xfrm>
                      <a:off x="0" y="0"/>
                      <a:ext cx="7526655" cy="10649585"/>
                    </a:xfrm>
                    <a:prstGeom prst="rect">
                      <a:avLst/>
                    </a:prstGeom>
                  </pic:spPr>
                </pic:pic>
              </a:graphicData>
            </a:graphic>
          </wp:anchor>
        </w:drawing>
      </w:r>
    </w:p>
    <w:p>
      <w:pPr>
        <w:pStyle w:val="2"/>
        <w:rPr>
          <w:rFonts w:hint="eastAsia" w:eastAsia="宋体"/>
          <w:lang w:eastAsia="zh-CN"/>
        </w:rPr>
        <w:sectPr>
          <w:pgSz w:w="11906" w:h="16838"/>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72576" behindDoc="0" locked="0" layoutInCell="1" allowOverlap="1">
            <wp:simplePos x="0" y="0"/>
            <wp:positionH relativeFrom="column">
              <wp:posOffset>-1144905</wp:posOffset>
            </wp:positionH>
            <wp:positionV relativeFrom="paragraph">
              <wp:posOffset>-914400</wp:posOffset>
            </wp:positionV>
            <wp:extent cx="7550785" cy="10683875"/>
            <wp:effectExtent l="0" t="0" r="12065" b="3175"/>
            <wp:wrapSquare wrapText="bothSides"/>
            <wp:docPr id="17" name="图片 17" descr="3附件_页面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3附件_页面_11"/>
                    <pic:cNvPicPr>
                      <a:picLocks noChangeAspect="1"/>
                    </pic:cNvPicPr>
                  </pic:nvPicPr>
                  <pic:blipFill>
                    <a:blip r:embed="rId41"/>
                    <a:stretch>
                      <a:fillRect/>
                    </a:stretch>
                  </pic:blipFill>
                  <pic:spPr>
                    <a:xfrm>
                      <a:off x="0" y="0"/>
                      <a:ext cx="7550785" cy="10683875"/>
                    </a:xfrm>
                    <a:prstGeom prst="rect">
                      <a:avLst/>
                    </a:prstGeom>
                  </pic:spPr>
                </pic:pic>
              </a:graphicData>
            </a:graphic>
          </wp:anchor>
        </w:drawing>
      </w:r>
    </w:p>
    <w:p>
      <w:pPr>
        <w:rPr>
          <w:rFonts w:hint="eastAsia" w:eastAsia="宋体"/>
          <w:lang w:eastAsia="zh-CN"/>
        </w:rPr>
        <w:sectPr>
          <w:pgSz w:w="11906" w:h="16838"/>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73600" behindDoc="0" locked="0" layoutInCell="1" allowOverlap="1">
            <wp:simplePos x="0" y="0"/>
            <wp:positionH relativeFrom="column">
              <wp:posOffset>-1144905</wp:posOffset>
            </wp:positionH>
            <wp:positionV relativeFrom="paragraph">
              <wp:posOffset>-914400</wp:posOffset>
            </wp:positionV>
            <wp:extent cx="7550785" cy="10683875"/>
            <wp:effectExtent l="0" t="0" r="12065" b="3175"/>
            <wp:wrapSquare wrapText="bothSides"/>
            <wp:docPr id="18" name="图片 18" descr="3附件_页面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3附件_页面_13"/>
                    <pic:cNvPicPr>
                      <a:picLocks noChangeAspect="1"/>
                    </pic:cNvPicPr>
                  </pic:nvPicPr>
                  <pic:blipFill>
                    <a:blip r:embed="rId42"/>
                    <a:stretch>
                      <a:fillRect/>
                    </a:stretch>
                  </pic:blipFill>
                  <pic:spPr>
                    <a:xfrm>
                      <a:off x="0" y="0"/>
                      <a:ext cx="7550785" cy="10683875"/>
                    </a:xfrm>
                    <a:prstGeom prst="rect">
                      <a:avLst/>
                    </a:prstGeom>
                  </pic:spPr>
                </pic:pic>
              </a:graphicData>
            </a:graphic>
          </wp:anchor>
        </w:drawing>
      </w:r>
    </w:p>
    <w:p>
      <w:pPr>
        <w:pStyle w:val="2"/>
        <w:rPr>
          <w:rFonts w:hint="eastAsia" w:eastAsia="宋体"/>
          <w:lang w:eastAsia="zh-CN"/>
        </w:rPr>
        <w:sectPr>
          <w:pgSz w:w="11906" w:h="16838"/>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74624" behindDoc="0" locked="0" layoutInCell="1" allowOverlap="1">
            <wp:simplePos x="0" y="0"/>
            <wp:positionH relativeFrom="column">
              <wp:posOffset>-1144905</wp:posOffset>
            </wp:positionH>
            <wp:positionV relativeFrom="paragraph">
              <wp:posOffset>-914400</wp:posOffset>
            </wp:positionV>
            <wp:extent cx="7550785" cy="10683875"/>
            <wp:effectExtent l="0" t="0" r="12065" b="3175"/>
            <wp:wrapSquare wrapText="bothSides"/>
            <wp:docPr id="19" name="图片 19" descr="3附件_页面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3附件_页面_14"/>
                    <pic:cNvPicPr>
                      <a:picLocks noChangeAspect="1"/>
                    </pic:cNvPicPr>
                  </pic:nvPicPr>
                  <pic:blipFill>
                    <a:blip r:embed="rId43"/>
                    <a:stretch>
                      <a:fillRect/>
                    </a:stretch>
                  </pic:blipFill>
                  <pic:spPr>
                    <a:xfrm>
                      <a:off x="0" y="0"/>
                      <a:ext cx="7550785" cy="10683875"/>
                    </a:xfrm>
                    <a:prstGeom prst="rect">
                      <a:avLst/>
                    </a:prstGeom>
                  </pic:spPr>
                </pic:pic>
              </a:graphicData>
            </a:graphic>
          </wp:anchor>
        </w:drawing>
      </w:r>
    </w:p>
    <w:p>
      <w:pPr>
        <w:rPr>
          <w:rFonts w:hint="eastAsia" w:eastAsia="宋体"/>
          <w:lang w:eastAsia="zh-CN"/>
        </w:rPr>
        <w:sectPr>
          <w:pgSz w:w="11906" w:h="16838"/>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75648" behindDoc="0" locked="0" layoutInCell="1" allowOverlap="1">
            <wp:simplePos x="0" y="0"/>
            <wp:positionH relativeFrom="column">
              <wp:posOffset>-1144905</wp:posOffset>
            </wp:positionH>
            <wp:positionV relativeFrom="paragraph">
              <wp:posOffset>-914400</wp:posOffset>
            </wp:positionV>
            <wp:extent cx="7550785" cy="10683875"/>
            <wp:effectExtent l="0" t="0" r="12065" b="3175"/>
            <wp:wrapSquare wrapText="bothSides"/>
            <wp:docPr id="20" name="图片 20" descr="3附件_页面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3附件_页面_15"/>
                    <pic:cNvPicPr>
                      <a:picLocks noChangeAspect="1"/>
                    </pic:cNvPicPr>
                  </pic:nvPicPr>
                  <pic:blipFill>
                    <a:blip r:embed="rId44"/>
                    <a:stretch>
                      <a:fillRect/>
                    </a:stretch>
                  </pic:blipFill>
                  <pic:spPr>
                    <a:xfrm>
                      <a:off x="0" y="0"/>
                      <a:ext cx="7550785" cy="10683875"/>
                    </a:xfrm>
                    <a:prstGeom prst="rect">
                      <a:avLst/>
                    </a:prstGeom>
                  </pic:spPr>
                </pic:pic>
              </a:graphicData>
            </a:graphic>
          </wp:anchor>
        </w:drawing>
      </w:r>
    </w:p>
    <w:p>
      <w:pPr>
        <w:pStyle w:val="2"/>
        <w:rPr>
          <w:rFonts w:hint="eastAsia" w:eastAsia="宋体"/>
          <w:lang w:eastAsia="zh-CN"/>
        </w:rPr>
        <w:sectPr>
          <w:pgSz w:w="11906" w:h="16838"/>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76672" behindDoc="0" locked="0" layoutInCell="1" allowOverlap="1">
            <wp:simplePos x="0" y="0"/>
            <wp:positionH relativeFrom="column">
              <wp:posOffset>-1144905</wp:posOffset>
            </wp:positionH>
            <wp:positionV relativeFrom="paragraph">
              <wp:posOffset>-914400</wp:posOffset>
            </wp:positionV>
            <wp:extent cx="7574280" cy="10716895"/>
            <wp:effectExtent l="0" t="0" r="7620" b="8255"/>
            <wp:wrapSquare wrapText="bothSides"/>
            <wp:docPr id="21" name="图片 21" descr="3附件_页面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3附件_页面_16"/>
                    <pic:cNvPicPr>
                      <a:picLocks noChangeAspect="1"/>
                    </pic:cNvPicPr>
                  </pic:nvPicPr>
                  <pic:blipFill>
                    <a:blip r:embed="rId45"/>
                    <a:stretch>
                      <a:fillRect/>
                    </a:stretch>
                  </pic:blipFill>
                  <pic:spPr>
                    <a:xfrm>
                      <a:off x="0" y="0"/>
                      <a:ext cx="7574280" cy="10716895"/>
                    </a:xfrm>
                    <a:prstGeom prst="rect">
                      <a:avLst/>
                    </a:prstGeom>
                  </pic:spPr>
                </pic:pic>
              </a:graphicData>
            </a:graphic>
          </wp:anchor>
        </w:drawing>
      </w:r>
    </w:p>
    <w:p>
      <w:pPr>
        <w:rPr>
          <w:rFonts w:hint="eastAsia" w:eastAsia="宋体"/>
          <w:lang w:eastAsia="zh-CN"/>
        </w:rPr>
        <w:sectPr>
          <w:pgSz w:w="11906" w:h="16838"/>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77696" behindDoc="0" locked="0" layoutInCell="1" allowOverlap="1">
            <wp:simplePos x="0" y="0"/>
            <wp:positionH relativeFrom="column">
              <wp:posOffset>-1144905</wp:posOffset>
            </wp:positionH>
            <wp:positionV relativeFrom="paragraph">
              <wp:posOffset>-914400</wp:posOffset>
            </wp:positionV>
            <wp:extent cx="7550785" cy="10683875"/>
            <wp:effectExtent l="0" t="0" r="12065" b="3175"/>
            <wp:wrapSquare wrapText="bothSides"/>
            <wp:docPr id="22" name="图片 22" descr="3附件_页面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附件_页面_17"/>
                    <pic:cNvPicPr>
                      <a:picLocks noChangeAspect="1"/>
                    </pic:cNvPicPr>
                  </pic:nvPicPr>
                  <pic:blipFill>
                    <a:blip r:embed="rId46"/>
                    <a:stretch>
                      <a:fillRect/>
                    </a:stretch>
                  </pic:blipFill>
                  <pic:spPr>
                    <a:xfrm>
                      <a:off x="0" y="0"/>
                      <a:ext cx="7550785" cy="10683875"/>
                    </a:xfrm>
                    <a:prstGeom prst="rect">
                      <a:avLst/>
                    </a:prstGeom>
                  </pic:spPr>
                </pic:pic>
              </a:graphicData>
            </a:graphic>
          </wp:anchor>
        </w:drawing>
      </w:r>
    </w:p>
    <w:p>
      <w:pPr>
        <w:pStyle w:val="2"/>
        <w:rPr>
          <w:rFonts w:hint="eastAsia" w:eastAsia="宋体"/>
          <w:lang w:eastAsia="zh-CN"/>
        </w:rPr>
        <w:sectPr>
          <w:pgSz w:w="11906" w:h="16838"/>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78720" behindDoc="0" locked="0" layoutInCell="1" allowOverlap="1">
            <wp:simplePos x="0" y="0"/>
            <wp:positionH relativeFrom="column">
              <wp:posOffset>-1144905</wp:posOffset>
            </wp:positionH>
            <wp:positionV relativeFrom="paragraph">
              <wp:posOffset>-914400</wp:posOffset>
            </wp:positionV>
            <wp:extent cx="7550785" cy="10683875"/>
            <wp:effectExtent l="0" t="0" r="12065" b="3175"/>
            <wp:wrapSquare wrapText="bothSides"/>
            <wp:docPr id="23" name="图片 23" descr="3附件_页面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3附件_页面_18"/>
                    <pic:cNvPicPr>
                      <a:picLocks noChangeAspect="1"/>
                    </pic:cNvPicPr>
                  </pic:nvPicPr>
                  <pic:blipFill>
                    <a:blip r:embed="rId47"/>
                    <a:stretch>
                      <a:fillRect/>
                    </a:stretch>
                  </pic:blipFill>
                  <pic:spPr>
                    <a:xfrm>
                      <a:off x="0" y="0"/>
                      <a:ext cx="7550785" cy="10683875"/>
                    </a:xfrm>
                    <a:prstGeom prst="rect">
                      <a:avLst/>
                    </a:prstGeom>
                  </pic:spPr>
                </pic:pic>
              </a:graphicData>
            </a:graphic>
          </wp:anchor>
        </w:drawing>
      </w:r>
    </w:p>
    <w:p>
      <w:pPr>
        <w:pStyle w:val="2"/>
        <w:rPr>
          <w:rFonts w:hint="eastAsia" w:eastAsia="宋体"/>
          <w:lang w:eastAsia="zh-CN"/>
        </w:rPr>
        <w:sectPr>
          <w:pgSz w:w="11906" w:h="16838"/>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79744" behindDoc="0" locked="0" layoutInCell="1" allowOverlap="1">
            <wp:simplePos x="0" y="0"/>
            <wp:positionH relativeFrom="column">
              <wp:posOffset>-1144905</wp:posOffset>
            </wp:positionH>
            <wp:positionV relativeFrom="paragraph">
              <wp:posOffset>-914400</wp:posOffset>
            </wp:positionV>
            <wp:extent cx="7598410" cy="10751185"/>
            <wp:effectExtent l="0" t="0" r="2540" b="12065"/>
            <wp:wrapSquare wrapText="bothSides"/>
            <wp:docPr id="24" name="图片 24" descr="3附件_页面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3附件_页面_19"/>
                    <pic:cNvPicPr>
                      <a:picLocks noChangeAspect="1"/>
                    </pic:cNvPicPr>
                  </pic:nvPicPr>
                  <pic:blipFill>
                    <a:blip r:embed="rId48"/>
                    <a:stretch>
                      <a:fillRect/>
                    </a:stretch>
                  </pic:blipFill>
                  <pic:spPr>
                    <a:xfrm>
                      <a:off x="0" y="0"/>
                      <a:ext cx="7598410" cy="10751185"/>
                    </a:xfrm>
                    <a:prstGeom prst="rect">
                      <a:avLst/>
                    </a:prstGeom>
                  </pic:spPr>
                </pic:pic>
              </a:graphicData>
            </a:graphic>
          </wp:anchor>
        </w:drawing>
      </w:r>
    </w:p>
    <w:p>
      <w:pPr>
        <w:rPr>
          <w:rFonts w:hint="eastAsia" w:eastAsia="宋体"/>
          <w:lang w:eastAsia="zh-CN"/>
        </w:rPr>
        <w:sectPr>
          <w:pgSz w:w="11906" w:h="16838"/>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80768" behindDoc="0" locked="0" layoutInCell="1" allowOverlap="1">
            <wp:simplePos x="0" y="0"/>
            <wp:positionH relativeFrom="column">
              <wp:posOffset>-1144905</wp:posOffset>
            </wp:positionH>
            <wp:positionV relativeFrom="paragraph">
              <wp:posOffset>-914400</wp:posOffset>
            </wp:positionV>
            <wp:extent cx="7526655" cy="10649585"/>
            <wp:effectExtent l="0" t="0" r="17145" b="18415"/>
            <wp:wrapSquare wrapText="bothSides"/>
            <wp:docPr id="25" name="图片 25" descr="3附件_页面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3附件_页面_20"/>
                    <pic:cNvPicPr>
                      <a:picLocks noChangeAspect="1"/>
                    </pic:cNvPicPr>
                  </pic:nvPicPr>
                  <pic:blipFill>
                    <a:blip r:embed="rId49"/>
                    <a:stretch>
                      <a:fillRect/>
                    </a:stretch>
                  </pic:blipFill>
                  <pic:spPr>
                    <a:xfrm>
                      <a:off x="0" y="0"/>
                      <a:ext cx="7526655" cy="10649585"/>
                    </a:xfrm>
                    <a:prstGeom prst="rect">
                      <a:avLst/>
                    </a:prstGeom>
                  </pic:spPr>
                </pic:pic>
              </a:graphicData>
            </a:graphic>
          </wp:anchor>
        </w:drawing>
      </w:r>
    </w:p>
    <w:p>
      <w:pPr>
        <w:pStyle w:val="2"/>
        <w:rPr>
          <w:rFonts w:hint="eastAsia" w:eastAsia="宋体"/>
          <w:lang w:eastAsia="zh-CN"/>
        </w:rPr>
        <w:sectPr>
          <w:pgSz w:w="11906" w:h="16838"/>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81792" behindDoc="0" locked="0" layoutInCell="1" allowOverlap="1">
            <wp:simplePos x="0" y="0"/>
            <wp:positionH relativeFrom="column">
              <wp:posOffset>-1144905</wp:posOffset>
            </wp:positionH>
            <wp:positionV relativeFrom="paragraph">
              <wp:posOffset>-914400</wp:posOffset>
            </wp:positionV>
            <wp:extent cx="7598410" cy="10751185"/>
            <wp:effectExtent l="0" t="0" r="2540" b="12065"/>
            <wp:wrapSquare wrapText="bothSides"/>
            <wp:docPr id="26" name="图片 26" descr="3附件_页面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3附件_页面_21"/>
                    <pic:cNvPicPr>
                      <a:picLocks noChangeAspect="1"/>
                    </pic:cNvPicPr>
                  </pic:nvPicPr>
                  <pic:blipFill>
                    <a:blip r:embed="rId50"/>
                    <a:stretch>
                      <a:fillRect/>
                    </a:stretch>
                  </pic:blipFill>
                  <pic:spPr>
                    <a:xfrm>
                      <a:off x="0" y="0"/>
                      <a:ext cx="7598410" cy="10751185"/>
                    </a:xfrm>
                    <a:prstGeom prst="rect">
                      <a:avLst/>
                    </a:prstGeom>
                  </pic:spPr>
                </pic:pic>
              </a:graphicData>
            </a:graphic>
          </wp:anchor>
        </w:drawing>
      </w:r>
    </w:p>
    <w:p>
      <w:pPr>
        <w:rPr>
          <w:rFonts w:hint="eastAsia" w:eastAsia="宋体"/>
          <w:lang w:eastAsia="zh-CN"/>
        </w:rPr>
        <w:sectPr>
          <w:pgSz w:w="11906" w:h="16838"/>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eastAsia" w:eastAsia="宋体"/>
          <w:lang w:eastAsia="zh-CN"/>
        </w:rPr>
        <w:drawing>
          <wp:anchor distT="0" distB="0" distL="114300" distR="114300" simplePos="0" relativeHeight="251682816" behindDoc="0" locked="0" layoutInCell="1" allowOverlap="1">
            <wp:simplePos x="0" y="0"/>
            <wp:positionH relativeFrom="column">
              <wp:posOffset>-1144905</wp:posOffset>
            </wp:positionH>
            <wp:positionV relativeFrom="paragraph">
              <wp:posOffset>-914400</wp:posOffset>
            </wp:positionV>
            <wp:extent cx="7526020" cy="10648315"/>
            <wp:effectExtent l="0" t="0" r="17780" b="635"/>
            <wp:wrapSquare wrapText="bothSides"/>
            <wp:docPr id="27" name="图片 27" descr="3附件_页面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3附件_页面_22"/>
                    <pic:cNvPicPr>
                      <a:picLocks noChangeAspect="1"/>
                    </pic:cNvPicPr>
                  </pic:nvPicPr>
                  <pic:blipFill>
                    <a:blip r:embed="rId51"/>
                    <a:stretch>
                      <a:fillRect/>
                    </a:stretch>
                  </pic:blipFill>
                  <pic:spPr>
                    <a:xfrm>
                      <a:off x="0" y="0"/>
                      <a:ext cx="7526020" cy="10648315"/>
                    </a:xfrm>
                    <a:prstGeom prst="rect">
                      <a:avLst/>
                    </a:prstGeom>
                  </pic:spPr>
                </pic:pic>
              </a:graphicData>
            </a:graphic>
          </wp:anchor>
        </w:drawing>
      </w:r>
    </w:p>
    <w:p>
      <w:pPr>
        <w:rPr>
          <w:rFonts w:hint="default"/>
        </w:rPr>
      </w:pPr>
    </w:p>
    <w:sectPr>
      <w:pgSz w:w="11906" w:h="16838"/>
      <w:pgMar w:top="1440" w:right="1803" w:bottom="1440" w:left="1803"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modern"/>
    <w:pitch w:val="default"/>
    <w:sig w:usb0="800002BF" w:usb1="38CF7CFA" w:usb2="00000016" w:usb3="00000000" w:csb0="00040001" w:csb1="00000000"/>
  </w:font>
  <w:font w:name="MingLiU">
    <w:panose1 w:val="02020509000000000000"/>
    <w:charset w:val="88"/>
    <w:family w:val="modern"/>
    <w:pitch w:val="default"/>
    <w:sig w:usb0="A00002FF" w:usb1="28CFFCFA" w:usb2="00000016" w:usb3="00000000" w:csb0="00100001" w:csb1="00000000"/>
  </w:font>
  <w:font w:name="Wingdings 2">
    <w:panose1 w:val="05020102010507070707"/>
    <w:charset w:val="02"/>
    <w:family w:val="roman"/>
    <w:pitch w:val="default"/>
    <w:sig w:usb0="00000000" w:usb1="00000000" w:usb2="00000000" w:usb3="00000000" w:csb0="80000000" w:csb1="00000000"/>
  </w:font>
  <w:font w:name="MS Mincho">
    <w:panose1 w:val="02020609040205080304"/>
    <w:charset w:val="80"/>
    <w:family w:val="modern"/>
    <w:pitch w:val="default"/>
    <w:sig w:usb0="E00002FF" w:usb1="6AC7FDFB" w:usb2="00000012" w:usb3="00000000" w:csb0="4002009F" w:csb1="DFD70000"/>
  </w:font>
  <w:font w:name="方正小标宋_GBK">
    <w:altName w:val="Arial Unicode MS"/>
    <w:panose1 w:val="03000509000000000000"/>
    <w:charset w:val="86"/>
    <w:family w:val="script"/>
    <w:pitch w:val="default"/>
    <w:sig w:usb0="00000000" w:usb1="00000000" w:usb2="00000000" w:usb3="00000000" w:csb0="00040000" w:csb1="00000000"/>
  </w:font>
  <w:font w:name="PMingLiU">
    <w:panose1 w:val="02020500000000000000"/>
    <w:charset w:val="88"/>
    <w:family w:val="auto"/>
    <w:pitch w:val="default"/>
    <w:sig w:usb0="A00002FF" w:usb1="28CFFCFA" w:usb2="00000016" w:usb3="00000000" w:csb0="0010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rPr>
                              <w:rStyle w:val="24"/>
                              <w:rFonts w:ascii="宋体" w:hAnsi="宋体"/>
                              <w:sz w:val="28"/>
                              <w:szCs w:val="28"/>
                            </w:rPr>
                          </w:pPr>
                          <w:r>
                            <w:rPr>
                              <w:rStyle w:val="24"/>
                              <w:rFonts w:hint="eastAsia" w:ascii="宋体" w:hAnsi="宋体"/>
                              <w:sz w:val="28"/>
                              <w:szCs w:val="28"/>
                            </w:rPr>
                            <w:t>—</w:t>
                          </w:r>
                          <w:r>
                            <w:rPr>
                              <w:rStyle w:val="24"/>
                              <w:rFonts w:hint="eastAsia" w:ascii="宋体" w:hAnsi="宋体"/>
                              <w:sz w:val="20"/>
                            </w:rPr>
                            <w:t xml:space="preserve">  </w:t>
                          </w:r>
                          <w:r>
                            <w:rPr>
                              <w:rFonts w:ascii="宋体" w:hAnsi="宋体"/>
                              <w:sz w:val="26"/>
                              <w:szCs w:val="26"/>
                            </w:rPr>
                            <w:fldChar w:fldCharType="begin"/>
                          </w:r>
                          <w:r>
                            <w:rPr>
                              <w:rStyle w:val="24"/>
                              <w:rFonts w:ascii="宋体" w:hAnsi="宋体"/>
                              <w:sz w:val="26"/>
                              <w:szCs w:val="26"/>
                            </w:rPr>
                            <w:instrText xml:space="preserve">PAGE  </w:instrText>
                          </w:r>
                          <w:r>
                            <w:rPr>
                              <w:rFonts w:ascii="宋体" w:hAnsi="宋体"/>
                              <w:sz w:val="26"/>
                              <w:szCs w:val="26"/>
                            </w:rPr>
                            <w:fldChar w:fldCharType="separate"/>
                          </w:r>
                          <w:r>
                            <w:rPr>
                              <w:rStyle w:val="24"/>
                              <w:rFonts w:ascii="宋体" w:hAnsi="宋体"/>
                              <w:sz w:val="26"/>
                              <w:szCs w:val="26"/>
                            </w:rPr>
                            <w:t>23</w:t>
                          </w:r>
                          <w:r>
                            <w:rPr>
                              <w:rFonts w:ascii="宋体" w:hAnsi="宋体"/>
                              <w:sz w:val="26"/>
                              <w:szCs w:val="26"/>
                            </w:rPr>
                            <w:fldChar w:fldCharType="end"/>
                          </w:r>
                          <w:r>
                            <w:rPr>
                              <w:rStyle w:val="24"/>
                              <w:rFonts w:hint="eastAsia" w:ascii="宋体" w:hAnsi="宋体"/>
                              <w:sz w:val="20"/>
                            </w:rPr>
                            <w:t xml:space="preserve">  </w:t>
                          </w:r>
                          <w:r>
                            <w:rPr>
                              <w:rStyle w:val="24"/>
                              <w:rFonts w:hint="eastAsia" w:ascii="宋体" w:hAnsi="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4"/>
                      <w:rPr>
                        <w:rStyle w:val="24"/>
                        <w:rFonts w:ascii="宋体" w:hAnsi="宋体"/>
                        <w:sz w:val="28"/>
                        <w:szCs w:val="28"/>
                      </w:rPr>
                    </w:pPr>
                    <w:r>
                      <w:rPr>
                        <w:rStyle w:val="24"/>
                        <w:rFonts w:hint="eastAsia" w:ascii="宋体" w:hAnsi="宋体"/>
                        <w:sz w:val="28"/>
                        <w:szCs w:val="28"/>
                      </w:rPr>
                      <w:t>—</w:t>
                    </w:r>
                    <w:r>
                      <w:rPr>
                        <w:rStyle w:val="24"/>
                        <w:rFonts w:hint="eastAsia" w:ascii="宋体" w:hAnsi="宋体"/>
                        <w:sz w:val="20"/>
                      </w:rPr>
                      <w:t xml:space="preserve">  </w:t>
                    </w:r>
                    <w:r>
                      <w:rPr>
                        <w:rFonts w:ascii="宋体" w:hAnsi="宋体"/>
                        <w:sz w:val="26"/>
                        <w:szCs w:val="26"/>
                      </w:rPr>
                      <w:fldChar w:fldCharType="begin"/>
                    </w:r>
                    <w:r>
                      <w:rPr>
                        <w:rStyle w:val="24"/>
                        <w:rFonts w:ascii="宋体" w:hAnsi="宋体"/>
                        <w:sz w:val="26"/>
                        <w:szCs w:val="26"/>
                      </w:rPr>
                      <w:instrText xml:space="preserve">PAGE  </w:instrText>
                    </w:r>
                    <w:r>
                      <w:rPr>
                        <w:rFonts w:ascii="宋体" w:hAnsi="宋体"/>
                        <w:sz w:val="26"/>
                        <w:szCs w:val="26"/>
                      </w:rPr>
                      <w:fldChar w:fldCharType="separate"/>
                    </w:r>
                    <w:r>
                      <w:rPr>
                        <w:rStyle w:val="24"/>
                        <w:rFonts w:ascii="宋体" w:hAnsi="宋体"/>
                        <w:sz w:val="26"/>
                        <w:szCs w:val="26"/>
                      </w:rPr>
                      <w:t>23</w:t>
                    </w:r>
                    <w:r>
                      <w:rPr>
                        <w:rFonts w:ascii="宋体" w:hAnsi="宋体"/>
                        <w:sz w:val="26"/>
                        <w:szCs w:val="26"/>
                      </w:rPr>
                      <w:fldChar w:fldCharType="end"/>
                    </w:r>
                    <w:r>
                      <w:rPr>
                        <w:rStyle w:val="24"/>
                        <w:rFonts w:hint="eastAsia" w:ascii="宋体" w:hAnsi="宋体"/>
                        <w:sz w:val="20"/>
                      </w:rPr>
                      <w:t xml:space="preserve">  </w:t>
                    </w:r>
                    <w:r>
                      <w:rPr>
                        <w:rStyle w:val="24"/>
                        <w:rFonts w:hint="eastAsia" w:ascii="宋体" w:hAnsi="宋体"/>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rPr>
                              <w:rStyle w:val="24"/>
                              <w:rFonts w:ascii="宋体" w:hAnsi="宋体"/>
                              <w:sz w:val="28"/>
                              <w:szCs w:val="28"/>
                            </w:rPr>
                          </w:pPr>
                          <w:r>
                            <w:rPr>
                              <w:rStyle w:val="24"/>
                              <w:rFonts w:hint="eastAsia" w:ascii="宋体" w:hAnsi="宋体"/>
                              <w:sz w:val="28"/>
                              <w:szCs w:val="28"/>
                            </w:rPr>
                            <w:t>—</w:t>
                          </w:r>
                          <w:r>
                            <w:rPr>
                              <w:rStyle w:val="24"/>
                              <w:rFonts w:hint="eastAsia" w:ascii="宋体" w:hAnsi="宋体"/>
                              <w:sz w:val="20"/>
                            </w:rPr>
                            <w:t xml:space="preserve">  </w:t>
                          </w:r>
                          <w:r>
                            <w:rPr>
                              <w:rFonts w:ascii="宋体" w:hAnsi="宋体"/>
                              <w:sz w:val="26"/>
                              <w:szCs w:val="26"/>
                            </w:rPr>
                            <w:fldChar w:fldCharType="begin"/>
                          </w:r>
                          <w:r>
                            <w:rPr>
                              <w:rStyle w:val="24"/>
                              <w:rFonts w:ascii="宋体" w:hAnsi="宋体"/>
                              <w:sz w:val="26"/>
                              <w:szCs w:val="26"/>
                            </w:rPr>
                            <w:instrText xml:space="preserve">PAGE  </w:instrText>
                          </w:r>
                          <w:r>
                            <w:rPr>
                              <w:rFonts w:ascii="宋体" w:hAnsi="宋体"/>
                              <w:sz w:val="26"/>
                              <w:szCs w:val="26"/>
                            </w:rPr>
                            <w:fldChar w:fldCharType="separate"/>
                          </w:r>
                          <w:r>
                            <w:rPr>
                              <w:rStyle w:val="24"/>
                              <w:rFonts w:ascii="宋体" w:hAnsi="宋体"/>
                              <w:sz w:val="26"/>
                              <w:szCs w:val="26"/>
                            </w:rPr>
                            <w:t>69</w:t>
                          </w:r>
                          <w:r>
                            <w:rPr>
                              <w:rFonts w:ascii="宋体" w:hAnsi="宋体"/>
                              <w:sz w:val="26"/>
                              <w:szCs w:val="26"/>
                            </w:rPr>
                            <w:fldChar w:fldCharType="end"/>
                          </w:r>
                          <w:r>
                            <w:rPr>
                              <w:rStyle w:val="24"/>
                              <w:rFonts w:hint="eastAsia" w:ascii="宋体" w:hAnsi="宋体"/>
                              <w:sz w:val="20"/>
                            </w:rPr>
                            <w:t xml:space="preserve">  </w:t>
                          </w:r>
                          <w:r>
                            <w:rPr>
                              <w:rStyle w:val="24"/>
                              <w:rFonts w:hint="eastAsia" w:ascii="宋体" w:hAnsi="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4"/>
                      <w:rPr>
                        <w:rStyle w:val="24"/>
                        <w:rFonts w:ascii="宋体" w:hAnsi="宋体"/>
                        <w:sz w:val="28"/>
                        <w:szCs w:val="28"/>
                      </w:rPr>
                    </w:pPr>
                    <w:r>
                      <w:rPr>
                        <w:rStyle w:val="24"/>
                        <w:rFonts w:hint="eastAsia" w:ascii="宋体" w:hAnsi="宋体"/>
                        <w:sz w:val="28"/>
                        <w:szCs w:val="28"/>
                      </w:rPr>
                      <w:t>—</w:t>
                    </w:r>
                    <w:r>
                      <w:rPr>
                        <w:rStyle w:val="24"/>
                        <w:rFonts w:hint="eastAsia" w:ascii="宋体" w:hAnsi="宋体"/>
                        <w:sz w:val="20"/>
                      </w:rPr>
                      <w:t xml:space="preserve">  </w:t>
                    </w:r>
                    <w:r>
                      <w:rPr>
                        <w:rFonts w:ascii="宋体" w:hAnsi="宋体"/>
                        <w:sz w:val="26"/>
                        <w:szCs w:val="26"/>
                      </w:rPr>
                      <w:fldChar w:fldCharType="begin"/>
                    </w:r>
                    <w:r>
                      <w:rPr>
                        <w:rStyle w:val="24"/>
                        <w:rFonts w:ascii="宋体" w:hAnsi="宋体"/>
                        <w:sz w:val="26"/>
                        <w:szCs w:val="26"/>
                      </w:rPr>
                      <w:instrText xml:space="preserve">PAGE  </w:instrText>
                    </w:r>
                    <w:r>
                      <w:rPr>
                        <w:rFonts w:ascii="宋体" w:hAnsi="宋体"/>
                        <w:sz w:val="26"/>
                        <w:szCs w:val="26"/>
                      </w:rPr>
                      <w:fldChar w:fldCharType="separate"/>
                    </w:r>
                    <w:r>
                      <w:rPr>
                        <w:rStyle w:val="24"/>
                        <w:rFonts w:ascii="宋体" w:hAnsi="宋体"/>
                        <w:sz w:val="26"/>
                        <w:szCs w:val="26"/>
                      </w:rPr>
                      <w:t>69</w:t>
                    </w:r>
                    <w:r>
                      <w:rPr>
                        <w:rFonts w:ascii="宋体" w:hAnsi="宋体"/>
                        <w:sz w:val="26"/>
                        <w:szCs w:val="26"/>
                      </w:rPr>
                      <w:fldChar w:fldCharType="end"/>
                    </w:r>
                    <w:r>
                      <w:rPr>
                        <w:rStyle w:val="24"/>
                        <w:rFonts w:hint="eastAsia" w:ascii="宋体" w:hAnsi="宋体"/>
                        <w:sz w:val="20"/>
                      </w:rPr>
                      <w:t xml:space="preserve">  </w:t>
                    </w:r>
                    <w:r>
                      <w:rPr>
                        <w:rStyle w:val="24"/>
                        <w:rFonts w:hint="eastAsia" w:ascii="宋体" w:hAnsi="宋体"/>
                        <w:sz w:val="28"/>
                        <w:szCs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1"/>
      </w:pBdr>
      <w:rPr>
        <w:rFonts w:hint="eastAsia" w:eastAsia="宋体"/>
        <w:lang w:val="en-US" w:eastAsia="zh-CN"/>
      </w:rPr>
    </w:pPr>
    <w:r>
      <w:rPr>
        <w:rFonts w:hint="eastAsia"/>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5146CC"/>
    <w:multiLevelType w:val="singleLevel"/>
    <w:tmpl w:val="9B5146CC"/>
    <w:lvl w:ilvl="0" w:tentative="0">
      <w:start w:val="1"/>
      <w:numFmt w:val="decimal"/>
      <w:suff w:val="nothing"/>
      <w:lvlText w:val="（%1）"/>
      <w:lvlJc w:val="left"/>
    </w:lvl>
  </w:abstractNum>
  <w:abstractNum w:abstractNumId="1">
    <w:nsid w:val="9EEFC03C"/>
    <w:multiLevelType w:val="singleLevel"/>
    <w:tmpl w:val="9EEFC03C"/>
    <w:lvl w:ilvl="0" w:tentative="0">
      <w:start w:val="4"/>
      <w:numFmt w:val="decimal"/>
      <w:suff w:val="nothing"/>
      <w:lvlText w:val="%1、"/>
      <w:lvlJc w:val="left"/>
    </w:lvl>
  </w:abstractNum>
  <w:abstractNum w:abstractNumId="2">
    <w:nsid w:val="A1556DF4"/>
    <w:multiLevelType w:val="multilevel"/>
    <w:tmpl w:val="A1556DF4"/>
    <w:lvl w:ilvl="0" w:tentative="0">
      <w:start w:val="1"/>
      <w:numFmt w:val="decimal"/>
      <w:lvlText w:val="图%1   "/>
      <w:lvlJc w:val="center"/>
      <w:pPr>
        <w:ind w:left="900" w:hanging="420"/>
      </w:pPr>
      <w:rPr>
        <w:rFonts w:hint="default" w:ascii="Times New Roman" w:hAnsi="Times New Roman" w:eastAsia="黑体" w:cs="宋体"/>
        <w:b w:val="0"/>
        <w:i w:val="0"/>
        <w:color w:val="000000"/>
        <w:sz w:val="21"/>
        <w:szCs w:val="21"/>
        <w:lang w:val="en-US"/>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B2D826FA"/>
    <w:multiLevelType w:val="singleLevel"/>
    <w:tmpl w:val="B2D826FA"/>
    <w:lvl w:ilvl="0" w:tentative="0">
      <w:start w:val="1"/>
      <w:numFmt w:val="decimal"/>
      <w:suff w:val="nothing"/>
      <w:lvlText w:val="表%1   "/>
      <w:lvlJc w:val="left"/>
      <w:pPr>
        <w:tabs>
          <w:tab w:val="left" w:pos="0"/>
        </w:tabs>
      </w:pPr>
      <w:rPr>
        <w:rFonts w:hint="default" w:ascii="Times New Roman" w:hAnsi="Times New Roman" w:eastAsia="黑体" w:cs="宋体"/>
        <w:sz w:val="21"/>
      </w:rPr>
    </w:lvl>
  </w:abstractNum>
  <w:abstractNum w:abstractNumId="4">
    <w:nsid w:val="B2FDE060"/>
    <w:multiLevelType w:val="singleLevel"/>
    <w:tmpl w:val="B2FDE060"/>
    <w:lvl w:ilvl="0" w:tentative="0">
      <w:start w:val="2"/>
      <w:numFmt w:val="decimal"/>
      <w:suff w:val="nothing"/>
      <w:lvlText w:val="（%1）"/>
      <w:lvlJc w:val="left"/>
    </w:lvl>
  </w:abstractNum>
  <w:abstractNum w:abstractNumId="5">
    <w:nsid w:val="C368B722"/>
    <w:multiLevelType w:val="singleLevel"/>
    <w:tmpl w:val="C368B722"/>
    <w:lvl w:ilvl="0" w:tentative="0">
      <w:start w:val="8"/>
      <w:numFmt w:val="decimal"/>
      <w:suff w:val="nothing"/>
      <w:lvlText w:val="%1、"/>
      <w:lvlJc w:val="left"/>
    </w:lvl>
  </w:abstractNum>
  <w:abstractNum w:abstractNumId="6">
    <w:nsid w:val="FB1676BE"/>
    <w:multiLevelType w:val="singleLevel"/>
    <w:tmpl w:val="FB1676BE"/>
    <w:lvl w:ilvl="0" w:tentative="0">
      <w:start w:val="3"/>
      <w:numFmt w:val="decimal"/>
      <w:suff w:val="nothing"/>
      <w:lvlText w:val="%1、"/>
      <w:lvlJc w:val="left"/>
    </w:lvl>
  </w:abstractNum>
  <w:abstractNum w:abstractNumId="7">
    <w:nsid w:val="00000005"/>
    <w:multiLevelType w:val="singleLevel"/>
    <w:tmpl w:val="00000005"/>
    <w:lvl w:ilvl="0" w:tentative="0">
      <w:start w:val="1"/>
      <w:numFmt w:val="decimal"/>
      <w:suff w:val="space"/>
      <w:lvlText w:val="%1."/>
      <w:lvlJc w:val="left"/>
    </w:lvl>
  </w:abstractNum>
  <w:abstractNum w:abstractNumId="8">
    <w:nsid w:val="0000000C"/>
    <w:multiLevelType w:val="singleLevel"/>
    <w:tmpl w:val="0000000C"/>
    <w:lvl w:ilvl="0" w:tentative="0">
      <w:start w:val="1"/>
      <w:numFmt w:val="decimal"/>
      <w:suff w:val="space"/>
      <w:lvlText w:val="%1."/>
      <w:lvlJc w:val="left"/>
    </w:lvl>
  </w:abstractNum>
  <w:abstractNum w:abstractNumId="9">
    <w:nsid w:val="0EB8EEEA"/>
    <w:multiLevelType w:val="singleLevel"/>
    <w:tmpl w:val="0EB8EEEA"/>
    <w:lvl w:ilvl="0" w:tentative="0">
      <w:start w:val="1"/>
      <w:numFmt w:val="decimal"/>
      <w:suff w:val="nothing"/>
      <w:lvlText w:val="（%1）"/>
      <w:lvlJc w:val="left"/>
    </w:lvl>
  </w:abstractNum>
  <w:abstractNum w:abstractNumId="10">
    <w:nsid w:val="3111A817"/>
    <w:multiLevelType w:val="singleLevel"/>
    <w:tmpl w:val="3111A817"/>
    <w:lvl w:ilvl="0" w:tentative="0">
      <w:start w:val="1"/>
      <w:numFmt w:val="decimal"/>
      <w:suff w:val="nothing"/>
      <w:lvlText w:val="%1、"/>
      <w:lvlJc w:val="left"/>
    </w:lvl>
  </w:abstractNum>
  <w:abstractNum w:abstractNumId="11">
    <w:nsid w:val="3402FE60"/>
    <w:multiLevelType w:val="singleLevel"/>
    <w:tmpl w:val="3402FE60"/>
    <w:lvl w:ilvl="0" w:tentative="0">
      <w:start w:val="1"/>
      <w:numFmt w:val="decimal"/>
      <w:suff w:val="nothing"/>
      <w:lvlText w:val="（%1）"/>
      <w:lvlJc w:val="left"/>
      <w:pPr>
        <w:ind w:left="-2"/>
      </w:pPr>
    </w:lvl>
  </w:abstractNum>
  <w:abstractNum w:abstractNumId="12">
    <w:nsid w:val="3E132775"/>
    <w:multiLevelType w:val="multilevel"/>
    <w:tmpl w:val="3E132775"/>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4C892768"/>
    <w:multiLevelType w:val="singleLevel"/>
    <w:tmpl w:val="4C892768"/>
    <w:lvl w:ilvl="0" w:tentative="0">
      <w:start w:val="1"/>
      <w:numFmt w:val="decimal"/>
      <w:suff w:val="nothing"/>
      <w:lvlText w:val="（%1）"/>
      <w:lvlJc w:val="left"/>
    </w:lvl>
  </w:abstractNum>
  <w:abstractNum w:abstractNumId="14">
    <w:nsid w:val="4D32737D"/>
    <w:multiLevelType w:val="singleLevel"/>
    <w:tmpl w:val="4D32737D"/>
    <w:lvl w:ilvl="0" w:tentative="0">
      <w:start w:val="1"/>
      <w:numFmt w:val="decimal"/>
      <w:suff w:val="nothing"/>
      <w:lvlText w:val="（%1）"/>
      <w:lvlJc w:val="left"/>
    </w:lvl>
  </w:abstractNum>
  <w:abstractNum w:abstractNumId="15">
    <w:nsid w:val="57441E78"/>
    <w:multiLevelType w:val="singleLevel"/>
    <w:tmpl w:val="57441E78"/>
    <w:lvl w:ilvl="0" w:tentative="0">
      <w:start w:val="1"/>
      <w:numFmt w:val="decimal"/>
      <w:suff w:val="nothing"/>
      <w:lvlText w:val="%1、"/>
      <w:lvlJc w:val="left"/>
    </w:lvl>
  </w:abstractNum>
  <w:num w:numId="1">
    <w:abstractNumId w:val="3"/>
  </w:num>
  <w:num w:numId="2">
    <w:abstractNumId w:val="6"/>
  </w:num>
  <w:num w:numId="3">
    <w:abstractNumId w:val="5"/>
  </w:num>
  <w:num w:numId="4">
    <w:abstractNumId w:val="4"/>
  </w:num>
  <w:num w:numId="5">
    <w:abstractNumId w:val="7"/>
  </w:num>
  <w:num w:numId="6">
    <w:abstractNumId w:val="8"/>
  </w:num>
  <w:num w:numId="7">
    <w:abstractNumId w:val="13"/>
  </w:num>
  <w:num w:numId="8">
    <w:abstractNumId w:val="12"/>
  </w:num>
  <w:num w:numId="9">
    <w:abstractNumId w:val="2"/>
  </w:num>
  <w:num w:numId="10">
    <w:abstractNumId w:val="9"/>
  </w:num>
  <w:num w:numId="11">
    <w:abstractNumId w:val="1"/>
  </w:num>
  <w:num w:numId="12">
    <w:abstractNumId w:val="15"/>
  </w:num>
  <w:num w:numId="13">
    <w:abstractNumId w:val="14"/>
  </w:num>
  <w:num w:numId="14">
    <w:abstractNumId w:val="10"/>
  </w:num>
  <w:num w:numId="15">
    <w:abstractNumId w:val="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BiZWQ1ZDRmODgxNGI4Y2YzOTFhZTNjMDRiYTBkY2IifQ=="/>
  </w:docVars>
  <w:rsids>
    <w:rsidRoot w:val="00172A27"/>
    <w:rsid w:val="000060B3"/>
    <w:rsid w:val="00007E50"/>
    <w:rsid w:val="00026E08"/>
    <w:rsid w:val="000302E4"/>
    <w:rsid w:val="000327D0"/>
    <w:rsid w:val="00043000"/>
    <w:rsid w:val="0004364B"/>
    <w:rsid w:val="00043CE0"/>
    <w:rsid w:val="00045A94"/>
    <w:rsid w:val="00054221"/>
    <w:rsid w:val="0005554E"/>
    <w:rsid w:val="00061B1F"/>
    <w:rsid w:val="00072FA6"/>
    <w:rsid w:val="000733C4"/>
    <w:rsid w:val="00074783"/>
    <w:rsid w:val="0008070B"/>
    <w:rsid w:val="000810AC"/>
    <w:rsid w:val="000815C3"/>
    <w:rsid w:val="00081A02"/>
    <w:rsid w:val="00082231"/>
    <w:rsid w:val="00085D0C"/>
    <w:rsid w:val="000908BA"/>
    <w:rsid w:val="00092D38"/>
    <w:rsid w:val="0009377B"/>
    <w:rsid w:val="000A02B9"/>
    <w:rsid w:val="000A20C9"/>
    <w:rsid w:val="000A24FF"/>
    <w:rsid w:val="000A68E6"/>
    <w:rsid w:val="000B058F"/>
    <w:rsid w:val="000B25CD"/>
    <w:rsid w:val="000B4467"/>
    <w:rsid w:val="000B4DB9"/>
    <w:rsid w:val="000B6885"/>
    <w:rsid w:val="000C09AC"/>
    <w:rsid w:val="000C5E85"/>
    <w:rsid w:val="000C668B"/>
    <w:rsid w:val="000C767F"/>
    <w:rsid w:val="000D5A44"/>
    <w:rsid w:val="000D79E4"/>
    <w:rsid w:val="000E10C8"/>
    <w:rsid w:val="000E3ED2"/>
    <w:rsid w:val="000E4493"/>
    <w:rsid w:val="00131F42"/>
    <w:rsid w:val="0013285B"/>
    <w:rsid w:val="001357F1"/>
    <w:rsid w:val="00135F68"/>
    <w:rsid w:val="00140FA8"/>
    <w:rsid w:val="00142FEB"/>
    <w:rsid w:val="00143A2D"/>
    <w:rsid w:val="00145A41"/>
    <w:rsid w:val="001460D7"/>
    <w:rsid w:val="00151675"/>
    <w:rsid w:val="00157435"/>
    <w:rsid w:val="0017504D"/>
    <w:rsid w:val="0017671A"/>
    <w:rsid w:val="00177422"/>
    <w:rsid w:val="00184590"/>
    <w:rsid w:val="001870D1"/>
    <w:rsid w:val="0018781E"/>
    <w:rsid w:val="00190B22"/>
    <w:rsid w:val="0019262D"/>
    <w:rsid w:val="00194AEF"/>
    <w:rsid w:val="001A1B35"/>
    <w:rsid w:val="001A48A2"/>
    <w:rsid w:val="001A6F61"/>
    <w:rsid w:val="001B72B8"/>
    <w:rsid w:val="001C69B3"/>
    <w:rsid w:val="001D5595"/>
    <w:rsid w:val="001D6736"/>
    <w:rsid w:val="001D69B2"/>
    <w:rsid w:val="001D7874"/>
    <w:rsid w:val="001D7F22"/>
    <w:rsid w:val="001E22E0"/>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11E5"/>
    <w:rsid w:val="00284204"/>
    <w:rsid w:val="002870BA"/>
    <w:rsid w:val="00291773"/>
    <w:rsid w:val="002A168C"/>
    <w:rsid w:val="002A2253"/>
    <w:rsid w:val="002A3DC7"/>
    <w:rsid w:val="002B49E2"/>
    <w:rsid w:val="002B7B00"/>
    <w:rsid w:val="002B7C44"/>
    <w:rsid w:val="002C0B4F"/>
    <w:rsid w:val="002C2B17"/>
    <w:rsid w:val="002D3DD0"/>
    <w:rsid w:val="002E1F3A"/>
    <w:rsid w:val="002E298A"/>
    <w:rsid w:val="002E4F2F"/>
    <w:rsid w:val="002F10CC"/>
    <w:rsid w:val="002F35E8"/>
    <w:rsid w:val="00301596"/>
    <w:rsid w:val="00301978"/>
    <w:rsid w:val="0030332C"/>
    <w:rsid w:val="00303688"/>
    <w:rsid w:val="003051C2"/>
    <w:rsid w:val="00312296"/>
    <w:rsid w:val="00314614"/>
    <w:rsid w:val="00314F0E"/>
    <w:rsid w:val="00321D8E"/>
    <w:rsid w:val="00325928"/>
    <w:rsid w:val="003265B2"/>
    <w:rsid w:val="003302DC"/>
    <w:rsid w:val="00332863"/>
    <w:rsid w:val="0033684D"/>
    <w:rsid w:val="00337B42"/>
    <w:rsid w:val="003412F6"/>
    <w:rsid w:val="00341861"/>
    <w:rsid w:val="00341A92"/>
    <w:rsid w:val="00341B42"/>
    <w:rsid w:val="0034348F"/>
    <w:rsid w:val="00356653"/>
    <w:rsid w:val="003570CD"/>
    <w:rsid w:val="0035743F"/>
    <w:rsid w:val="00357BE2"/>
    <w:rsid w:val="0036170C"/>
    <w:rsid w:val="00363C08"/>
    <w:rsid w:val="00366E0F"/>
    <w:rsid w:val="00381A72"/>
    <w:rsid w:val="00384676"/>
    <w:rsid w:val="00390857"/>
    <w:rsid w:val="00390FBC"/>
    <w:rsid w:val="003A4BF3"/>
    <w:rsid w:val="003B420D"/>
    <w:rsid w:val="003C6C16"/>
    <w:rsid w:val="003D103A"/>
    <w:rsid w:val="003D794D"/>
    <w:rsid w:val="003E3058"/>
    <w:rsid w:val="003E76A9"/>
    <w:rsid w:val="003F0809"/>
    <w:rsid w:val="003F6A8C"/>
    <w:rsid w:val="003F755C"/>
    <w:rsid w:val="00402E2F"/>
    <w:rsid w:val="00406F01"/>
    <w:rsid w:val="004076E2"/>
    <w:rsid w:val="0041641A"/>
    <w:rsid w:val="00416B38"/>
    <w:rsid w:val="00416D50"/>
    <w:rsid w:val="00416FD5"/>
    <w:rsid w:val="00417772"/>
    <w:rsid w:val="00420E6A"/>
    <w:rsid w:val="00421AFC"/>
    <w:rsid w:val="00424A21"/>
    <w:rsid w:val="00424D09"/>
    <w:rsid w:val="00425A9E"/>
    <w:rsid w:val="00426D6B"/>
    <w:rsid w:val="00431E6C"/>
    <w:rsid w:val="00433CE7"/>
    <w:rsid w:val="00434115"/>
    <w:rsid w:val="00452738"/>
    <w:rsid w:val="00456091"/>
    <w:rsid w:val="00466321"/>
    <w:rsid w:val="00473C2C"/>
    <w:rsid w:val="00484B9B"/>
    <w:rsid w:val="004855F6"/>
    <w:rsid w:val="0048661E"/>
    <w:rsid w:val="00494670"/>
    <w:rsid w:val="004A3823"/>
    <w:rsid w:val="004B60EC"/>
    <w:rsid w:val="004D49DD"/>
    <w:rsid w:val="004E10CE"/>
    <w:rsid w:val="004E6946"/>
    <w:rsid w:val="004F1AD8"/>
    <w:rsid w:val="005039CB"/>
    <w:rsid w:val="0050558F"/>
    <w:rsid w:val="00506286"/>
    <w:rsid w:val="00507241"/>
    <w:rsid w:val="00510813"/>
    <w:rsid w:val="00511990"/>
    <w:rsid w:val="00511DE0"/>
    <w:rsid w:val="00513337"/>
    <w:rsid w:val="00514870"/>
    <w:rsid w:val="00514B9B"/>
    <w:rsid w:val="00515AFC"/>
    <w:rsid w:val="00517F02"/>
    <w:rsid w:val="00524303"/>
    <w:rsid w:val="005258A2"/>
    <w:rsid w:val="00530544"/>
    <w:rsid w:val="005401AE"/>
    <w:rsid w:val="00542E07"/>
    <w:rsid w:val="00545424"/>
    <w:rsid w:val="00551F30"/>
    <w:rsid w:val="00554A7B"/>
    <w:rsid w:val="005550E8"/>
    <w:rsid w:val="0055572C"/>
    <w:rsid w:val="005579AE"/>
    <w:rsid w:val="0056106A"/>
    <w:rsid w:val="005720AE"/>
    <w:rsid w:val="00574637"/>
    <w:rsid w:val="0058374D"/>
    <w:rsid w:val="00583829"/>
    <w:rsid w:val="0058514E"/>
    <w:rsid w:val="00592F95"/>
    <w:rsid w:val="00594D77"/>
    <w:rsid w:val="005969E4"/>
    <w:rsid w:val="005A06B7"/>
    <w:rsid w:val="005A1759"/>
    <w:rsid w:val="005A68A7"/>
    <w:rsid w:val="005A7860"/>
    <w:rsid w:val="005D36AB"/>
    <w:rsid w:val="005F6807"/>
    <w:rsid w:val="006042F8"/>
    <w:rsid w:val="00617CC3"/>
    <w:rsid w:val="00635E3A"/>
    <w:rsid w:val="006377A6"/>
    <w:rsid w:val="00637A3D"/>
    <w:rsid w:val="006411EF"/>
    <w:rsid w:val="00650856"/>
    <w:rsid w:val="00655B52"/>
    <w:rsid w:val="006651BE"/>
    <w:rsid w:val="0066627D"/>
    <w:rsid w:val="006748B8"/>
    <w:rsid w:val="006775C3"/>
    <w:rsid w:val="00683099"/>
    <w:rsid w:val="00686843"/>
    <w:rsid w:val="0069290A"/>
    <w:rsid w:val="0069775A"/>
    <w:rsid w:val="00697813"/>
    <w:rsid w:val="006A3EE8"/>
    <w:rsid w:val="006A72BF"/>
    <w:rsid w:val="006B0064"/>
    <w:rsid w:val="006B03F2"/>
    <w:rsid w:val="006B0FCF"/>
    <w:rsid w:val="006B37DC"/>
    <w:rsid w:val="006B4F68"/>
    <w:rsid w:val="006B6329"/>
    <w:rsid w:val="006C0592"/>
    <w:rsid w:val="006C272E"/>
    <w:rsid w:val="006C5479"/>
    <w:rsid w:val="006C63AE"/>
    <w:rsid w:val="006D13B5"/>
    <w:rsid w:val="006D5CE2"/>
    <w:rsid w:val="006D7D80"/>
    <w:rsid w:val="006E12FF"/>
    <w:rsid w:val="006E607E"/>
    <w:rsid w:val="006F7C9C"/>
    <w:rsid w:val="00706C5D"/>
    <w:rsid w:val="007206B7"/>
    <w:rsid w:val="00730CC4"/>
    <w:rsid w:val="00732922"/>
    <w:rsid w:val="007360CF"/>
    <w:rsid w:val="00747594"/>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054B"/>
    <w:rsid w:val="007B1056"/>
    <w:rsid w:val="007B72B8"/>
    <w:rsid w:val="007B7A58"/>
    <w:rsid w:val="007C1741"/>
    <w:rsid w:val="007C21B5"/>
    <w:rsid w:val="007C4FA5"/>
    <w:rsid w:val="007E4BD2"/>
    <w:rsid w:val="007E79B2"/>
    <w:rsid w:val="00801393"/>
    <w:rsid w:val="00802F88"/>
    <w:rsid w:val="0081293E"/>
    <w:rsid w:val="00815465"/>
    <w:rsid w:val="00817E9A"/>
    <w:rsid w:val="00823F79"/>
    <w:rsid w:val="00826E3B"/>
    <w:rsid w:val="008277F7"/>
    <w:rsid w:val="008306BD"/>
    <w:rsid w:val="008318AF"/>
    <w:rsid w:val="00831A80"/>
    <w:rsid w:val="00833743"/>
    <w:rsid w:val="008340A4"/>
    <w:rsid w:val="0084064D"/>
    <w:rsid w:val="00844CFE"/>
    <w:rsid w:val="00851E7D"/>
    <w:rsid w:val="0087135F"/>
    <w:rsid w:val="00872D94"/>
    <w:rsid w:val="00876435"/>
    <w:rsid w:val="00880364"/>
    <w:rsid w:val="00891592"/>
    <w:rsid w:val="00891E9E"/>
    <w:rsid w:val="008A2F68"/>
    <w:rsid w:val="008B4FA6"/>
    <w:rsid w:val="008B5282"/>
    <w:rsid w:val="008B5429"/>
    <w:rsid w:val="008B7C17"/>
    <w:rsid w:val="008C2D01"/>
    <w:rsid w:val="008C40E6"/>
    <w:rsid w:val="008C424F"/>
    <w:rsid w:val="008C6747"/>
    <w:rsid w:val="008D0B58"/>
    <w:rsid w:val="008D0F7A"/>
    <w:rsid w:val="008D68E4"/>
    <w:rsid w:val="008E0506"/>
    <w:rsid w:val="008E0CFF"/>
    <w:rsid w:val="008E5D6B"/>
    <w:rsid w:val="008E76F0"/>
    <w:rsid w:val="008F12C3"/>
    <w:rsid w:val="008F15FE"/>
    <w:rsid w:val="008F2D29"/>
    <w:rsid w:val="008F5187"/>
    <w:rsid w:val="008F60D8"/>
    <w:rsid w:val="00902727"/>
    <w:rsid w:val="0090312B"/>
    <w:rsid w:val="00907F7B"/>
    <w:rsid w:val="00911E34"/>
    <w:rsid w:val="0091736D"/>
    <w:rsid w:val="00925E7E"/>
    <w:rsid w:val="009268FC"/>
    <w:rsid w:val="00927816"/>
    <w:rsid w:val="0093037A"/>
    <w:rsid w:val="00932FAD"/>
    <w:rsid w:val="0094154D"/>
    <w:rsid w:val="00946B22"/>
    <w:rsid w:val="0095155F"/>
    <w:rsid w:val="00954429"/>
    <w:rsid w:val="009563CE"/>
    <w:rsid w:val="0095707D"/>
    <w:rsid w:val="00957F6B"/>
    <w:rsid w:val="00971415"/>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D798F"/>
    <w:rsid w:val="009E227D"/>
    <w:rsid w:val="009E4788"/>
    <w:rsid w:val="009E5019"/>
    <w:rsid w:val="009F66F1"/>
    <w:rsid w:val="00A0203F"/>
    <w:rsid w:val="00A04F1B"/>
    <w:rsid w:val="00A0501B"/>
    <w:rsid w:val="00A14947"/>
    <w:rsid w:val="00A308EF"/>
    <w:rsid w:val="00A3274E"/>
    <w:rsid w:val="00A32A83"/>
    <w:rsid w:val="00A368DB"/>
    <w:rsid w:val="00A423AA"/>
    <w:rsid w:val="00A5167A"/>
    <w:rsid w:val="00A53EC6"/>
    <w:rsid w:val="00A55C0F"/>
    <w:rsid w:val="00A6280A"/>
    <w:rsid w:val="00A63179"/>
    <w:rsid w:val="00A731F9"/>
    <w:rsid w:val="00A8713F"/>
    <w:rsid w:val="00A90BA1"/>
    <w:rsid w:val="00A97A9A"/>
    <w:rsid w:val="00AA0671"/>
    <w:rsid w:val="00AA2531"/>
    <w:rsid w:val="00AA728E"/>
    <w:rsid w:val="00AA7AD8"/>
    <w:rsid w:val="00AB1E09"/>
    <w:rsid w:val="00AB5330"/>
    <w:rsid w:val="00AB7747"/>
    <w:rsid w:val="00AC14CE"/>
    <w:rsid w:val="00AC1E97"/>
    <w:rsid w:val="00AC2A56"/>
    <w:rsid w:val="00AC6282"/>
    <w:rsid w:val="00AD055E"/>
    <w:rsid w:val="00AD47A7"/>
    <w:rsid w:val="00AD4A34"/>
    <w:rsid w:val="00AE1DEB"/>
    <w:rsid w:val="00AF0CBF"/>
    <w:rsid w:val="00AF257F"/>
    <w:rsid w:val="00AF33CF"/>
    <w:rsid w:val="00AF4D50"/>
    <w:rsid w:val="00AF517A"/>
    <w:rsid w:val="00AF6179"/>
    <w:rsid w:val="00B07785"/>
    <w:rsid w:val="00B10585"/>
    <w:rsid w:val="00B11166"/>
    <w:rsid w:val="00B1218C"/>
    <w:rsid w:val="00B1295A"/>
    <w:rsid w:val="00B20A45"/>
    <w:rsid w:val="00B21A2D"/>
    <w:rsid w:val="00B22C5C"/>
    <w:rsid w:val="00B24B4D"/>
    <w:rsid w:val="00B24F30"/>
    <w:rsid w:val="00B25F51"/>
    <w:rsid w:val="00B2657A"/>
    <w:rsid w:val="00B31ABF"/>
    <w:rsid w:val="00B33BE3"/>
    <w:rsid w:val="00B3401A"/>
    <w:rsid w:val="00B53B5D"/>
    <w:rsid w:val="00B6055E"/>
    <w:rsid w:val="00B6317D"/>
    <w:rsid w:val="00B76659"/>
    <w:rsid w:val="00B7723F"/>
    <w:rsid w:val="00B80534"/>
    <w:rsid w:val="00B8433C"/>
    <w:rsid w:val="00B87491"/>
    <w:rsid w:val="00BA05D6"/>
    <w:rsid w:val="00BA29E9"/>
    <w:rsid w:val="00BA7142"/>
    <w:rsid w:val="00BB237C"/>
    <w:rsid w:val="00BB41A3"/>
    <w:rsid w:val="00BC32DC"/>
    <w:rsid w:val="00BC35B6"/>
    <w:rsid w:val="00BD1B51"/>
    <w:rsid w:val="00BD4596"/>
    <w:rsid w:val="00BE1405"/>
    <w:rsid w:val="00BE312D"/>
    <w:rsid w:val="00BF1C20"/>
    <w:rsid w:val="00BF20B6"/>
    <w:rsid w:val="00C10578"/>
    <w:rsid w:val="00C10A74"/>
    <w:rsid w:val="00C135BC"/>
    <w:rsid w:val="00C15C95"/>
    <w:rsid w:val="00C2596A"/>
    <w:rsid w:val="00C25CE3"/>
    <w:rsid w:val="00C27537"/>
    <w:rsid w:val="00C328FE"/>
    <w:rsid w:val="00C33507"/>
    <w:rsid w:val="00C4409D"/>
    <w:rsid w:val="00C44E72"/>
    <w:rsid w:val="00C45A06"/>
    <w:rsid w:val="00C47E5B"/>
    <w:rsid w:val="00C5252C"/>
    <w:rsid w:val="00C56AD6"/>
    <w:rsid w:val="00C61E4B"/>
    <w:rsid w:val="00C64BFF"/>
    <w:rsid w:val="00C704E9"/>
    <w:rsid w:val="00C727CE"/>
    <w:rsid w:val="00C763C9"/>
    <w:rsid w:val="00C80057"/>
    <w:rsid w:val="00C82232"/>
    <w:rsid w:val="00C82913"/>
    <w:rsid w:val="00C91539"/>
    <w:rsid w:val="00C93560"/>
    <w:rsid w:val="00C94A8B"/>
    <w:rsid w:val="00C972B1"/>
    <w:rsid w:val="00CA2CCE"/>
    <w:rsid w:val="00CA43FD"/>
    <w:rsid w:val="00CA7EF8"/>
    <w:rsid w:val="00CB0A42"/>
    <w:rsid w:val="00CB42AC"/>
    <w:rsid w:val="00CC2240"/>
    <w:rsid w:val="00CC489B"/>
    <w:rsid w:val="00CC7B45"/>
    <w:rsid w:val="00CD2BCD"/>
    <w:rsid w:val="00CD3A4C"/>
    <w:rsid w:val="00CE10E9"/>
    <w:rsid w:val="00CE2910"/>
    <w:rsid w:val="00CE3362"/>
    <w:rsid w:val="00CE3778"/>
    <w:rsid w:val="00CE5393"/>
    <w:rsid w:val="00CF10E9"/>
    <w:rsid w:val="00CF36BE"/>
    <w:rsid w:val="00CF6000"/>
    <w:rsid w:val="00D003F3"/>
    <w:rsid w:val="00D0364F"/>
    <w:rsid w:val="00D06834"/>
    <w:rsid w:val="00D15DB3"/>
    <w:rsid w:val="00D214EB"/>
    <w:rsid w:val="00D26002"/>
    <w:rsid w:val="00D308ED"/>
    <w:rsid w:val="00D36D86"/>
    <w:rsid w:val="00D428AA"/>
    <w:rsid w:val="00D50A34"/>
    <w:rsid w:val="00D53EFA"/>
    <w:rsid w:val="00D6517C"/>
    <w:rsid w:val="00D761B9"/>
    <w:rsid w:val="00D82AB9"/>
    <w:rsid w:val="00D86D43"/>
    <w:rsid w:val="00D94506"/>
    <w:rsid w:val="00D94A7C"/>
    <w:rsid w:val="00D95896"/>
    <w:rsid w:val="00D95955"/>
    <w:rsid w:val="00DB2983"/>
    <w:rsid w:val="00DC1257"/>
    <w:rsid w:val="00DC3DC0"/>
    <w:rsid w:val="00DC5B2B"/>
    <w:rsid w:val="00DD318D"/>
    <w:rsid w:val="00DD5A43"/>
    <w:rsid w:val="00DF2E12"/>
    <w:rsid w:val="00DF514A"/>
    <w:rsid w:val="00DF662A"/>
    <w:rsid w:val="00DF6690"/>
    <w:rsid w:val="00DF6804"/>
    <w:rsid w:val="00E0358D"/>
    <w:rsid w:val="00E04323"/>
    <w:rsid w:val="00E070A2"/>
    <w:rsid w:val="00E0764F"/>
    <w:rsid w:val="00E14D92"/>
    <w:rsid w:val="00E25C10"/>
    <w:rsid w:val="00E2656A"/>
    <w:rsid w:val="00E30EC1"/>
    <w:rsid w:val="00E33B2F"/>
    <w:rsid w:val="00E412D0"/>
    <w:rsid w:val="00E56322"/>
    <w:rsid w:val="00E60982"/>
    <w:rsid w:val="00E62C62"/>
    <w:rsid w:val="00E654C1"/>
    <w:rsid w:val="00E65D97"/>
    <w:rsid w:val="00E72A5A"/>
    <w:rsid w:val="00E73354"/>
    <w:rsid w:val="00E74627"/>
    <w:rsid w:val="00E9242D"/>
    <w:rsid w:val="00EA2F6A"/>
    <w:rsid w:val="00EB5255"/>
    <w:rsid w:val="00EB565A"/>
    <w:rsid w:val="00EB5C47"/>
    <w:rsid w:val="00EC1672"/>
    <w:rsid w:val="00ED0639"/>
    <w:rsid w:val="00ED747A"/>
    <w:rsid w:val="00EF4755"/>
    <w:rsid w:val="00EF6951"/>
    <w:rsid w:val="00EF7135"/>
    <w:rsid w:val="00F01ABA"/>
    <w:rsid w:val="00F027DB"/>
    <w:rsid w:val="00F03C1D"/>
    <w:rsid w:val="00F06514"/>
    <w:rsid w:val="00F14A7A"/>
    <w:rsid w:val="00F22985"/>
    <w:rsid w:val="00F31C19"/>
    <w:rsid w:val="00F3383E"/>
    <w:rsid w:val="00F35CDB"/>
    <w:rsid w:val="00F368A1"/>
    <w:rsid w:val="00F465A7"/>
    <w:rsid w:val="00F50B7C"/>
    <w:rsid w:val="00F550E6"/>
    <w:rsid w:val="00F70670"/>
    <w:rsid w:val="00F72B3A"/>
    <w:rsid w:val="00F74345"/>
    <w:rsid w:val="00F767AB"/>
    <w:rsid w:val="00F80A0A"/>
    <w:rsid w:val="00F80ACA"/>
    <w:rsid w:val="00F81904"/>
    <w:rsid w:val="00F82B19"/>
    <w:rsid w:val="00F914C5"/>
    <w:rsid w:val="00F9212D"/>
    <w:rsid w:val="00F965DA"/>
    <w:rsid w:val="00FA406A"/>
    <w:rsid w:val="00FB166C"/>
    <w:rsid w:val="00FB20DD"/>
    <w:rsid w:val="00FB503A"/>
    <w:rsid w:val="00FB516C"/>
    <w:rsid w:val="00FD0236"/>
    <w:rsid w:val="00FD18F4"/>
    <w:rsid w:val="00FD54DB"/>
    <w:rsid w:val="00FD619F"/>
    <w:rsid w:val="00FE2DB2"/>
    <w:rsid w:val="01020E54"/>
    <w:rsid w:val="01042A5F"/>
    <w:rsid w:val="011E5562"/>
    <w:rsid w:val="01290F7E"/>
    <w:rsid w:val="014C15B5"/>
    <w:rsid w:val="01511253"/>
    <w:rsid w:val="01530715"/>
    <w:rsid w:val="015D1E09"/>
    <w:rsid w:val="01702DAB"/>
    <w:rsid w:val="01993635"/>
    <w:rsid w:val="01BC156D"/>
    <w:rsid w:val="01D4129F"/>
    <w:rsid w:val="01F36A6F"/>
    <w:rsid w:val="020C4849"/>
    <w:rsid w:val="02367426"/>
    <w:rsid w:val="02697903"/>
    <w:rsid w:val="02933CF8"/>
    <w:rsid w:val="02F96569"/>
    <w:rsid w:val="03082BE3"/>
    <w:rsid w:val="030B3424"/>
    <w:rsid w:val="03101D77"/>
    <w:rsid w:val="0328714A"/>
    <w:rsid w:val="032C6BE5"/>
    <w:rsid w:val="033A6511"/>
    <w:rsid w:val="03571FF7"/>
    <w:rsid w:val="03660AEE"/>
    <w:rsid w:val="036F4D79"/>
    <w:rsid w:val="03750BFE"/>
    <w:rsid w:val="037B5F61"/>
    <w:rsid w:val="037E5457"/>
    <w:rsid w:val="03905699"/>
    <w:rsid w:val="03A84F45"/>
    <w:rsid w:val="03A908CB"/>
    <w:rsid w:val="03E71426"/>
    <w:rsid w:val="03EA7B21"/>
    <w:rsid w:val="041B272B"/>
    <w:rsid w:val="044A0B2F"/>
    <w:rsid w:val="048D12FC"/>
    <w:rsid w:val="048E046F"/>
    <w:rsid w:val="04901B76"/>
    <w:rsid w:val="04A92C7A"/>
    <w:rsid w:val="04C86418"/>
    <w:rsid w:val="04CA0308"/>
    <w:rsid w:val="0506227A"/>
    <w:rsid w:val="055E433E"/>
    <w:rsid w:val="05815051"/>
    <w:rsid w:val="05AC6AAF"/>
    <w:rsid w:val="05AF0574"/>
    <w:rsid w:val="05B3789F"/>
    <w:rsid w:val="05F83EAE"/>
    <w:rsid w:val="0605443D"/>
    <w:rsid w:val="06073DD1"/>
    <w:rsid w:val="060A7570"/>
    <w:rsid w:val="063E7D85"/>
    <w:rsid w:val="06482992"/>
    <w:rsid w:val="0671369D"/>
    <w:rsid w:val="069D6B5A"/>
    <w:rsid w:val="0700671A"/>
    <w:rsid w:val="07293586"/>
    <w:rsid w:val="07295285"/>
    <w:rsid w:val="073A4468"/>
    <w:rsid w:val="07636392"/>
    <w:rsid w:val="07770C56"/>
    <w:rsid w:val="077C2954"/>
    <w:rsid w:val="07823C29"/>
    <w:rsid w:val="07984F28"/>
    <w:rsid w:val="07B97881"/>
    <w:rsid w:val="07CC45E1"/>
    <w:rsid w:val="07EA0853"/>
    <w:rsid w:val="080C703A"/>
    <w:rsid w:val="082C19AB"/>
    <w:rsid w:val="084320A0"/>
    <w:rsid w:val="08454E7C"/>
    <w:rsid w:val="08510F6B"/>
    <w:rsid w:val="089365E5"/>
    <w:rsid w:val="08976B43"/>
    <w:rsid w:val="089858A6"/>
    <w:rsid w:val="08AC3680"/>
    <w:rsid w:val="08BD0334"/>
    <w:rsid w:val="08CE0B51"/>
    <w:rsid w:val="08E26B92"/>
    <w:rsid w:val="091A7487"/>
    <w:rsid w:val="092217DD"/>
    <w:rsid w:val="09284DBC"/>
    <w:rsid w:val="093A7294"/>
    <w:rsid w:val="09497BFD"/>
    <w:rsid w:val="098D4BDD"/>
    <w:rsid w:val="099931B3"/>
    <w:rsid w:val="099A5C5C"/>
    <w:rsid w:val="09DE3573"/>
    <w:rsid w:val="09FE2F63"/>
    <w:rsid w:val="0A263993"/>
    <w:rsid w:val="0A2D3AC2"/>
    <w:rsid w:val="0A3F1874"/>
    <w:rsid w:val="0A4E6FBD"/>
    <w:rsid w:val="0A5B1C9D"/>
    <w:rsid w:val="0A9B3DCA"/>
    <w:rsid w:val="0A9F0E8C"/>
    <w:rsid w:val="0AA555CF"/>
    <w:rsid w:val="0AA755DF"/>
    <w:rsid w:val="0AC101D6"/>
    <w:rsid w:val="0AE16233"/>
    <w:rsid w:val="0AE85F78"/>
    <w:rsid w:val="0AF95916"/>
    <w:rsid w:val="0B022B79"/>
    <w:rsid w:val="0B113701"/>
    <w:rsid w:val="0B120D44"/>
    <w:rsid w:val="0B595E15"/>
    <w:rsid w:val="0B601240"/>
    <w:rsid w:val="0B613F1A"/>
    <w:rsid w:val="0B840E1F"/>
    <w:rsid w:val="0BC11EE9"/>
    <w:rsid w:val="0BD27BF6"/>
    <w:rsid w:val="0C1D0333"/>
    <w:rsid w:val="0C22277D"/>
    <w:rsid w:val="0C387E2C"/>
    <w:rsid w:val="0C392F0A"/>
    <w:rsid w:val="0C3B3C7D"/>
    <w:rsid w:val="0C4B242C"/>
    <w:rsid w:val="0C4E7445"/>
    <w:rsid w:val="0C691B96"/>
    <w:rsid w:val="0C6F7B97"/>
    <w:rsid w:val="0C8E4EF6"/>
    <w:rsid w:val="0CAB2EAE"/>
    <w:rsid w:val="0CD3533D"/>
    <w:rsid w:val="0D143198"/>
    <w:rsid w:val="0D2C5796"/>
    <w:rsid w:val="0D621C7D"/>
    <w:rsid w:val="0DA1356D"/>
    <w:rsid w:val="0DAE0F8E"/>
    <w:rsid w:val="0DDE0B34"/>
    <w:rsid w:val="0E013AA6"/>
    <w:rsid w:val="0E73034D"/>
    <w:rsid w:val="0EC53040"/>
    <w:rsid w:val="0EF27D74"/>
    <w:rsid w:val="0F035AE8"/>
    <w:rsid w:val="0F13775A"/>
    <w:rsid w:val="0F50792D"/>
    <w:rsid w:val="0F5F45FE"/>
    <w:rsid w:val="0F9A112B"/>
    <w:rsid w:val="1006174A"/>
    <w:rsid w:val="101E01DD"/>
    <w:rsid w:val="102F5B68"/>
    <w:rsid w:val="10301D81"/>
    <w:rsid w:val="103136D5"/>
    <w:rsid w:val="106D2F64"/>
    <w:rsid w:val="108703B3"/>
    <w:rsid w:val="109B189C"/>
    <w:rsid w:val="10B63710"/>
    <w:rsid w:val="10BC6AE9"/>
    <w:rsid w:val="10F10820"/>
    <w:rsid w:val="110132F0"/>
    <w:rsid w:val="11050FAA"/>
    <w:rsid w:val="111C2F7A"/>
    <w:rsid w:val="112A6983"/>
    <w:rsid w:val="113D1386"/>
    <w:rsid w:val="1143045F"/>
    <w:rsid w:val="11665CA1"/>
    <w:rsid w:val="11C12CB1"/>
    <w:rsid w:val="11C74FD7"/>
    <w:rsid w:val="11D82AF8"/>
    <w:rsid w:val="11EB59A4"/>
    <w:rsid w:val="11FC011F"/>
    <w:rsid w:val="1221034B"/>
    <w:rsid w:val="125664E4"/>
    <w:rsid w:val="12D16E5D"/>
    <w:rsid w:val="13170101"/>
    <w:rsid w:val="1334487A"/>
    <w:rsid w:val="13931BDB"/>
    <w:rsid w:val="13951726"/>
    <w:rsid w:val="13A72B64"/>
    <w:rsid w:val="13BE4506"/>
    <w:rsid w:val="13D205B1"/>
    <w:rsid w:val="13D7584F"/>
    <w:rsid w:val="13F953C6"/>
    <w:rsid w:val="14243C74"/>
    <w:rsid w:val="14396509"/>
    <w:rsid w:val="14665304"/>
    <w:rsid w:val="1490109D"/>
    <w:rsid w:val="14932BE8"/>
    <w:rsid w:val="14973D15"/>
    <w:rsid w:val="149B2440"/>
    <w:rsid w:val="14B12CBB"/>
    <w:rsid w:val="14DD2C3C"/>
    <w:rsid w:val="14E813C2"/>
    <w:rsid w:val="15976B6E"/>
    <w:rsid w:val="15D1198F"/>
    <w:rsid w:val="16087E1D"/>
    <w:rsid w:val="161A6EA9"/>
    <w:rsid w:val="163958A2"/>
    <w:rsid w:val="163E7F6F"/>
    <w:rsid w:val="16421DB4"/>
    <w:rsid w:val="16541166"/>
    <w:rsid w:val="16593F8C"/>
    <w:rsid w:val="16900415"/>
    <w:rsid w:val="175D45DA"/>
    <w:rsid w:val="17701D14"/>
    <w:rsid w:val="17735226"/>
    <w:rsid w:val="17904284"/>
    <w:rsid w:val="17A63CBA"/>
    <w:rsid w:val="17AA3F16"/>
    <w:rsid w:val="17B47BF1"/>
    <w:rsid w:val="17B53831"/>
    <w:rsid w:val="17B65CA2"/>
    <w:rsid w:val="17BC6AFB"/>
    <w:rsid w:val="17DD073D"/>
    <w:rsid w:val="17DD5268"/>
    <w:rsid w:val="180E10DD"/>
    <w:rsid w:val="186A2793"/>
    <w:rsid w:val="188E4A08"/>
    <w:rsid w:val="189F624C"/>
    <w:rsid w:val="18D1704E"/>
    <w:rsid w:val="18DF1450"/>
    <w:rsid w:val="18F358AD"/>
    <w:rsid w:val="19345563"/>
    <w:rsid w:val="194543C8"/>
    <w:rsid w:val="19727272"/>
    <w:rsid w:val="19AD3736"/>
    <w:rsid w:val="19C51918"/>
    <w:rsid w:val="19DF26F0"/>
    <w:rsid w:val="1A1C66C0"/>
    <w:rsid w:val="1A42393B"/>
    <w:rsid w:val="1A5D1977"/>
    <w:rsid w:val="1A6E5329"/>
    <w:rsid w:val="1AA26BE8"/>
    <w:rsid w:val="1AAD45DE"/>
    <w:rsid w:val="1AB33FF8"/>
    <w:rsid w:val="1AD14861"/>
    <w:rsid w:val="1AF97902"/>
    <w:rsid w:val="1B046F80"/>
    <w:rsid w:val="1B227C60"/>
    <w:rsid w:val="1B3267B5"/>
    <w:rsid w:val="1B40161D"/>
    <w:rsid w:val="1B441859"/>
    <w:rsid w:val="1B6606B1"/>
    <w:rsid w:val="1B883E20"/>
    <w:rsid w:val="1BAD565E"/>
    <w:rsid w:val="1BF750FD"/>
    <w:rsid w:val="1C464637"/>
    <w:rsid w:val="1C48566E"/>
    <w:rsid w:val="1C544DB8"/>
    <w:rsid w:val="1C5E7925"/>
    <w:rsid w:val="1C6E2DC0"/>
    <w:rsid w:val="1C6E3F6B"/>
    <w:rsid w:val="1CD203FA"/>
    <w:rsid w:val="1CDE7CED"/>
    <w:rsid w:val="1CE17CE3"/>
    <w:rsid w:val="1CF058D6"/>
    <w:rsid w:val="1CFD070F"/>
    <w:rsid w:val="1D3371F4"/>
    <w:rsid w:val="1D3732FC"/>
    <w:rsid w:val="1D4B3D09"/>
    <w:rsid w:val="1D5F6196"/>
    <w:rsid w:val="1D6132A5"/>
    <w:rsid w:val="1D813CC1"/>
    <w:rsid w:val="1D8E56D5"/>
    <w:rsid w:val="1DB17512"/>
    <w:rsid w:val="1DC72D0E"/>
    <w:rsid w:val="1DF11B11"/>
    <w:rsid w:val="1E3B111E"/>
    <w:rsid w:val="1E534ABC"/>
    <w:rsid w:val="1E545323"/>
    <w:rsid w:val="1E554249"/>
    <w:rsid w:val="1E5810E7"/>
    <w:rsid w:val="1E6B556D"/>
    <w:rsid w:val="1E7A43DA"/>
    <w:rsid w:val="1E8277F9"/>
    <w:rsid w:val="1E973A3F"/>
    <w:rsid w:val="1EAF1A93"/>
    <w:rsid w:val="1EBB7ACA"/>
    <w:rsid w:val="1ECB57F4"/>
    <w:rsid w:val="1ED072B2"/>
    <w:rsid w:val="1EE37343"/>
    <w:rsid w:val="1F022C16"/>
    <w:rsid w:val="1F747B6D"/>
    <w:rsid w:val="1F795B25"/>
    <w:rsid w:val="1F923A98"/>
    <w:rsid w:val="1F9B48BB"/>
    <w:rsid w:val="1F9C35C0"/>
    <w:rsid w:val="1FA82281"/>
    <w:rsid w:val="1FE02794"/>
    <w:rsid w:val="1FE7539E"/>
    <w:rsid w:val="1FEE5169"/>
    <w:rsid w:val="1FF829EB"/>
    <w:rsid w:val="200A7D12"/>
    <w:rsid w:val="20671BE0"/>
    <w:rsid w:val="206760AA"/>
    <w:rsid w:val="20963CB8"/>
    <w:rsid w:val="20A81A1B"/>
    <w:rsid w:val="20B07FB6"/>
    <w:rsid w:val="20B646FB"/>
    <w:rsid w:val="213B74B1"/>
    <w:rsid w:val="215A2310"/>
    <w:rsid w:val="21826606"/>
    <w:rsid w:val="21DE318A"/>
    <w:rsid w:val="21EF5B80"/>
    <w:rsid w:val="22576990"/>
    <w:rsid w:val="22733AEE"/>
    <w:rsid w:val="228F0934"/>
    <w:rsid w:val="22F43287"/>
    <w:rsid w:val="22F47480"/>
    <w:rsid w:val="233603D3"/>
    <w:rsid w:val="23410C42"/>
    <w:rsid w:val="23755D63"/>
    <w:rsid w:val="23757447"/>
    <w:rsid w:val="23A93537"/>
    <w:rsid w:val="23BF2D5B"/>
    <w:rsid w:val="23DE1C48"/>
    <w:rsid w:val="23F0191A"/>
    <w:rsid w:val="23F40452"/>
    <w:rsid w:val="240210CD"/>
    <w:rsid w:val="24091DE1"/>
    <w:rsid w:val="246B6A3F"/>
    <w:rsid w:val="249B3B8D"/>
    <w:rsid w:val="24BF09F7"/>
    <w:rsid w:val="24C347F3"/>
    <w:rsid w:val="24C35FFD"/>
    <w:rsid w:val="252D53FE"/>
    <w:rsid w:val="256F70E5"/>
    <w:rsid w:val="25807435"/>
    <w:rsid w:val="25C1100C"/>
    <w:rsid w:val="25EC2D81"/>
    <w:rsid w:val="261F20D9"/>
    <w:rsid w:val="26341E47"/>
    <w:rsid w:val="264E43B5"/>
    <w:rsid w:val="266F17F9"/>
    <w:rsid w:val="269D33ED"/>
    <w:rsid w:val="26E6011C"/>
    <w:rsid w:val="26F04ACF"/>
    <w:rsid w:val="27217E38"/>
    <w:rsid w:val="2728039B"/>
    <w:rsid w:val="272D5420"/>
    <w:rsid w:val="27574C29"/>
    <w:rsid w:val="277057A2"/>
    <w:rsid w:val="277B3410"/>
    <w:rsid w:val="27B2687E"/>
    <w:rsid w:val="27BD5346"/>
    <w:rsid w:val="27C24F68"/>
    <w:rsid w:val="27E3353B"/>
    <w:rsid w:val="27E75088"/>
    <w:rsid w:val="28231C0C"/>
    <w:rsid w:val="28484B8F"/>
    <w:rsid w:val="286059A6"/>
    <w:rsid w:val="287E3BF6"/>
    <w:rsid w:val="28844037"/>
    <w:rsid w:val="28BF5A2C"/>
    <w:rsid w:val="29206EB8"/>
    <w:rsid w:val="29595666"/>
    <w:rsid w:val="29673F9A"/>
    <w:rsid w:val="297D055D"/>
    <w:rsid w:val="29874881"/>
    <w:rsid w:val="29A42EB3"/>
    <w:rsid w:val="29BC7957"/>
    <w:rsid w:val="29E325E0"/>
    <w:rsid w:val="2A2437DD"/>
    <w:rsid w:val="2A452503"/>
    <w:rsid w:val="2A656E6E"/>
    <w:rsid w:val="2AC43825"/>
    <w:rsid w:val="2B53055A"/>
    <w:rsid w:val="2B6648A5"/>
    <w:rsid w:val="2B717B3C"/>
    <w:rsid w:val="2B792139"/>
    <w:rsid w:val="2BA07916"/>
    <w:rsid w:val="2BA936A8"/>
    <w:rsid w:val="2BD32290"/>
    <w:rsid w:val="2C1219BB"/>
    <w:rsid w:val="2C315A5A"/>
    <w:rsid w:val="2C4B1C25"/>
    <w:rsid w:val="2C6C481A"/>
    <w:rsid w:val="2CAD52E1"/>
    <w:rsid w:val="2CC46DAC"/>
    <w:rsid w:val="2D10705E"/>
    <w:rsid w:val="2D371B71"/>
    <w:rsid w:val="2D4B08B0"/>
    <w:rsid w:val="2D4C0D65"/>
    <w:rsid w:val="2D654F40"/>
    <w:rsid w:val="2D666FB2"/>
    <w:rsid w:val="2D946763"/>
    <w:rsid w:val="2D9D5041"/>
    <w:rsid w:val="2D9E56F5"/>
    <w:rsid w:val="2DA730DA"/>
    <w:rsid w:val="2DCC5589"/>
    <w:rsid w:val="2E263A80"/>
    <w:rsid w:val="2E3C2181"/>
    <w:rsid w:val="2E3E700E"/>
    <w:rsid w:val="2E55444E"/>
    <w:rsid w:val="2E667F96"/>
    <w:rsid w:val="2E8226AB"/>
    <w:rsid w:val="2EAD4709"/>
    <w:rsid w:val="2ED00645"/>
    <w:rsid w:val="2EDB7306"/>
    <w:rsid w:val="2EE3574B"/>
    <w:rsid w:val="2F0D459B"/>
    <w:rsid w:val="2F2D5FFA"/>
    <w:rsid w:val="2F66367D"/>
    <w:rsid w:val="2F86506E"/>
    <w:rsid w:val="2F8C7A06"/>
    <w:rsid w:val="2F9B4D95"/>
    <w:rsid w:val="2FA83265"/>
    <w:rsid w:val="2FB6519D"/>
    <w:rsid w:val="2FC12000"/>
    <w:rsid w:val="2FC53DC8"/>
    <w:rsid w:val="2FD065E6"/>
    <w:rsid w:val="2FD96870"/>
    <w:rsid w:val="30022E5B"/>
    <w:rsid w:val="303D298B"/>
    <w:rsid w:val="30580BC9"/>
    <w:rsid w:val="306F4855"/>
    <w:rsid w:val="307B3DE3"/>
    <w:rsid w:val="3090640C"/>
    <w:rsid w:val="309C6C2F"/>
    <w:rsid w:val="30C23F79"/>
    <w:rsid w:val="30D3594F"/>
    <w:rsid w:val="30E07834"/>
    <w:rsid w:val="311E2ED7"/>
    <w:rsid w:val="312A3C36"/>
    <w:rsid w:val="31450839"/>
    <w:rsid w:val="314B5736"/>
    <w:rsid w:val="315619EE"/>
    <w:rsid w:val="315801C0"/>
    <w:rsid w:val="315C449C"/>
    <w:rsid w:val="319A5F7F"/>
    <w:rsid w:val="31B82709"/>
    <w:rsid w:val="31BD6B98"/>
    <w:rsid w:val="31D05482"/>
    <w:rsid w:val="320655AF"/>
    <w:rsid w:val="322924BF"/>
    <w:rsid w:val="32297556"/>
    <w:rsid w:val="32400B34"/>
    <w:rsid w:val="32573C08"/>
    <w:rsid w:val="32674CE9"/>
    <w:rsid w:val="32681D7E"/>
    <w:rsid w:val="32743EF4"/>
    <w:rsid w:val="327B3CFF"/>
    <w:rsid w:val="32804A86"/>
    <w:rsid w:val="328C14AB"/>
    <w:rsid w:val="329E6876"/>
    <w:rsid w:val="32AC5694"/>
    <w:rsid w:val="32C05C5B"/>
    <w:rsid w:val="32DA30A0"/>
    <w:rsid w:val="33127A78"/>
    <w:rsid w:val="33226A2C"/>
    <w:rsid w:val="332B2B49"/>
    <w:rsid w:val="333015F2"/>
    <w:rsid w:val="334B6320"/>
    <w:rsid w:val="33670469"/>
    <w:rsid w:val="33754941"/>
    <w:rsid w:val="33886B3E"/>
    <w:rsid w:val="33A8556B"/>
    <w:rsid w:val="33D934D4"/>
    <w:rsid w:val="33EA5704"/>
    <w:rsid w:val="33FE2F6A"/>
    <w:rsid w:val="34031E9A"/>
    <w:rsid w:val="340E07E5"/>
    <w:rsid w:val="34235BF7"/>
    <w:rsid w:val="343B790C"/>
    <w:rsid w:val="34600D1D"/>
    <w:rsid w:val="34E1503D"/>
    <w:rsid w:val="353A069D"/>
    <w:rsid w:val="354B49EF"/>
    <w:rsid w:val="358C5FA8"/>
    <w:rsid w:val="358D5BE4"/>
    <w:rsid w:val="35C15DF1"/>
    <w:rsid w:val="36074A7F"/>
    <w:rsid w:val="36183E27"/>
    <w:rsid w:val="361F4892"/>
    <w:rsid w:val="363305E6"/>
    <w:rsid w:val="36765F29"/>
    <w:rsid w:val="36923549"/>
    <w:rsid w:val="36AE1139"/>
    <w:rsid w:val="36B75FBF"/>
    <w:rsid w:val="36BA5F48"/>
    <w:rsid w:val="36BD0C45"/>
    <w:rsid w:val="36D214DF"/>
    <w:rsid w:val="36FB76F0"/>
    <w:rsid w:val="37474E1D"/>
    <w:rsid w:val="374B37C3"/>
    <w:rsid w:val="37623DC6"/>
    <w:rsid w:val="37822916"/>
    <w:rsid w:val="37C93E97"/>
    <w:rsid w:val="37CB4130"/>
    <w:rsid w:val="37CF3E9D"/>
    <w:rsid w:val="37E00298"/>
    <w:rsid w:val="380F5EE2"/>
    <w:rsid w:val="380F75E4"/>
    <w:rsid w:val="386C4CA5"/>
    <w:rsid w:val="38B302F9"/>
    <w:rsid w:val="38EC4BB3"/>
    <w:rsid w:val="38F12CD3"/>
    <w:rsid w:val="38F82B3F"/>
    <w:rsid w:val="38F94775"/>
    <w:rsid w:val="392971ED"/>
    <w:rsid w:val="39325651"/>
    <w:rsid w:val="395A0680"/>
    <w:rsid w:val="39B4222B"/>
    <w:rsid w:val="39F544E1"/>
    <w:rsid w:val="3A4E08BC"/>
    <w:rsid w:val="3A4E0CEB"/>
    <w:rsid w:val="3A872856"/>
    <w:rsid w:val="3AA906BC"/>
    <w:rsid w:val="3AAF2239"/>
    <w:rsid w:val="3ABA4A99"/>
    <w:rsid w:val="3ADA2BAF"/>
    <w:rsid w:val="3B250516"/>
    <w:rsid w:val="3B3763D1"/>
    <w:rsid w:val="3B5B761C"/>
    <w:rsid w:val="3B71466B"/>
    <w:rsid w:val="3B7B3744"/>
    <w:rsid w:val="3BE205C7"/>
    <w:rsid w:val="3BF138D0"/>
    <w:rsid w:val="3C2810DB"/>
    <w:rsid w:val="3C2F6E1E"/>
    <w:rsid w:val="3C3E487E"/>
    <w:rsid w:val="3C4979E3"/>
    <w:rsid w:val="3C4F64BA"/>
    <w:rsid w:val="3C5B2793"/>
    <w:rsid w:val="3C5E400B"/>
    <w:rsid w:val="3C9455F4"/>
    <w:rsid w:val="3CDA245A"/>
    <w:rsid w:val="3CF47AC1"/>
    <w:rsid w:val="3D014521"/>
    <w:rsid w:val="3D136E0E"/>
    <w:rsid w:val="3D1E06B7"/>
    <w:rsid w:val="3D361CF6"/>
    <w:rsid w:val="3D363C36"/>
    <w:rsid w:val="3D381A7B"/>
    <w:rsid w:val="3D4011E0"/>
    <w:rsid w:val="3D6A5E37"/>
    <w:rsid w:val="3D912E76"/>
    <w:rsid w:val="3D9F6A2C"/>
    <w:rsid w:val="3DAD2772"/>
    <w:rsid w:val="3DEC22C1"/>
    <w:rsid w:val="3DED5874"/>
    <w:rsid w:val="3E086D70"/>
    <w:rsid w:val="3E634CB5"/>
    <w:rsid w:val="3E736E23"/>
    <w:rsid w:val="3EA373E8"/>
    <w:rsid w:val="3EDA0523"/>
    <w:rsid w:val="3EE878CB"/>
    <w:rsid w:val="3F1D2F3F"/>
    <w:rsid w:val="3F4343B0"/>
    <w:rsid w:val="3F6718AB"/>
    <w:rsid w:val="3F7E3FBC"/>
    <w:rsid w:val="3F806214"/>
    <w:rsid w:val="403F2E01"/>
    <w:rsid w:val="40552625"/>
    <w:rsid w:val="407A6407"/>
    <w:rsid w:val="40A50046"/>
    <w:rsid w:val="40CA554C"/>
    <w:rsid w:val="4105229D"/>
    <w:rsid w:val="411753FE"/>
    <w:rsid w:val="41890513"/>
    <w:rsid w:val="4192492E"/>
    <w:rsid w:val="41CA6D6F"/>
    <w:rsid w:val="41F00CB8"/>
    <w:rsid w:val="41F24E6F"/>
    <w:rsid w:val="4200449D"/>
    <w:rsid w:val="42040582"/>
    <w:rsid w:val="423050F8"/>
    <w:rsid w:val="423A3BCC"/>
    <w:rsid w:val="424E57D2"/>
    <w:rsid w:val="42540FF9"/>
    <w:rsid w:val="4298343B"/>
    <w:rsid w:val="42A2246B"/>
    <w:rsid w:val="42AD2AB0"/>
    <w:rsid w:val="42AD752A"/>
    <w:rsid w:val="42B26C49"/>
    <w:rsid w:val="42E86917"/>
    <w:rsid w:val="431F180A"/>
    <w:rsid w:val="433A6FE6"/>
    <w:rsid w:val="43480868"/>
    <w:rsid w:val="4350713C"/>
    <w:rsid w:val="436653E0"/>
    <w:rsid w:val="437877BC"/>
    <w:rsid w:val="43803DD5"/>
    <w:rsid w:val="43B76C74"/>
    <w:rsid w:val="43C4431A"/>
    <w:rsid w:val="43D27FC5"/>
    <w:rsid w:val="440B4FC8"/>
    <w:rsid w:val="44171D01"/>
    <w:rsid w:val="448E74DF"/>
    <w:rsid w:val="44AE7B60"/>
    <w:rsid w:val="44B350DF"/>
    <w:rsid w:val="44B951CC"/>
    <w:rsid w:val="44CD14E0"/>
    <w:rsid w:val="44CD1C49"/>
    <w:rsid w:val="44DA46D5"/>
    <w:rsid w:val="44F20B0B"/>
    <w:rsid w:val="44FE12DE"/>
    <w:rsid w:val="452E5F4C"/>
    <w:rsid w:val="453F380B"/>
    <w:rsid w:val="454E7A88"/>
    <w:rsid w:val="45612018"/>
    <w:rsid w:val="45851EA5"/>
    <w:rsid w:val="458946E9"/>
    <w:rsid w:val="45963239"/>
    <w:rsid w:val="45A47C0E"/>
    <w:rsid w:val="463252F0"/>
    <w:rsid w:val="46577FD6"/>
    <w:rsid w:val="46783961"/>
    <w:rsid w:val="46D955A7"/>
    <w:rsid w:val="46EB3C22"/>
    <w:rsid w:val="46FB2867"/>
    <w:rsid w:val="47133957"/>
    <w:rsid w:val="473C60E1"/>
    <w:rsid w:val="475529C8"/>
    <w:rsid w:val="47805297"/>
    <w:rsid w:val="479A3EC6"/>
    <w:rsid w:val="479D2CF9"/>
    <w:rsid w:val="47A07E0C"/>
    <w:rsid w:val="47B36F9E"/>
    <w:rsid w:val="47CA4C51"/>
    <w:rsid w:val="47D74267"/>
    <w:rsid w:val="47FC1517"/>
    <w:rsid w:val="486D6549"/>
    <w:rsid w:val="4870272E"/>
    <w:rsid w:val="487E25DF"/>
    <w:rsid w:val="487F6573"/>
    <w:rsid w:val="48C82244"/>
    <w:rsid w:val="48D26D05"/>
    <w:rsid w:val="48E921CA"/>
    <w:rsid w:val="49202AE6"/>
    <w:rsid w:val="492F3366"/>
    <w:rsid w:val="49486421"/>
    <w:rsid w:val="496274DF"/>
    <w:rsid w:val="496C3E3C"/>
    <w:rsid w:val="497D6590"/>
    <w:rsid w:val="49A53BD0"/>
    <w:rsid w:val="49DC7715"/>
    <w:rsid w:val="49E068C6"/>
    <w:rsid w:val="49E20FBA"/>
    <w:rsid w:val="49FE2617"/>
    <w:rsid w:val="4A023139"/>
    <w:rsid w:val="4A154C02"/>
    <w:rsid w:val="4A516C11"/>
    <w:rsid w:val="4A571833"/>
    <w:rsid w:val="4A58168F"/>
    <w:rsid w:val="4A7B31CD"/>
    <w:rsid w:val="4A7B576F"/>
    <w:rsid w:val="4AB2087D"/>
    <w:rsid w:val="4AF561A9"/>
    <w:rsid w:val="4B4D77EB"/>
    <w:rsid w:val="4B5258BD"/>
    <w:rsid w:val="4B5358D7"/>
    <w:rsid w:val="4B611AB4"/>
    <w:rsid w:val="4B86198D"/>
    <w:rsid w:val="4BA30248"/>
    <w:rsid w:val="4C3C62A4"/>
    <w:rsid w:val="4C4A0649"/>
    <w:rsid w:val="4C7E5ECA"/>
    <w:rsid w:val="4C855E29"/>
    <w:rsid w:val="4C876AA5"/>
    <w:rsid w:val="4C9028AB"/>
    <w:rsid w:val="4CAE284E"/>
    <w:rsid w:val="4CEF7D2C"/>
    <w:rsid w:val="4D0E00FB"/>
    <w:rsid w:val="4D176606"/>
    <w:rsid w:val="4D28511E"/>
    <w:rsid w:val="4D4E6D7A"/>
    <w:rsid w:val="4D561A43"/>
    <w:rsid w:val="4D764171"/>
    <w:rsid w:val="4DD962E3"/>
    <w:rsid w:val="4DE549AB"/>
    <w:rsid w:val="4DEC4FB0"/>
    <w:rsid w:val="4DF81CBC"/>
    <w:rsid w:val="4E011036"/>
    <w:rsid w:val="4E075D8A"/>
    <w:rsid w:val="4E3C1A8F"/>
    <w:rsid w:val="4E3D6C6A"/>
    <w:rsid w:val="4E4A5C22"/>
    <w:rsid w:val="4E646963"/>
    <w:rsid w:val="4E727016"/>
    <w:rsid w:val="4E983BA7"/>
    <w:rsid w:val="4EA15B44"/>
    <w:rsid w:val="4EC00FAD"/>
    <w:rsid w:val="4ECD10A3"/>
    <w:rsid w:val="4EDB2B08"/>
    <w:rsid w:val="4EDC3366"/>
    <w:rsid w:val="4EF77EEF"/>
    <w:rsid w:val="4F773718"/>
    <w:rsid w:val="4F802D09"/>
    <w:rsid w:val="4F8627FB"/>
    <w:rsid w:val="4F887855"/>
    <w:rsid w:val="4F947849"/>
    <w:rsid w:val="4F9843DC"/>
    <w:rsid w:val="4FAE7E06"/>
    <w:rsid w:val="4FC62A8C"/>
    <w:rsid w:val="4FE20F0D"/>
    <w:rsid w:val="4FE51552"/>
    <w:rsid w:val="500742FC"/>
    <w:rsid w:val="500B134E"/>
    <w:rsid w:val="50504C4B"/>
    <w:rsid w:val="506B7639"/>
    <w:rsid w:val="507C2895"/>
    <w:rsid w:val="509C6E7C"/>
    <w:rsid w:val="50DC780D"/>
    <w:rsid w:val="50E15D4D"/>
    <w:rsid w:val="514A45D3"/>
    <w:rsid w:val="514F034D"/>
    <w:rsid w:val="5162104E"/>
    <w:rsid w:val="51754B84"/>
    <w:rsid w:val="51C26320"/>
    <w:rsid w:val="51C7526D"/>
    <w:rsid w:val="51DB1900"/>
    <w:rsid w:val="52534714"/>
    <w:rsid w:val="52561DB0"/>
    <w:rsid w:val="525666A0"/>
    <w:rsid w:val="525B0597"/>
    <w:rsid w:val="52706C20"/>
    <w:rsid w:val="527975D0"/>
    <w:rsid w:val="52B23907"/>
    <w:rsid w:val="52DA1C1E"/>
    <w:rsid w:val="52E2331D"/>
    <w:rsid w:val="52EC0B45"/>
    <w:rsid w:val="53315A85"/>
    <w:rsid w:val="535140C3"/>
    <w:rsid w:val="536A351C"/>
    <w:rsid w:val="539108C3"/>
    <w:rsid w:val="53A039CC"/>
    <w:rsid w:val="53A1505A"/>
    <w:rsid w:val="54063E08"/>
    <w:rsid w:val="542D5BE2"/>
    <w:rsid w:val="5430603E"/>
    <w:rsid w:val="543437E8"/>
    <w:rsid w:val="544A1342"/>
    <w:rsid w:val="54C435A2"/>
    <w:rsid w:val="54CF6E85"/>
    <w:rsid w:val="54D15274"/>
    <w:rsid w:val="54F73313"/>
    <w:rsid w:val="54F80955"/>
    <w:rsid w:val="54FA4CFA"/>
    <w:rsid w:val="555170A7"/>
    <w:rsid w:val="556413FD"/>
    <w:rsid w:val="5587536D"/>
    <w:rsid w:val="559B174B"/>
    <w:rsid w:val="55A74861"/>
    <w:rsid w:val="55CE0CF4"/>
    <w:rsid w:val="55DD7A41"/>
    <w:rsid w:val="56331401"/>
    <w:rsid w:val="56512413"/>
    <w:rsid w:val="568E3A93"/>
    <w:rsid w:val="56A95E08"/>
    <w:rsid w:val="56B22A9C"/>
    <w:rsid w:val="56C24C35"/>
    <w:rsid w:val="579A6FEB"/>
    <w:rsid w:val="57A118C8"/>
    <w:rsid w:val="57A24C1B"/>
    <w:rsid w:val="57B72A76"/>
    <w:rsid w:val="57C3426C"/>
    <w:rsid w:val="57CE1F93"/>
    <w:rsid w:val="57E02B4F"/>
    <w:rsid w:val="5803253C"/>
    <w:rsid w:val="58207565"/>
    <w:rsid w:val="5822099B"/>
    <w:rsid w:val="588743D1"/>
    <w:rsid w:val="5887701A"/>
    <w:rsid w:val="588B42F9"/>
    <w:rsid w:val="58903328"/>
    <w:rsid w:val="589D038E"/>
    <w:rsid w:val="58BF023E"/>
    <w:rsid w:val="58D03818"/>
    <w:rsid w:val="58D17F89"/>
    <w:rsid w:val="593D067B"/>
    <w:rsid w:val="594F31BA"/>
    <w:rsid w:val="595E46A3"/>
    <w:rsid w:val="59735DA8"/>
    <w:rsid w:val="59A25405"/>
    <w:rsid w:val="59AC4578"/>
    <w:rsid w:val="59C0439F"/>
    <w:rsid w:val="59D105B7"/>
    <w:rsid w:val="59F84291"/>
    <w:rsid w:val="5A082FD9"/>
    <w:rsid w:val="5A10294A"/>
    <w:rsid w:val="5A505656"/>
    <w:rsid w:val="5A6B3FBA"/>
    <w:rsid w:val="5A716D02"/>
    <w:rsid w:val="5A7245D7"/>
    <w:rsid w:val="5AB3021C"/>
    <w:rsid w:val="5AB95119"/>
    <w:rsid w:val="5ABE2233"/>
    <w:rsid w:val="5AC32CB4"/>
    <w:rsid w:val="5B2F5A5B"/>
    <w:rsid w:val="5B332702"/>
    <w:rsid w:val="5B525C87"/>
    <w:rsid w:val="5BA30291"/>
    <w:rsid w:val="5BDF5D95"/>
    <w:rsid w:val="5BFE7528"/>
    <w:rsid w:val="5C050801"/>
    <w:rsid w:val="5C59581B"/>
    <w:rsid w:val="5C860F6B"/>
    <w:rsid w:val="5C97637F"/>
    <w:rsid w:val="5CC46B47"/>
    <w:rsid w:val="5D506660"/>
    <w:rsid w:val="5D714477"/>
    <w:rsid w:val="5DC058EB"/>
    <w:rsid w:val="5DD10128"/>
    <w:rsid w:val="5DD81CCD"/>
    <w:rsid w:val="5DFE7EB6"/>
    <w:rsid w:val="5E2467F1"/>
    <w:rsid w:val="5E44466D"/>
    <w:rsid w:val="5E4E5EB9"/>
    <w:rsid w:val="5E621EC9"/>
    <w:rsid w:val="5E687CB5"/>
    <w:rsid w:val="5EB21DF7"/>
    <w:rsid w:val="5EB9324F"/>
    <w:rsid w:val="5F1A2B43"/>
    <w:rsid w:val="5F507349"/>
    <w:rsid w:val="5F6E3C69"/>
    <w:rsid w:val="5F71003F"/>
    <w:rsid w:val="5FB54D7B"/>
    <w:rsid w:val="5FB837BB"/>
    <w:rsid w:val="5FF82C9E"/>
    <w:rsid w:val="60041038"/>
    <w:rsid w:val="602277A2"/>
    <w:rsid w:val="60475718"/>
    <w:rsid w:val="6084556A"/>
    <w:rsid w:val="608C64A1"/>
    <w:rsid w:val="60906CEE"/>
    <w:rsid w:val="60A23B95"/>
    <w:rsid w:val="60CC405A"/>
    <w:rsid w:val="60CE3BEB"/>
    <w:rsid w:val="60D17C3E"/>
    <w:rsid w:val="615601E9"/>
    <w:rsid w:val="617859E8"/>
    <w:rsid w:val="618D7E32"/>
    <w:rsid w:val="61B35ABE"/>
    <w:rsid w:val="61E215D8"/>
    <w:rsid w:val="61EB2000"/>
    <w:rsid w:val="621B3775"/>
    <w:rsid w:val="62364782"/>
    <w:rsid w:val="623F6E56"/>
    <w:rsid w:val="626F25B9"/>
    <w:rsid w:val="628A341F"/>
    <w:rsid w:val="62F320BB"/>
    <w:rsid w:val="632750CE"/>
    <w:rsid w:val="632D6F1F"/>
    <w:rsid w:val="63387E58"/>
    <w:rsid w:val="633B5C45"/>
    <w:rsid w:val="633D42EE"/>
    <w:rsid w:val="63701395"/>
    <w:rsid w:val="6394356A"/>
    <w:rsid w:val="63B67828"/>
    <w:rsid w:val="63C61B2C"/>
    <w:rsid w:val="63D40BE9"/>
    <w:rsid w:val="63EC10AE"/>
    <w:rsid w:val="64102431"/>
    <w:rsid w:val="641C4BCD"/>
    <w:rsid w:val="641E30F4"/>
    <w:rsid w:val="64404479"/>
    <w:rsid w:val="64571E20"/>
    <w:rsid w:val="648952C8"/>
    <w:rsid w:val="648A0AFE"/>
    <w:rsid w:val="64A5243A"/>
    <w:rsid w:val="64B00C39"/>
    <w:rsid w:val="64F531DE"/>
    <w:rsid w:val="650F2266"/>
    <w:rsid w:val="651414DB"/>
    <w:rsid w:val="652C4266"/>
    <w:rsid w:val="65373578"/>
    <w:rsid w:val="65462486"/>
    <w:rsid w:val="654D17F1"/>
    <w:rsid w:val="659934A9"/>
    <w:rsid w:val="65B76F02"/>
    <w:rsid w:val="65D67F63"/>
    <w:rsid w:val="65F71C93"/>
    <w:rsid w:val="66367CE8"/>
    <w:rsid w:val="666C4254"/>
    <w:rsid w:val="669376C0"/>
    <w:rsid w:val="66D82988"/>
    <w:rsid w:val="670E2CF4"/>
    <w:rsid w:val="67167361"/>
    <w:rsid w:val="671F124A"/>
    <w:rsid w:val="67291D7B"/>
    <w:rsid w:val="674C75E3"/>
    <w:rsid w:val="677A33C6"/>
    <w:rsid w:val="679717A3"/>
    <w:rsid w:val="679A7D77"/>
    <w:rsid w:val="67E932C3"/>
    <w:rsid w:val="681F6961"/>
    <w:rsid w:val="685F022E"/>
    <w:rsid w:val="68610A2F"/>
    <w:rsid w:val="68805514"/>
    <w:rsid w:val="688105BC"/>
    <w:rsid w:val="689577D1"/>
    <w:rsid w:val="689F35C3"/>
    <w:rsid w:val="68BF27B9"/>
    <w:rsid w:val="690146B6"/>
    <w:rsid w:val="690C2FEE"/>
    <w:rsid w:val="6924682B"/>
    <w:rsid w:val="69316E2F"/>
    <w:rsid w:val="69443B0A"/>
    <w:rsid w:val="694E2071"/>
    <w:rsid w:val="696B2369"/>
    <w:rsid w:val="69766163"/>
    <w:rsid w:val="697A3B33"/>
    <w:rsid w:val="69860B9D"/>
    <w:rsid w:val="69D22283"/>
    <w:rsid w:val="69D22757"/>
    <w:rsid w:val="69D44760"/>
    <w:rsid w:val="69D55693"/>
    <w:rsid w:val="6A1805EF"/>
    <w:rsid w:val="6A1E7759"/>
    <w:rsid w:val="6A2223B0"/>
    <w:rsid w:val="6A237592"/>
    <w:rsid w:val="6A430EA5"/>
    <w:rsid w:val="6A520EC7"/>
    <w:rsid w:val="6A9A6590"/>
    <w:rsid w:val="6AB57FE0"/>
    <w:rsid w:val="6AC12A02"/>
    <w:rsid w:val="6AC46A89"/>
    <w:rsid w:val="6ADF68F7"/>
    <w:rsid w:val="6AF87E20"/>
    <w:rsid w:val="6B062C18"/>
    <w:rsid w:val="6B2131AD"/>
    <w:rsid w:val="6B2667E8"/>
    <w:rsid w:val="6B322639"/>
    <w:rsid w:val="6B3B5EBD"/>
    <w:rsid w:val="6B4017F7"/>
    <w:rsid w:val="6B650328"/>
    <w:rsid w:val="6B83186E"/>
    <w:rsid w:val="6B9A15B5"/>
    <w:rsid w:val="6BA6460F"/>
    <w:rsid w:val="6BB36DBD"/>
    <w:rsid w:val="6BD3071E"/>
    <w:rsid w:val="6BED7125"/>
    <w:rsid w:val="6C4C7C6C"/>
    <w:rsid w:val="6C636C38"/>
    <w:rsid w:val="6C9A011D"/>
    <w:rsid w:val="6CE07F5A"/>
    <w:rsid w:val="6CEB5622"/>
    <w:rsid w:val="6D016E29"/>
    <w:rsid w:val="6D0C029D"/>
    <w:rsid w:val="6D910891"/>
    <w:rsid w:val="6DB34098"/>
    <w:rsid w:val="6DB545B6"/>
    <w:rsid w:val="6DB91255"/>
    <w:rsid w:val="6DE02FB4"/>
    <w:rsid w:val="6DE81972"/>
    <w:rsid w:val="6E28389A"/>
    <w:rsid w:val="6E29002F"/>
    <w:rsid w:val="6E370B2E"/>
    <w:rsid w:val="6E514CED"/>
    <w:rsid w:val="6EB563D5"/>
    <w:rsid w:val="6EC274E1"/>
    <w:rsid w:val="6ED92677"/>
    <w:rsid w:val="6EF819BD"/>
    <w:rsid w:val="6F022C8D"/>
    <w:rsid w:val="6F030DC0"/>
    <w:rsid w:val="6F1F7810"/>
    <w:rsid w:val="6F225983"/>
    <w:rsid w:val="6F56579A"/>
    <w:rsid w:val="6FBE4DFC"/>
    <w:rsid w:val="6FFC5590"/>
    <w:rsid w:val="70075064"/>
    <w:rsid w:val="704C1A75"/>
    <w:rsid w:val="706659AD"/>
    <w:rsid w:val="70677460"/>
    <w:rsid w:val="706D1DD0"/>
    <w:rsid w:val="70817EA2"/>
    <w:rsid w:val="70856B87"/>
    <w:rsid w:val="70B36547"/>
    <w:rsid w:val="70D527EE"/>
    <w:rsid w:val="70EA2C04"/>
    <w:rsid w:val="70FA24FF"/>
    <w:rsid w:val="715562D5"/>
    <w:rsid w:val="715B5300"/>
    <w:rsid w:val="715E12D2"/>
    <w:rsid w:val="71C951FF"/>
    <w:rsid w:val="71D17060"/>
    <w:rsid w:val="71D27F8A"/>
    <w:rsid w:val="71E40CE8"/>
    <w:rsid w:val="71F14BEC"/>
    <w:rsid w:val="721D0C1E"/>
    <w:rsid w:val="72243A2A"/>
    <w:rsid w:val="722B23C0"/>
    <w:rsid w:val="72553024"/>
    <w:rsid w:val="728267BC"/>
    <w:rsid w:val="72BD237B"/>
    <w:rsid w:val="73122968"/>
    <w:rsid w:val="731F5D5E"/>
    <w:rsid w:val="73272BDC"/>
    <w:rsid w:val="733067B5"/>
    <w:rsid w:val="73780D94"/>
    <w:rsid w:val="73882F0F"/>
    <w:rsid w:val="73C51AD5"/>
    <w:rsid w:val="73D01C2B"/>
    <w:rsid w:val="741E793C"/>
    <w:rsid w:val="743117C9"/>
    <w:rsid w:val="74527E06"/>
    <w:rsid w:val="745E3944"/>
    <w:rsid w:val="747277DF"/>
    <w:rsid w:val="74D07AB2"/>
    <w:rsid w:val="74FA1ED5"/>
    <w:rsid w:val="75624691"/>
    <w:rsid w:val="75640AB8"/>
    <w:rsid w:val="75D52413"/>
    <w:rsid w:val="75E8196C"/>
    <w:rsid w:val="75F30972"/>
    <w:rsid w:val="75FB5CA5"/>
    <w:rsid w:val="760164B2"/>
    <w:rsid w:val="7635099D"/>
    <w:rsid w:val="76363A86"/>
    <w:rsid w:val="76667D4B"/>
    <w:rsid w:val="76D6708B"/>
    <w:rsid w:val="771B6972"/>
    <w:rsid w:val="7725544B"/>
    <w:rsid w:val="772C2215"/>
    <w:rsid w:val="77406945"/>
    <w:rsid w:val="774C639E"/>
    <w:rsid w:val="77762421"/>
    <w:rsid w:val="77763BBD"/>
    <w:rsid w:val="777F1672"/>
    <w:rsid w:val="77B56B1F"/>
    <w:rsid w:val="77D54725"/>
    <w:rsid w:val="77EE329F"/>
    <w:rsid w:val="77F15CD9"/>
    <w:rsid w:val="77F37914"/>
    <w:rsid w:val="77FC345B"/>
    <w:rsid w:val="780F09F4"/>
    <w:rsid w:val="78150B79"/>
    <w:rsid w:val="783262C6"/>
    <w:rsid w:val="783C650A"/>
    <w:rsid w:val="784A17EC"/>
    <w:rsid w:val="785D0446"/>
    <w:rsid w:val="78A67C1F"/>
    <w:rsid w:val="78A90480"/>
    <w:rsid w:val="78B87AD6"/>
    <w:rsid w:val="78D54EA9"/>
    <w:rsid w:val="7906462C"/>
    <w:rsid w:val="79240F4C"/>
    <w:rsid w:val="79433773"/>
    <w:rsid w:val="79617202"/>
    <w:rsid w:val="79831B77"/>
    <w:rsid w:val="79956F87"/>
    <w:rsid w:val="7A0D6944"/>
    <w:rsid w:val="7A364017"/>
    <w:rsid w:val="7A5C3FD5"/>
    <w:rsid w:val="7A663012"/>
    <w:rsid w:val="7A8265E1"/>
    <w:rsid w:val="7A871722"/>
    <w:rsid w:val="7AA21FFC"/>
    <w:rsid w:val="7AC82F70"/>
    <w:rsid w:val="7AED03E4"/>
    <w:rsid w:val="7B1A265A"/>
    <w:rsid w:val="7B271A3F"/>
    <w:rsid w:val="7B5F1FA2"/>
    <w:rsid w:val="7B686D42"/>
    <w:rsid w:val="7B81253F"/>
    <w:rsid w:val="7B841746"/>
    <w:rsid w:val="7BA87C08"/>
    <w:rsid w:val="7C05720C"/>
    <w:rsid w:val="7C073C4C"/>
    <w:rsid w:val="7C194B9E"/>
    <w:rsid w:val="7C306F55"/>
    <w:rsid w:val="7C375BAD"/>
    <w:rsid w:val="7C47361C"/>
    <w:rsid w:val="7C6C5AC7"/>
    <w:rsid w:val="7CC6544B"/>
    <w:rsid w:val="7CCC2D51"/>
    <w:rsid w:val="7CD8700D"/>
    <w:rsid w:val="7CF92DF0"/>
    <w:rsid w:val="7D0239FF"/>
    <w:rsid w:val="7D4A17B1"/>
    <w:rsid w:val="7D5E40CD"/>
    <w:rsid w:val="7D637AC9"/>
    <w:rsid w:val="7D656FB0"/>
    <w:rsid w:val="7DCD56F2"/>
    <w:rsid w:val="7DD10BB6"/>
    <w:rsid w:val="7DEF00C9"/>
    <w:rsid w:val="7DFC464E"/>
    <w:rsid w:val="7E396DCD"/>
    <w:rsid w:val="7E5C0AAA"/>
    <w:rsid w:val="7E8C3798"/>
    <w:rsid w:val="7EA335BB"/>
    <w:rsid w:val="7EAC7BD7"/>
    <w:rsid w:val="7EAF501B"/>
    <w:rsid w:val="7EB37CDE"/>
    <w:rsid w:val="7ECB3D8F"/>
    <w:rsid w:val="7ECF5B1E"/>
    <w:rsid w:val="7F001CE7"/>
    <w:rsid w:val="7F1430D0"/>
    <w:rsid w:val="7F1A58FA"/>
    <w:rsid w:val="7F6439F9"/>
    <w:rsid w:val="7F8750FC"/>
    <w:rsid w:val="7F8E20B7"/>
    <w:rsid w:val="7FE47E50"/>
    <w:rsid w:val="7FFC429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semiHidden="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35"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qFormat="1" w:uiPriority="99" w:semiHidden="0" w:name="Salutation" w:locked="1"/>
    <w:lsdException w:qFormat="1" w:unhideWhenUsed="0" w:uiPriority="0" w:semiHidden="0" w:name="Date"/>
    <w:lsdException w:qFormat="1" w:unhideWhenUsed="0" w:uiPriority="99"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qFormat="1" w:unhideWhenUsed="0" w:uiPriority="0" w:semiHidden="0" w:name="Block Text" w:locked="1"/>
    <w:lsdException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60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line="360" w:lineRule="auto"/>
      <w:ind w:left="0" w:hanging="432"/>
      <w:outlineLvl w:val="0"/>
    </w:pPr>
    <w:rPr>
      <w:b/>
      <w:bCs/>
      <w:color w:val="000000"/>
      <w:kern w:val="44"/>
      <w:szCs w:val="30"/>
    </w:rPr>
  </w:style>
  <w:style w:type="paragraph" w:styleId="3">
    <w:name w:val="heading 3"/>
    <w:basedOn w:val="1"/>
    <w:next w:val="1"/>
    <w:link w:val="53"/>
    <w:unhideWhenUsed/>
    <w:qFormat/>
    <w:locked/>
    <w:uiPriority w:val="0"/>
    <w:pPr>
      <w:keepNext/>
      <w:keepLines/>
      <w:spacing w:before="260" w:after="260" w:line="416" w:lineRule="auto"/>
      <w:outlineLvl w:val="2"/>
    </w:pPr>
    <w:rPr>
      <w:b/>
      <w:bCs/>
      <w:sz w:val="32"/>
      <w:szCs w:val="32"/>
    </w:rPr>
  </w:style>
  <w:style w:type="paragraph" w:styleId="4">
    <w:name w:val="heading 4"/>
    <w:basedOn w:val="1"/>
    <w:next w:val="1"/>
    <w:link w:val="46"/>
    <w:unhideWhenUsed/>
    <w:qFormat/>
    <w:locked/>
    <w:uiPriority w:val="0"/>
    <w:pPr>
      <w:keepNext/>
      <w:keepLines/>
      <w:spacing w:before="280" w:after="290" w:line="376" w:lineRule="auto"/>
      <w:outlineLvl w:val="3"/>
    </w:pPr>
    <w:rPr>
      <w:rFonts w:ascii="Calibri Light" w:hAnsi="Calibri Light" w:eastAsia="宋体" w:cs="Times New Roman"/>
      <w:b/>
      <w:bCs/>
      <w:sz w:val="28"/>
      <w:szCs w:val="28"/>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5">
    <w:name w:val="caption"/>
    <w:basedOn w:val="1"/>
    <w:next w:val="1"/>
    <w:link w:val="43"/>
    <w:qFormat/>
    <w:locked/>
    <w:uiPriority w:val="35"/>
    <w:pPr>
      <w:spacing w:line="360" w:lineRule="auto"/>
      <w:jc w:val="center"/>
    </w:pPr>
    <w:rPr>
      <w:rFonts w:eastAsia="黑体"/>
      <w:kern w:val="0"/>
      <w:sz w:val="24"/>
      <w:szCs w:val="20"/>
    </w:rPr>
  </w:style>
  <w:style w:type="paragraph" w:styleId="6">
    <w:name w:val="annotation text"/>
    <w:basedOn w:val="1"/>
    <w:link w:val="50"/>
    <w:semiHidden/>
    <w:qFormat/>
    <w:uiPriority w:val="0"/>
    <w:pPr>
      <w:jc w:val="left"/>
    </w:pPr>
    <w:rPr>
      <w:kern w:val="0"/>
      <w:sz w:val="24"/>
      <w:szCs w:val="20"/>
    </w:rPr>
  </w:style>
  <w:style w:type="paragraph" w:styleId="7">
    <w:name w:val="Salutation"/>
    <w:basedOn w:val="1"/>
    <w:next w:val="1"/>
    <w:unhideWhenUsed/>
    <w:qFormat/>
    <w:locked/>
    <w:uiPriority w:val="99"/>
  </w:style>
  <w:style w:type="paragraph" w:styleId="8">
    <w:name w:val="Body Text"/>
    <w:basedOn w:val="1"/>
    <w:next w:val="7"/>
    <w:link w:val="48"/>
    <w:qFormat/>
    <w:uiPriority w:val="0"/>
    <w:pPr>
      <w:widowControl/>
      <w:snapToGrid w:val="0"/>
      <w:spacing w:before="60" w:after="160" w:line="259" w:lineRule="auto"/>
      <w:ind w:right="113"/>
    </w:pPr>
    <w:rPr>
      <w:kern w:val="0"/>
      <w:sz w:val="18"/>
      <w:szCs w:val="20"/>
    </w:rPr>
  </w:style>
  <w:style w:type="paragraph" w:styleId="9">
    <w:name w:val="Body Text Indent"/>
    <w:basedOn w:val="1"/>
    <w:next w:val="8"/>
    <w:link w:val="38"/>
    <w:qFormat/>
    <w:uiPriority w:val="0"/>
    <w:pPr>
      <w:spacing w:after="120"/>
      <w:ind w:left="420" w:leftChars="200"/>
    </w:pPr>
    <w:rPr>
      <w:kern w:val="0"/>
      <w:sz w:val="24"/>
      <w:szCs w:val="20"/>
    </w:rPr>
  </w:style>
  <w:style w:type="paragraph" w:styleId="10">
    <w:name w:val="Block Text"/>
    <w:basedOn w:val="1"/>
    <w:next w:val="1"/>
    <w:qFormat/>
    <w:locked/>
    <w:uiPriority w:val="0"/>
    <w:pPr>
      <w:snapToGrid w:val="0"/>
      <w:spacing w:line="408" w:lineRule="auto"/>
      <w:ind w:left="-113" w:right="-510" w:firstLine="510"/>
    </w:pPr>
    <w:rPr>
      <w:sz w:val="24"/>
      <w:szCs w:val="20"/>
    </w:rPr>
  </w:style>
  <w:style w:type="paragraph" w:styleId="11">
    <w:name w:val="Plain Text"/>
    <w:basedOn w:val="1"/>
    <w:qFormat/>
    <w:locked/>
    <w:uiPriority w:val="0"/>
    <w:rPr>
      <w:rFonts w:ascii="宋体" w:hAnsi="Courier New"/>
    </w:rPr>
  </w:style>
  <w:style w:type="paragraph" w:styleId="12">
    <w:name w:val="Date"/>
    <w:basedOn w:val="1"/>
    <w:next w:val="1"/>
    <w:link w:val="45"/>
    <w:qFormat/>
    <w:uiPriority w:val="0"/>
    <w:pPr>
      <w:ind w:left="100" w:leftChars="2500"/>
    </w:pPr>
    <w:rPr>
      <w:kern w:val="0"/>
      <w:sz w:val="24"/>
      <w:szCs w:val="20"/>
    </w:rPr>
  </w:style>
  <w:style w:type="paragraph" w:styleId="13">
    <w:name w:val="Balloon Text"/>
    <w:basedOn w:val="1"/>
    <w:link w:val="36"/>
    <w:semiHidden/>
    <w:qFormat/>
    <w:uiPriority w:val="0"/>
    <w:rPr>
      <w:kern w:val="0"/>
      <w:sz w:val="18"/>
      <w:szCs w:val="20"/>
    </w:rPr>
  </w:style>
  <w:style w:type="paragraph" w:styleId="14">
    <w:name w:val="footer"/>
    <w:basedOn w:val="1"/>
    <w:link w:val="39"/>
    <w:qFormat/>
    <w:uiPriority w:val="99"/>
    <w:pPr>
      <w:tabs>
        <w:tab w:val="center" w:pos="4153"/>
        <w:tab w:val="right" w:pos="8306"/>
      </w:tabs>
      <w:snapToGrid w:val="0"/>
      <w:jc w:val="left"/>
    </w:pPr>
    <w:rPr>
      <w:kern w:val="0"/>
      <w:sz w:val="18"/>
      <w:szCs w:val="20"/>
    </w:rPr>
  </w:style>
  <w:style w:type="paragraph" w:styleId="15">
    <w:name w:val="header"/>
    <w:basedOn w:val="1"/>
    <w:link w:val="42"/>
    <w:qFormat/>
    <w:uiPriority w:val="0"/>
    <w:pPr>
      <w:pBdr>
        <w:bottom w:val="single" w:color="auto" w:sz="6" w:space="1"/>
      </w:pBdr>
      <w:tabs>
        <w:tab w:val="center" w:pos="4153"/>
        <w:tab w:val="right" w:pos="8306"/>
      </w:tabs>
      <w:snapToGrid w:val="0"/>
      <w:jc w:val="center"/>
    </w:pPr>
    <w:rPr>
      <w:kern w:val="0"/>
      <w:sz w:val="18"/>
      <w:szCs w:val="20"/>
    </w:rPr>
  </w:style>
  <w:style w:type="paragraph" w:styleId="16">
    <w:name w:val="Normal (Web)"/>
    <w:basedOn w:val="1"/>
    <w:link w:val="44"/>
    <w:qFormat/>
    <w:uiPriority w:val="0"/>
    <w:pPr>
      <w:widowControl/>
      <w:spacing w:before="100" w:beforeAutospacing="1" w:after="100" w:afterAutospacing="1"/>
      <w:jc w:val="left"/>
    </w:pPr>
    <w:rPr>
      <w:rFonts w:ascii="宋体" w:hAnsi="宋体"/>
      <w:kern w:val="0"/>
      <w:sz w:val="24"/>
      <w:szCs w:val="20"/>
    </w:rPr>
  </w:style>
  <w:style w:type="paragraph" w:styleId="17">
    <w:name w:val="Title"/>
    <w:basedOn w:val="1"/>
    <w:next w:val="1"/>
    <w:qFormat/>
    <w:locked/>
    <w:uiPriority w:val="0"/>
    <w:pPr>
      <w:spacing w:line="240" w:lineRule="auto"/>
      <w:ind w:firstLine="0" w:firstLineChars="0"/>
      <w:jc w:val="center"/>
    </w:pPr>
    <w:rPr>
      <w:rFonts w:eastAsia="黑体" w:cs="Times New Roman"/>
      <w:bCs/>
      <w:sz w:val="21"/>
      <w:szCs w:val="32"/>
    </w:rPr>
  </w:style>
  <w:style w:type="paragraph" w:styleId="18">
    <w:name w:val="annotation subject"/>
    <w:basedOn w:val="6"/>
    <w:next w:val="6"/>
    <w:link w:val="52"/>
    <w:semiHidden/>
    <w:qFormat/>
    <w:uiPriority w:val="0"/>
    <w:rPr>
      <w:b/>
      <w:sz w:val="24"/>
      <w:szCs w:val="20"/>
    </w:rPr>
  </w:style>
  <w:style w:type="paragraph" w:styleId="19">
    <w:name w:val="Body Text First Indent"/>
    <w:basedOn w:val="8"/>
    <w:next w:val="20"/>
    <w:qFormat/>
    <w:locked/>
    <w:uiPriority w:val="99"/>
    <w:pPr>
      <w:spacing w:after="120"/>
      <w:ind w:firstLine="420" w:firstLineChars="100"/>
      <w:jc w:val="both"/>
    </w:pPr>
    <w:rPr>
      <w:szCs w:val="21"/>
    </w:rPr>
  </w:style>
  <w:style w:type="paragraph" w:styleId="20">
    <w:name w:val="Body Text First Indent 2"/>
    <w:basedOn w:val="9"/>
    <w:next w:val="1"/>
    <w:qFormat/>
    <w:locked/>
    <w:uiPriority w:val="0"/>
    <w:pPr>
      <w:ind w:firstLine="420" w:firstLineChars="200"/>
    </w:pPr>
  </w:style>
  <w:style w:type="table" w:styleId="22">
    <w:name w:val="Table Grid"/>
    <w:basedOn w:val="21"/>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basedOn w:val="23"/>
    <w:qFormat/>
    <w:locked/>
    <w:uiPriority w:val="0"/>
  </w:style>
  <w:style w:type="character" w:styleId="25">
    <w:name w:val="annotation reference"/>
    <w:semiHidden/>
    <w:qFormat/>
    <w:uiPriority w:val="0"/>
    <w:rPr>
      <w:sz w:val="21"/>
    </w:rPr>
  </w:style>
  <w:style w:type="paragraph" w:customStyle="1" w:styleId="26">
    <w:name w:val="Default"/>
    <w:next w:val="27"/>
    <w:qFormat/>
    <w:uiPriority w:val="0"/>
    <w:pPr>
      <w:widowControl w:val="0"/>
      <w:autoSpaceDE w:val="0"/>
      <w:autoSpaceDN w:val="0"/>
      <w:adjustRightInd w:val="0"/>
      <w:spacing w:line="460" w:lineRule="exact"/>
      <w:jc w:val="center"/>
    </w:pPr>
    <w:rPr>
      <w:rFonts w:ascii="黑体" w:hAnsi="Times New Roman" w:eastAsia="黑体" w:cs="黑体"/>
      <w:color w:val="000000"/>
      <w:sz w:val="24"/>
      <w:szCs w:val="24"/>
      <w:lang w:val="en-US" w:eastAsia="zh-CN" w:bidi="ar-SA"/>
    </w:rPr>
  </w:style>
  <w:style w:type="paragraph" w:customStyle="1" w:styleId="27">
    <w:name w:val="Char Char Char Char Char Char1 Char Char Char Char"/>
    <w:basedOn w:val="1"/>
    <w:next w:val="1"/>
    <w:qFormat/>
    <w:uiPriority w:val="0"/>
    <w:pPr>
      <w:widowControl w:val="0"/>
      <w:autoSpaceDE/>
      <w:autoSpaceDN/>
      <w:spacing w:before="0" w:after="0" w:line="360" w:lineRule="auto"/>
      <w:ind w:left="0" w:firstLine="200"/>
      <w:jc w:val="both"/>
    </w:pPr>
    <w:rPr>
      <w:rFonts w:ascii="Times New Roman" w:eastAsia="宋体"/>
      <w:sz w:val="21"/>
    </w:rPr>
  </w:style>
  <w:style w:type="paragraph" w:customStyle="1" w:styleId="28">
    <w:name w:val="Body Text 2_050de59c-084d-4175-9105-ef8c1c28e700"/>
    <w:basedOn w:val="1"/>
    <w:qFormat/>
    <w:uiPriority w:val="0"/>
    <w:pPr>
      <w:spacing w:after="120" w:line="480" w:lineRule="auto"/>
    </w:pPr>
  </w:style>
  <w:style w:type="paragraph" w:customStyle="1" w:styleId="29">
    <w:name w:val="样式35"/>
    <w:basedOn w:val="1"/>
    <w:next w:val="1"/>
    <w:qFormat/>
    <w:uiPriority w:val="0"/>
    <w:pPr>
      <w:spacing w:line="312" w:lineRule="auto"/>
      <w:ind w:firstLine="567"/>
    </w:pPr>
    <w:rPr>
      <w:rFonts w:ascii="宋体"/>
      <w:sz w:val="28"/>
    </w:rPr>
  </w:style>
  <w:style w:type="paragraph" w:customStyle="1" w:styleId="30">
    <w:name w:val="Default1"/>
    <w:next w:val="3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1">
    <w:name w:val="正文样式1"/>
    <w:basedOn w:val="1"/>
    <w:next w:val="1"/>
    <w:qFormat/>
    <w:uiPriority w:val="0"/>
    <w:pPr>
      <w:adjustRightInd w:val="0"/>
      <w:spacing w:line="360" w:lineRule="auto"/>
      <w:ind w:firstLine="360" w:firstLineChars="150"/>
      <w:textAlignment w:val="baseline"/>
    </w:pPr>
    <w:rPr>
      <w:rFonts w:ascii="宋体" w:hAnsi="宋体"/>
      <w:color w:val="FF0000"/>
      <w:kern w:val="0"/>
      <w:sz w:val="24"/>
      <w:szCs w:val="20"/>
    </w:rPr>
  </w:style>
  <w:style w:type="paragraph" w:customStyle="1" w:styleId="32">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3">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34">
    <w:name w:val="表格"/>
    <w:basedOn w:val="1"/>
    <w:next w:val="1"/>
    <w:link w:val="51"/>
    <w:qFormat/>
    <w:uiPriority w:val="0"/>
    <w:pPr>
      <w:adjustRightInd w:val="0"/>
      <w:snapToGrid w:val="0"/>
      <w:spacing w:beforeLines="10" w:afterLines="10" w:line="259" w:lineRule="auto"/>
      <w:jc w:val="center"/>
    </w:pPr>
    <w:rPr>
      <w:rFonts w:ascii="宋体"/>
      <w:kern w:val="0"/>
      <w:szCs w:val="20"/>
    </w:rPr>
  </w:style>
  <w:style w:type="paragraph" w:customStyle="1" w:styleId="35">
    <w:name w:val="表格中文字"/>
    <w:basedOn w:val="1"/>
    <w:link w:val="40"/>
    <w:qFormat/>
    <w:uiPriority w:val="0"/>
    <w:pPr>
      <w:jc w:val="center"/>
    </w:pPr>
    <w:rPr>
      <w:kern w:val="0"/>
      <w:sz w:val="20"/>
      <w:lang w:val="zh-CN"/>
    </w:rPr>
  </w:style>
  <w:style w:type="character" w:customStyle="1" w:styleId="36">
    <w:name w:val="批注框文本 Char"/>
    <w:link w:val="13"/>
    <w:semiHidden/>
    <w:qFormat/>
    <w:locked/>
    <w:uiPriority w:val="0"/>
    <w:rPr>
      <w:rFonts w:ascii="Times New Roman" w:hAnsi="Times New Roman" w:eastAsia="宋体"/>
      <w:sz w:val="18"/>
    </w:rPr>
  </w:style>
  <w:style w:type="character" w:customStyle="1" w:styleId="37">
    <w:name w:val="页脚 字符"/>
    <w:basedOn w:val="23"/>
    <w:qFormat/>
    <w:uiPriority w:val="99"/>
  </w:style>
  <w:style w:type="character" w:customStyle="1" w:styleId="38">
    <w:name w:val="正文文本缩进 Char"/>
    <w:link w:val="9"/>
    <w:semiHidden/>
    <w:qFormat/>
    <w:locked/>
    <w:uiPriority w:val="0"/>
    <w:rPr>
      <w:rFonts w:ascii="Times New Roman" w:hAnsi="Times New Roman" w:eastAsia="宋体"/>
      <w:sz w:val="24"/>
    </w:rPr>
  </w:style>
  <w:style w:type="character" w:customStyle="1" w:styleId="39">
    <w:name w:val="页脚 Char"/>
    <w:link w:val="14"/>
    <w:qFormat/>
    <w:locked/>
    <w:uiPriority w:val="99"/>
    <w:rPr>
      <w:sz w:val="18"/>
    </w:rPr>
  </w:style>
  <w:style w:type="character" w:customStyle="1" w:styleId="40">
    <w:name w:val="表格中文字 字符"/>
    <w:link w:val="35"/>
    <w:qFormat/>
    <w:uiPriority w:val="0"/>
    <w:rPr>
      <w:szCs w:val="24"/>
      <w:lang w:val="zh-CN"/>
    </w:rPr>
  </w:style>
  <w:style w:type="character" w:customStyle="1" w:styleId="41">
    <w:name w:val="批注文字 字符1"/>
    <w:semiHidden/>
    <w:qFormat/>
    <w:uiPriority w:val="0"/>
    <w:rPr>
      <w:rFonts w:ascii="Times New Roman" w:hAnsi="Times New Roman" w:eastAsia="宋体"/>
      <w:sz w:val="24"/>
    </w:rPr>
  </w:style>
  <w:style w:type="character" w:customStyle="1" w:styleId="42">
    <w:name w:val="页眉 Char"/>
    <w:link w:val="15"/>
    <w:qFormat/>
    <w:locked/>
    <w:uiPriority w:val="0"/>
    <w:rPr>
      <w:sz w:val="18"/>
    </w:rPr>
  </w:style>
  <w:style w:type="character" w:customStyle="1" w:styleId="43">
    <w:name w:val="题注 Char"/>
    <w:link w:val="5"/>
    <w:qFormat/>
    <w:uiPriority w:val="35"/>
    <w:rPr>
      <w:rFonts w:eastAsia="黑体"/>
      <w:sz w:val="24"/>
    </w:rPr>
  </w:style>
  <w:style w:type="character" w:customStyle="1" w:styleId="44">
    <w:name w:val="普通(网站) Char"/>
    <w:link w:val="16"/>
    <w:qFormat/>
    <w:locked/>
    <w:uiPriority w:val="0"/>
    <w:rPr>
      <w:rFonts w:ascii="宋体" w:hAnsi="宋体" w:eastAsia="宋体"/>
      <w:sz w:val="24"/>
    </w:rPr>
  </w:style>
  <w:style w:type="character" w:customStyle="1" w:styleId="45">
    <w:name w:val="日期 Char"/>
    <w:link w:val="12"/>
    <w:qFormat/>
    <w:locked/>
    <w:uiPriority w:val="0"/>
    <w:rPr>
      <w:rFonts w:ascii="Times New Roman" w:hAnsi="Times New Roman" w:eastAsia="宋体"/>
      <w:sz w:val="24"/>
    </w:rPr>
  </w:style>
  <w:style w:type="character" w:customStyle="1" w:styleId="46">
    <w:name w:val="标题 4 Char"/>
    <w:link w:val="4"/>
    <w:semiHidden/>
    <w:qFormat/>
    <w:uiPriority w:val="0"/>
    <w:rPr>
      <w:rFonts w:ascii="Calibri Light" w:hAnsi="Calibri Light" w:eastAsia="宋体" w:cs="Times New Roman"/>
      <w:b/>
      <w:bCs/>
      <w:kern w:val="2"/>
      <w:sz w:val="28"/>
      <w:szCs w:val="28"/>
    </w:rPr>
  </w:style>
  <w:style w:type="character" w:customStyle="1" w:styleId="47">
    <w:name w:val="日期 字符"/>
    <w:semiHidden/>
    <w:qFormat/>
    <w:uiPriority w:val="0"/>
    <w:rPr>
      <w:rFonts w:ascii="Times New Roman" w:hAnsi="Times New Roman" w:eastAsia="宋体"/>
      <w:sz w:val="24"/>
    </w:rPr>
  </w:style>
  <w:style w:type="character" w:customStyle="1" w:styleId="48">
    <w:name w:val="正文文本 Char"/>
    <w:link w:val="8"/>
    <w:qFormat/>
    <w:locked/>
    <w:uiPriority w:val="0"/>
    <w:rPr>
      <w:sz w:val="18"/>
    </w:rPr>
  </w:style>
  <w:style w:type="character" w:customStyle="1" w:styleId="49">
    <w:name w:val="正文文本 字符1"/>
    <w:semiHidden/>
    <w:qFormat/>
    <w:uiPriority w:val="0"/>
    <w:rPr>
      <w:rFonts w:ascii="Times New Roman" w:hAnsi="Times New Roman" w:eastAsia="宋体"/>
      <w:sz w:val="24"/>
    </w:rPr>
  </w:style>
  <w:style w:type="character" w:customStyle="1" w:styleId="50">
    <w:name w:val="批注文字 Char"/>
    <w:link w:val="6"/>
    <w:qFormat/>
    <w:locked/>
    <w:uiPriority w:val="0"/>
    <w:rPr>
      <w:rFonts w:ascii="Times New Roman" w:hAnsi="Times New Roman" w:eastAsia="宋体"/>
      <w:sz w:val="24"/>
    </w:rPr>
  </w:style>
  <w:style w:type="character" w:customStyle="1" w:styleId="51">
    <w:name w:val="表格 Char"/>
    <w:link w:val="34"/>
    <w:qFormat/>
    <w:locked/>
    <w:uiPriority w:val="0"/>
    <w:rPr>
      <w:rFonts w:ascii="宋体"/>
      <w:sz w:val="21"/>
    </w:rPr>
  </w:style>
  <w:style w:type="character" w:customStyle="1" w:styleId="52">
    <w:name w:val="批注主题 Char"/>
    <w:link w:val="18"/>
    <w:semiHidden/>
    <w:qFormat/>
    <w:locked/>
    <w:uiPriority w:val="0"/>
    <w:rPr>
      <w:rFonts w:ascii="Times New Roman" w:hAnsi="Times New Roman" w:eastAsia="宋体"/>
      <w:b/>
      <w:kern w:val="2"/>
      <w:sz w:val="24"/>
    </w:rPr>
  </w:style>
  <w:style w:type="character" w:customStyle="1" w:styleId="53">
    <w:name w:val="标题 3 Char"/>
    <w:link w:val="3"/>
    <w:semiHidden/>
    <w:qFormat/>
    <w:uiPriority w:val="0"/>
    <w:rPr>
      <w:b/>
      <w:bCs/>
      <w:kern w:val="2"/>
      <w:sz w:val="32"/>
      <w:szCs w:val="32"/>
    </w:rPr>
  </w:style>
  <w:style w:type="paragraph" w:customStyle="1" w:styleId="54">
    <w:name w:val="List Paragraph"/>
    <w:basedOn w:val="1"/>
    <w:qFormat/>
    <w:uiPriority w:val="0"/>
    <w:pPr>
      <w:widowControl w:val="0"/>
      <w:autoSpaceDE w:val="0"/>
      <w:autoSpaceDN w:val="0"/>
      <w:ind w:left="231" w:right="266" w:firstLine="600"/>
      <w:jc w:val="both"/>
    </w:pPr>
    <w:rPr>
      <w:rFonts w:ascii="仿宋" w:hAnsi="仿宋" w:eastAsia="仿宋"/>
      <w:sz w:val="22"/>
      <w:szCs w:val="22"/>
    </w:rPr>
  </w:style>
  <w:style w:type="paragraph" w:customStyle="1" w:styleId="55">
    <w:name w:val="表内 定"/>
    <w:basedOn w:val="1"/>
    <w:qFormat/>
    <w:uiPriority w:val="0"/>
    <w:rPr>
      <w:rFonts w:cs="Times New Roman"/>
      <w:color w:val="000000" w:themeColor="text1"/>
      <w14:textFill>
        <w14:solidFill>
          <w14:schemeClr w14:val="tx1"/>
        </w14:solidFill>
      </w14:textFill>
    </w:rPr>
  </w:style>
  <w:style w:type="paragraph" w:customStyle="1" w:styleId="56">
    <w:name w:val="样式1"/>
    <w:basedOn w:val="1"/>
    <w:qFormat/>
    <w:uiPriority w:val="0"/>
    <w:rPr>
      <w:szCs w:val="20"/>
      <w:shd w:val="clear" w:color="auto" w:fill="FFFFFF"/>
    </w:rPr>
  </w:style>
  <w:style w:type="paragraph" w:customStyle="1" w:styleId="57">
    <w:name w:val="表内"/>
    <w:basedOn w:val="1"/>
    <w:qFormat/>
    <w:uiPriority w:val="99"/>
    <w:pPr>
      <w:framePr w:hSpace="180" w:wrap="around" w:vAnchor="page" w:hAnchor="margin" w:y="1411"/>
      <w:widowControl/>
      <w:spacing w:line="320" w:lineRule="exact"/>
      <w:ind w:firstLine="0" w:firstLineChars="0"/>
      <w:jc w:val="center"/>
    </w:pPr>
    <w:rPr>
      <w:rFonts w:asciiTheme="minorAscii" w:hAnsiTheme="minorAscii"/>
      <w:sz w:val="18"/>
      <w:szCs w:val="20"/>
    </w:rPr>
  </w:style>
  <w:style w:type="paragraph" w:customStyle="1" w:styleId="58">
    <w:name w:val="报告表表格文字"/>
    <w:basedOn w:val="1"/>
    <w:qFormat/>
    <w:uiPriority w:val="0"/>
    <w:pPr>
      <w:autoSpaceDE w:val="0"/>
      <w:autoSpaceDN w:val="0"/>
      <w:adjustRightInd w:val="0"/>
      <w:snapToGrid w:val="0"/>
      <w:spacing w:line="360" w:lineRule="exact"/>
      <w:ind w:firstLine="0" w:firstLineChars="0"/>
      <w:jc w:val="center"/>
      <w:textAlignment w:val="baseline"/>
    </w:pPr>
    <w:rPr>
      <w:color w:val="000000"/>
      <w:kern w:val="0"/>
      <w:sz w:val="21"/>
      <w:szCs w:val="21"/>
    </w:rPr>
  </w:style>
  <w:style w:type="paragraph" w:customStyle="1" w:styleId="59">
    <w:name w:val="22磅行间距"/>
    <w:basedOn w:val="1"/>
    <w:qFormat/>
    <w:uiPriority w:val="0"/>
    <w:pPr>
      <w:adjustRightInd w:val="0"/>
      <w:snapToGrid w:val="0"/>
      <w:spacing w:line="440" w:lineRule="exact"/>
      <w:ind w:firstLine="200" w:firstLineChars="200"/>
    </w:pPr>
    <w:rPr>
      <w:sz w:val="24"/>
    </w:rPr>
  </w:style>
  <w:style w:type="paragraph" w:customStyle="1" w:styleId="60">
    <w:name w:val="样式 居中"/>
    <w:basedOn w:val="1"/>
    <w:qFormat/>
    <w:uiPriority w:val="0"/>
    <w:pPr>
      <w:jc w:val="center"/>
    </w:pPr>
    <w:rPr>
      <w:rFonts w:cs="宋体"/>
    </w:rPr>
  </w:style>
  <w:style w:type="paragraph" w:customStyle="1" w:styleId="61">
    <w:name w:val="列出段落1"/>
    <w:basedOn w:val="1"/>
    <w:qFormat/>
    <w:uiPriority w:val="99"/>
    <w:pPr>
      <w:autoSpaceDE w:val="0"/>
      <w:autoSpaceDN w:val="0"/>
      <w:ind w:left="231" w:right="266" w:firstLine="600"/>
    </w:pPr>
    <w:rPr>
      <w:rFonts w:ascii="仿宋" w:hAnsi="仿宋" w:eastAsia="仿宋"/>
      <w:kern w:val="0"/>
      <w:sz w:val="22"/>
      <w:szCs w:val="22"/>
    </w:rPr>
  </w:style>
  <w:style w:type="paragraph" w:customStyle="1" w:styleId="62">
    <w:name w:val="鸿达表格文字"/>
    <w:basedOn w:val="1"/>
    <w:qFormat/>
    <w:uiPriority w:val="0"/>
    <w:pPr>
      <w:adjustRightInd/>
      <w:snapToGrid/>
      <w:spacing w:line="240" w:lineRule="auto"/>
      <w:ind w:firstLine="0" w:firstLineChars="0"/>
      <w:contextualSpacing/>
      <w:jc w:val="center"/>
    </w:pPr>
    <w:rPr>
      <w:sz w:val="21"/>
      <w:szCs w:val="21"/>
    </w:rPr>
  </w:style>
  <w:style w:type="paragraph" w:customStyle="1" w:styleId="63">
    <w:name w:val="av"/>
    <w:basedOn w:val="1"/>
    <w:qFormat/>
    <w:uiPriority w:val="0"/>
    <w:pPr>
      <w:jc w:val="center"/>
    </w:pPr>
    <w:rPr>
      <w:sz w:val="21"/>
      <w:szCs w:val="21"/>
    </w:rPr>
  </w:style>
  <w:style w:type="paragraph" w:customStyle="1" w:styleId="64">
    <w:name w:val="xry表格文字"/>
    <w:basedOn w:val="1"/>
    <w:qFormat/>
    <w:uiPriority w:val="0"/>
    <w:pPr>
      <w:spacing w:line="240" w:lineRule="auto"/>
      <w:ind w:firstLine="0" w:firstLineChars="0"/>
      <w:jc w:val="center"/>
    </w:pPr>
    <w:rPr>
      <w:kern w:val="0"/>
      <w:sz w:val="20"/>
      <w:szCs w:val="24"/>
      <w:lang w:val="zh-CN"/>
    </w:rPr>
  </w:style>
  <w:style w:type="paragraph" w:customStyle="1" w:styleId="65">
    <w:name w:val="正文文本 (2)2"/>
    <w:basedOn w:val="1"/>
    <w:qFormat/>
    <w:uiPriority w:val="0"/>
    <w:pPr>
      <w:widowControl w:val="0"/>
      <w:shd w:val="clear" w:color="auto" w:fill="FFFFFF"/>
      <w:spacing w:after="6360" w:line="0" w:lineRule="atLeast"/>
      <w:jc w:val="center"/>
    </w:pPr>
    <w:rPr>
      <w:rFonts w:ascii="MingLiU" w:hAnsi="MingLiU" w:eastAsia="MingLiU"/>
      <w:kern w:val="0"/>
      <w:sz w:val="22"/>
    </w:rPr>
  </w:style>
  <w:style w:type="character" w:customStyle="1" w:styleId="66">
    <w:name w:val="正文文本 (2) + 9.5 pt"/>
    <w:qFormat/>
    <w:uiPriority w:val="0"/>
    <w:rPr>
      <w:rFonts w:ascii="MingLiU" w:hAnsi="MingLiU" w:eastAsia="MingLiU" w:cs="MingLiU"/>
      <w:color w:val="000000"/>
      <w:spacing w:val="-20"/>
      <w:w w:val="100"/>
      <w:position w:val="0"/>
      <w:sz w:val="19"/>
      <w:szCs w:val="19"/>
      <w:u w:val="none"/>
      <w:lang w:val="zh-TW" w:eastAsia="zh-TW" w:bidi="zh-TW"/>
    </w:rPr>
  </w:style>
  <w:style w:type="paragraph" w:customStyle="1" w:styleId="67">
    <w:name w:val="Table Paragraph"/>
    <w:basedOn w:val="1"/>
    <w:qFormat/>
    <w:uiPriority w:val="1"/>
  </w:style>
  <w:style w:type="paragraph" w:customStyle="1" w:styleId="68">
    <w:name w:val="表格文"/>
    <w:basedOn w:val="1"/>
    <w:qFormat/>
    <w:uiPriority w:val="0"/>
    <w:pPr>
      <w:textAlignment w:val="baseline"/>
    </w:pPr>
  </w:style>
  <w:style w:type="character" w:customStyle="1" w:styleId="69">
    <w:name w:val="15"/>
    <w:basedOn w:val="23"/>
    <w:qFormat/>
    <w:uiPriority w:val="0"/>
    <w:rPr>
      <w:rFonts w:hint="eastAsia" w:ascii="宋体" w:hAnsi="宋体" w:eastAsia="宋体" w:cs="宋体"/>
      <w:color w:val="000000"/>
      <w:sz w:val="20"/>
      <w:szCs w:val="20"/>
    </w:rPr>
  </w:style>
  <w:style w:type="paragraph" w:customStyle="1" w:styleId="70">
    <w:name w:val=" Char Char1 Char"/>
    <w:basedOn w:val="1"/>
    <w:qFormat/>
    <w:uiPriority w:val="0"/>
    <w:pPr>
      <w:spacing w:line="360" w:lineRule="auto"/>
      <w:ind w:firstLine="200" w:firstLineChars="200"/>
    </w:pPr>
    <w:rPr>
      <w:rFonts w:ascii="宋体" w:hAnsi="宋体" w:cs="宋体"/>
      <w:szCs w:val="24"/>
    </w:rPr>
  </w:style>
  <w:style w:type="paragraph" w:customStyle="1" w:styleId="71">
    <w:name w:val="Char"/>
    <w:basedOn w:val="1"/>
    <w:qFormat/>
    <w:uiPriority w:val="0"/>
    <w:pPr>
      <w:spacing w:line="360" w:lineRule="auto"/>
      <w:ind w:firstLine="200" w:firstLineChars="200"/>
    </w:pPr>
    <w:rPr>
      <w:rFonts w:ascii="宋体" w:hAnsi="宋体" w:cs="宋体"/>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4" Type="http://schemas.openxmlformats.org/officeDocument/2006/relationships/fontTable" Target="fontTable.xml"/><Relationship Id="rId53" Type="http://schemas.openxmlformats.org/officeDocument/2006/relationships/numbering" Target="numbering.xml"/><Relationship Id="rId52" Type="http://schemas.openxmlformats.org/officeDocument/2006/relationships/customXml" Target="../customXml/item1.xml"/><Relationship Id="rId51" Type="http://schemas.openxmlformats.org/officeDocument/2006/relationships/image" Target="media/image37.jpeg"/><Relationship Id="rId50" Type="http://schemas.openxmlformats.org/officeDocument/2006/relationships/image" Target="media/image36.jpeg"/><Relationship Id="rId5" Type="http://schemas.openxmlformats.org/officeDocument/2006/relationships/header" Target="header1.xml"/><Relationship Id="rId49" Type="http://schemas.openxmlformats.org/officeDocument/2006/relationships/image" Target="media/image35.jpeg"/><Relationship Id="rId48" Type="http://schemas.openxmlformats.org/officeDocument/2006/relationships/image" Target="media/image34.jpeg"/><Relationship Id="rId47" Type="http://schemas.openxmlformats.org/officeDocument/2006/relationships/image" Target="media/image33.jpeg"/><Relationship Id="rId46" Type="http://schemas.openxmlformats.org/officeDocument/2006/relationships/image" Target="media/image32.jpeg"/><Relationship Id="rId45" Type="http://schemas.openxmlformats.org/officeDocument/2006/relationships/image" Target="media/image31.jpeg"/><Relationship Id="rId44" Type="http://schemas.openxmlformats.org/officeDocument/2006/relationships/image" Target="media/image30.jpeg"/><Relationship Id="rId43" Type="http://schemas.openxmlformats.org/officeDocument/2006/relationships/image" Target="media/image29.jpeg"/><Relationship Id="rId42" Type="http://schemas.openxmlformats.org/officeDocument/2006/relationships/image" Target="media/image28.jpeg"/><Relationship Id="rId41" Type="http://schemas.openxmlformats.org/officeDocument/2006/relationships/image" Target="media/image27.jpeg"/><Relationship Id="rId40" Type="http://schemas.openxmlformats.org/officeDocument/2006/relationships/image" Target="media/image26.jpeg"/><Relationship Id="rId4" Type="http://schemas.openxmlformats.org/officeDocument/2006/relationships/endnotes" Target="endnotes.xml"/><Relationship Id="rId39" Type="http://schemas.openxmlformats.org/officeDocument/2006/relationships/image" Target="media/image25.jpeg"/><Relationship Id="rId38" Type="http://schemas.openxmlformats.org/officeDocument/2006/relationships/image" Target="media/image24.jpeg"/><Relationship Id="rId37" Type="http://schemas.openxmlformats.org/officeDocument/2006/relationships/image" Target="media/image23.jpeg"/><Relationship Id="rId36" Type="http://schemas.openxmlformats.org/officeDocument/2006/relationships/image" Target="media/image22.jpeg"/><Relationship Id="rId35" Type="http://schemas.openxmlformats.org/officeDocument/2006/relationships/image" Target="media/image21.jpeg"/><Relationship Id="rId34" Type="http://schemas.openxmlformats.org/officeDocument/2006/relationships/image" Target="media/image20.jpeg"/><Relationship Id="rId33" Type="http://schemas.openxmlformats.org/officeDocument/2006/relationships/image" Target="media/image19.jpeg"/><Relationship Id="rId32" Type="http://schemas.openxmlformats.org/officeDocument/2006/relationships/image" Target="media/image18.jpeg"/><Relationship Id="rId31" Type="http://schemas.openxmlformats.org/officeDocument/2006/relationships/image" Target="media/image17.jpeg"/><Relationship Id="rId30" Type="http://schemas.openxmlformats.org/officeDocument/2006/relationships/image" Target="media/image16.jpeg"/><Relationship Id="rId3" Type="http://schemas.openxmlformats.org/officeDocument/2006/relationships/footnotes" Target="footnotes.xml"/><Relationship Id="rId29" Type="http://schemas.openxmlformats.org/officeDocument/2006/relationships/image" Target="media/image15.jpeg"/><Relationship Id="rId28" Type="http://schemas.openxmlformats.org/officeDocument/2006/relationships/image" Target="media/image14.jpeg"/><Relationship Id="rId27" Type="http://schemas.openxmlformats.org/officeDocument/2006/relationships/image" Target="media/image13.png"/><Relationship Id="rId26" Type="http://schemas.openxmlformats.org/officeDocument/2006/relationships/image" Target="media/image12.emf"/><Relationship Id="rId25" Type="http://schemas.openxmlformats.org/officeDocument/2006/relationships/oleObject" Target="embeddings/oleObject6.bin"/><Relationship Id="rId24" Type="http://schemas.openxmlformats.org/officeDocument/2006/relationships/image" Target="media/image11.emf"/><Relationship Id="rId23" Type="http://schemas.openxmlformats.org/officeDocument/2006/relationships/oleObject" Target="embeddings/oleObject5.bin"/><Relationship Id="rId22" Type="http://schemas.openxmlformats.org/officeDocument/2006/relationships/image" Target="media/image10.emf"/><Relationship Id="rId21" Type="http://schemas.openxmlformats.org/officeDocument/2006/relationships/oleObject" Target="embeddings/oleObject4.bin"/><Relationship Id="rId20" Type="http://schemas.openxmlformats.org/officeDocument/2006/relationships/image" Target="media/image9.e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8.emf"/><Relationship Id="rId17" Type="http://schemas.openxmlformats.org/officeDocument/2006/relationships/oleObject" Target="embeddings/oleObject2.bin"/><Relationship Id="rId16" Type="http://schemas.openxmlformats.org/officeDocument/2006/relationships/image" Target="media/image7.emf"/><Relationship Id="rId15" Type="http://schemas.openxmlformats.org/officeDocument/2006/relationships/oleObject" Target="embeddings/oleObject1.bin"/><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149</Pages>
  <Words>81270</Words>
  <Characters>95947</Characters>
  <Lines>367</Lines>
  <Paragraphs>103</Paragraphs>
  <TotalTime>44</TotalTime>
  <ScaleCrop>false</ScaleCrop>
  <LinksUpToDate>false</LinksUpToDate>
  <CharactersWithSpaces>96136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2021-02-20T02:08:00Z</dcterms:created>
  <dc:creator>lhj</dc:creator>
  <cp:lastModifiedBy>Zz血小板zZ</cp:lastModifiedBy>
  <cp:lastPrinted>2023-03-30T04:33:00Z</cp:lastPrinted>
  <dcterms:modified xsi:type="dcterms:W3CDTF">2023-04-03T01:14:47Z</dcterms:modified>
  <dc:title>附件2</dc:title>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DDD3EA59178C49B181473E04D32E74B1</vt:lpwstr>
  </property>
</Properties>
</file>