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drawing>
          <wp:anchor distT="0" distB="0" distL="114300" distR="114300" simplePos="0" relativeHeight="251682816" behindDoc="0" locked="0" layoutInCell="1" allowOverlap="1">
            <wp:simplePos x="0" y="0"/>
            <wp:positionH relativeFrom="column">
              <wp:posOffset>-925195</wp:posOffset>
            </wp:positionH>
            <wp:positionV relativeFrom="paragraph">
              <wp:posOffset>-993140</wp:posOffset>
            </wp:positionV>
            <wp:extent cx="7353300" cy="10542905"/>
            <wp:effectExtent l="0" t="0" r="0" b="10795"/>
            <wp:wrapNone/>
            <wp:docPr id="2" name="图片 2" descr="ad2b7356a4d41b3030353748f8f7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d2b7356a4d41b3030353748f8f76fb"/>
                    <pic:cNvPicPr>
                      <a:picLocks noChangeAspect="1"/>
                    </pic:cNvPicPr>
                  </pic:nvPicPr>
                  <pic:blipFill>
                    <a:blip r:embed="rId9"/>
                    <a:stretch>
                      <a:fillRect/>
                    </a:stretch>
                  </pic:blipFill>
                  <pic:spPr>
                    <a:xfrm>
                      <a:off x="0" y="0"/>
                      <a:ext cx="7353300" cy="10542905"/>
                    </a:xfrm>
                    <a:prstGeom prst="rect">
                      <a:avLst/>
                    </a:prstGeom>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bookmarkStart w:id="3" w:name="_GoBack"/>
      <w:r>
        <w:drawing>
          <wp:anchor distT="0" distB="0" distL="114300" distR="114300" simplePos="0" relativeHeight="251687936" behindDoc="0" locked="0" layoutInCell="1" allowOverlap="1">
            <wp:simplePos x="0" y="0"/>
            <wp:positionH relativeFrom="column">
              <wp:posOffset>-523875</wp:posOffset>
            </wp:positionH>
            <wp:positionV relativeFrom="paragraph">
              <wp:posOffset>-730250</wp:posOffset>
            </wp:positionV>
            <wp:extent cx="6383655" cy="9353550"/>
            <wp:effectExtent l="0" t="0" r="17145" b="0"/>
            <wp:wrapNone/>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0"/>
                    <a:stretch>
                      <a:fillRect/>
                    </a:stretch>
                  </pic:blipFill>
                  <pic:spPr>
                    <a:xfrm>
                      <a:off x="0" y="0"/>
                      <a:ext cx="6383655" cy="9353550"/>
                    </a:xfrm>
                    <a:prstGeom prst="rect">
                      <a:avLst/>
                    </a:prstGeom>
                    <a:noFill/>
                    <a:ln>
                      <a:noFill/>
                    </a:ln>
                  </pic:spPr>
                </pic:pic>
              </a:graphicData>
            </a:graphic>
          </wp:anchor>
        </w:drawing>
      </w:r>
      <w:bookmarkEnd w:id="3"/>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drawing>
          <wp:anchor distT="0" distB="0" distL="114300" distR="114300" simplePos="0" relativeHeight="251686912" behindDoc="0" locked="0" layoutInCell="1" allowOverlap="1">
            <wp:simplePos x="0" y="0"/>
            <wp:positionH relativeFrom="column">
              <wp:posOffset>-367665</wp:posOffset>
            </wp:positionH>
            <wp:positionV relativeFrom="paragraph">
              <wp:posOffset>-135890</wp:posOffset>
            </wp:positionV>
            <wp:extent cx="6273800" cy="8537575"/>
            <wp:effectExtent l="0" t="0" r="12700" b="15875"/>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6273800" cy="8537575"/>
                    </a:xfrm>
                    <a:prstGeom prst="rect">
                      <a:avLst/>
                    </a:prstGeom>
                    <a:noFill/>
                    <a:ln>
                      <a:noFill/>
                    </a:ln>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drawing>
          <wp:anchor distT="0" distB="0" distL="114300" distR="114300" simplePos="0" relativeHeight="251683840" behindDoc="0" locked="0" layoutInCell="1" allowOverlap="1">
            <wp:simplePos x="0" y="0"/>
            <wp:positionH relativeFrom="column">
              <wp:posOffset>-666115</wp:posOffset>
            </wp:positionH>
            <wp:positionV relativeFrom="paragraph">
              <wp:posOffset>-598170</wp:posOffset>
            </wp:positionV>
            <wp:extent cx="6832600" cy="9377045"/>
            <wp:effectExtent l="0" t="0" r="6350" b="14605"/>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6832600" cy="9377045"/>
                    </a:xfrm>
                    <a:prstGeom prst="rect">
                      <a:avLst/>
                    </a:prstGeom>
                    <a:noFill/>
                    <a:ln>
                      <a:noFill/>
                    </a:ln>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drawing>
          <wp:anchor distT="0" distB="0" distL="114300" distR="114300" simplePos="0" relativeHeight="251684864" behindDoc="0" locked="0" layoutInCell="1" allowOverlap="1">
            <wp:simplePos x="0" y="0"/>
            <wp:positionH relativeFrom="column">
              <wp:posOffset>-313055</wp:posOffset>
            </wp:positionH>
            <wp:positionV relativeFrom="paragraph">
              <wp:posOffset>-598805</wp:posOffset>
            </wp:positionV>
            <wp:extent cx="6556375" cy="9682480"/>
            <wp:effectExtent l="0" t="0" r="15875" b="1397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a:stretch>
                      <a:fillRect/>
                    </a:stretch>
                  </pic:blipFill>
                  <pic:spPr>
                    <a:xfrm>
                      <a:off x="0" y="0"/>
                      <a:ext cx="6556375" cy="9682480"/>
                    </a:xfrm>
                    <a:prstGeom prst="rect">
                      <a:avLst/>
                    </a:prstGeom>
                    <a:noFill/>
                    <a:ln>
                      <a:noFill/>
                    </a:ln>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drawing>
          <wp:anchor distT="0" distB="0" distL="114300" distR="114300" simplePos="0" relativeHeight="251685888" behindDoc="0" locked="0" layoutInCell="1" allowOverlap="1">
            <wp:simplePos x="0" y="0"/>
            <wp:positionH relativeFrom="column">
              <wp:posOffset>-762000</wp:posOffset>
            </wp:positionH>
            <wp:positionV relativeFrom="paragraph">
              <wp:posOffset>-571500</wp:posOffset>
            </wp:positionV>
            <wp:extent cx="7284720" cy="9727565"/>
            <wp:effectExtent l="0" t="0" r="11430" b="6985"/>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4"/>
                    <a:stretch>
                      <a:fillRect/>
                    </a:stretch>
                  </pic:blipFill>
                  <pic:spPr>
                    <a:xfrm>
                      <a:off x="0" y="0"/>
                      <a:ext cx="7284720" cy="9727565"/>
                    </a:xfrm>
                    <a:prstGeom prst="rect">
                      <a:avLst/>
                    </a:prstGeom>
                    <a:noFill/>
                    <a:ln>
                      <a:noFill/>
                    </a:ln>
                  </pic:spPr>
                </pic:pic>
              </a:graphicData>
            </a:graphic>
          </wp:anchor>
        </w:drawing>
      </w:r>
    </w:p>
    <w:p>
      <w:pPr>
        <w:widowControl/>
        <w:spacing w:before="100" w:beforeAutospacing="1" w:after="100" w:afterAutospacing="1"/>
        <w:jc w:val="center"/>
        <w:outlineLvl w:val="0"/>
        <w:rPr>
          <w:rFonts w:hint="eastAsia" w:ascii="黑体" w:hAnsi="黑体" w:eastAsia="黑体" w:cs="Times New Roman"/>
          <w:snapToGrid w:val="0"/>
          <w:color w:val="auto"/>
          <w:kern w:val="0"/>
          <w:sz w:val="30"/>
          <w:szCs w:val="30"/>
          <w:lang w:val="en-US" w:eastAsia="zh-CN" w:bidi="ar-SA"/>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widowControl/>
        <w:spacing w:before="100" w:beforeAutospacing="1" w:after="100" w:afterAutospacing="1"/>
        <w:jc w:val="center"/>
        <w:outlineLvl w:val="0"/>
        <w:rPr>
          <w:rFonts w:hint="eastAsia"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一、建设项目基本情况</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95"/>
        <w:gridCol w:w="2456"/>
        <w:gridCol w:w="2065"/>
        <w:gridCol w:w="34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576"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新乡县沃丰农资有限公司腐植酸钾尾料再生循环利用项目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576" w:type="dxa"/>
            <w:gridSpan w:val="3"/>
            <w:noWrap w:val="0"/>
            <w:vAlign w:val="center"/>
          </w:tcPr>
          <w:p>
            <w:pPr>
              <w:keepNext w:val="0"/>
              <w:keepLines w:val="0"/>
              <w:widowControl/>
              <w:suppressLineNumbers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0"/>
                <w:lang w:val="en-US" w:eastAsia="zh-CN" w:bidi="ar-SA"/>
              </w:rPr>
              <w:t>2308-410721-04-01-687111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2725"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cs="Times New Roman"/>
                <w:color w:val="auto"/>
                <w:kern w:val="2"/>
                <w:sz w:val="21"/>
                <w:szCs w:val="20"/>
                <w:lang w:val="en-US" w:eastAsia="zh-CN" w:bidi="ar-SA"/>
              </w:rPr>
              <w:t>朱晓林</w:t>
            </w:r>
          </w:p>
        </w:tc>
        <w:tc>
          <w:tcPr>
            <w:tcW w:w="2212"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联系方式</w:t>
            </w:r>
          </w:p>
        </w:tc>
        <w:tc>
          <w:tcPr>
            <w:tcW w:w="2639"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cs="Times New Roman"/>
                <w:color w:val="auto"/>
                <w:kern w:val="2"/>
                <w:sz w:val="21"/>
                <w:szCs w:val="20"/>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建设单位法人</w:t>
            </w:r>
          </w:p>
        </w:tc>
        <w:tc>
          <w:tcPr>
            <w:tcW w:w="7576" w:type="dxa"/>
            <w:gridSpan w:val="3"/>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0"/>
                <w:lang w:val="en-US" w:eastAsia="zh-CN" w:bidi="ar-SA"/>
              </w:rPr>
            </w:pPr>
            <w:r>
              <w:rPr>
                <w:rFonts w:hint="eastAsia" w:cs="Times New Roman"/>
                <w:color w:val="auto"/>
                <w:kern w:val="2"/>
                <w:sz w:val="21"/>
                <w:szCs w:val="20"/>
                <w:lang w:val="en-US" w:eastAsia="zh-CN" w:bidi="ar-SA"/>
              </w:rPr>
              <w:t>朱传芳</w:t>
            </w:r>
            <w:r>
              <w:rPr>
                <w:rFonts w:hint="default" w:ascii="Times New Roman" w:hAnsi="Times New Roman" w:eastAsia="宋体" w:cs="Times New Roman"/>
                <w:color w:val="auto"/>
                <w:kern w:val="2"/>
                <w:sz w:val="21"/>
                <w:szCs w:val="20"/>
                <w:lang w:val="en-US" w:eastAsia="zh-CN" w:bidi="ar-SA"/>
              </w:rPr>
              <w:t>（身份证号：</w:t>
            </w:r>
            <w:r>
              <w:rPr>
                <w:rFonts w:hint="eastAsia" w:cs="Times New Roman"/>
                <w:color w:val="auto"/>
                <w:kern w:val="2"/>
                <w:sz w:val="21"/>
                <w:szCs w:val="20"/>
                <w:lang w:val="en-US" w:eastAsia="zh-CN" w:bidi="ar-SA"/>
              </w:rPr>
              <w:t>***********</w:t>
            </w:r>
            <w:r>
              <w:rPr>
                <w:rFonts w:hint="default" w:ascii="Times New Roman" w:hAnsi="Times New Roman" w:eastAsia="宋体" w:cs="Times New Roman"/>
                <w:color w:val="auto"/>
                <w:kern w:val="2"/>
                <w:sz w:val="21"/>
                <w:szCs w:val="20"/>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组织机构代码</w:t>
            </w:r>
          </w:p>
        </w:tc>
        <w:tc>
          <w:tcPr>
            <w:tcW w:w="7576" w:type="dxa"/>
            <w:gridSpan w:val="3"/>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s="Times New Roman"/>
                <w:color w:val="auto"/>
                <w:kern w:val="2"/>
                <w:sz w:val="21"/>
                <w:szCs w:val="20"/>
                <w:lang w:val="en-US" w:eastAsia="zh-CN" w:bidi="ar-SA"/>
              </w:rPr>
            </w:pPr>
            <w:r>
              <w:rPr>
                <w:rFonts w:hint="eastAsia" w:cs="Times New Roman"/>
                <w:color w:val="auto"/>
                <w:kern w:val="2"/>
                <w:sz w:val="21"/>
                <w:szCs w:val="20"/>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576" w:type="dxa"/>
            <w:gridSpan w:val="3"/>
            <w:noWrap w:val="0"/>
            <w:vAlign w:val="center"/>
          </w:tcPr>
          <w:p>
            <w:pPr>
              <w:keepNext w:val="0"/>
              <w:keepLines w:val="0"/>
              <w:suppressLineNumbers w:val="0"/>
              <w:adjustRightInd w:val="0"/>
              <w:snapToGrid w:val="0"/>
              <w:spacing w:before="0" w:beforeAutospacing="0" w:after="0" w:afterAutospacing="0"/>
              <w:ind w:left="0" w:right="0" w:firstLine="210" w:firstLineChars="10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sz w:val="21"/>
                <w:szCs w:val="21"/>
              </w:rPr>
              <w:t>河南省新乡市新乡县七里营镇李台村南3号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576"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1"/>
              </w:rPr>
            </w:pPr>
            <w:r>
              <w:rPr>
                <w:rFonts w:hint="default" w:ascii="Times New Roman" w:hAnsi="Times New Roman" w:cs="Times New Roman"/>
                <w:color w:val="auto"/>
                <w:szCs w:val="21"/>
                <w:highlight w:val="none"/>
              </w:rPr>
              <w:t>（</w:t>
            </w:r>
            <w:r>
              <w:rPr>
                <w:rFonts w:hint="eastAsia" w:cs="Times New Roman"/>
                <w:color w:val="auto"/>
                <w:szCs w:val="21"/>
                <w:highlight w:val="none"/>
                <w:u w:val="single"/>
                <w:lang w:val="en-US" w:eastAsia="zh-CN"/>
              </w:rPr>
              <w:t>113度49分</w:t>
            </w:r>
            <w:r>
              <w:rPr>
                <w:rFonts w:hint="default" w:ascii="Times New Roman" w:hAnsi="Times New Roman" w:cs="Times New Roman"/>
                <w:color w:val="auto"/>
                <w:szCs w:val="21"/>
                <w:highlight w:val="none"/>
                <w:u w:val="single"/>
              </w:rPr>
              <w:t>58.63</w:t>
            </w:r>
            <w:r>
              <w:rPr>
                <w:rFonts w:hint="eastAsia" w:ascii="Times New Roman" w:hAnsi="Times New Roman" w:cs="Times New Roman"/>
                <w:color w:val="auto"/>
                <w:szCs w:val="21"/>
                <w:highlight w:val="none"/>
                <w:u w:val="single"/>
                <w:lang w:val="en-US" w:eastAsia="zh-CN"/>
              </w:rPr>
              <w:t>0</w:t>
            </w:r>
            <w:r>
              <w:rPr>
                <w:rFonts w:hint="eastAsia" w:cs="Times New Roman"/>
                <w:color w:val="auto"/>
                <w:szCs w:val="21"/>
                <w:highlight w:val="none"/>
                <w:u w:val="single"/>
                <w:lang w:val="en-US" w:eastAsia="zh-CN"/>
              </w:rPr>
              <w:t>秒</w:t>
            </w:r>
            <w:r>
              <w:rPr>
                <w:rFonts w:hint="default" w:ascii="Times New Roman" w:hAnsi="Times New Roman" w:cs="Times New Roman"/>
                <w:color w:val="auto"/>
                <w:szCs w:val="21"/>
                <w:highlight w:val="none"/>
                <w:u w:val="none"/>
              </w:rPr>
              <w:t>，</w:t>
            </w:r>
            <w:r>
              <w:rPr>
                <w:rFonts w:hint="eastAsia" w:cs="Times New Roman"/>
                <w:color w:val="auto"/>
                <w:szCs w:val="21"/>
                <w:highlight w:val="none"/>
                <w:u w:val="single"/>
                <w:lang w:val="en-US" w:eastAsia="zh-CN"/>
              </w:rPr>
              <w:t>35度10分28.061秒</w:t>
            </w: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2"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行业类别</w:t>
            </w:r>
          </w:p>
        </w:tc>
        <w:tc>
          <w:tcPr>
            <w:tcW w:w="2725" w:type="dxa"/>
            <w:noWrap w:val="0"/>
            <w:vAlign w:val="center"/>
          </w:tcPr>
          <w:p>
            <w:pPr>
              <w:pStyle w:val="2"/>
              <w:ind w:left="0" w:leftChars="0" w:firstLine="0" w:firstLineChars="0"/>
              <w:jc w:val="center"/>
              <w:rPr>
                <w:rFonts w:hint="default" w:eastAsia="宋体"/>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N7723固体废物治理</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bookmarkStart w:id="0" w:name="_Hlk49843745"/>
            <w:r>
              <w:rPr>
                <w:rFonts w:hint="default" w:ascii="Times New Roman" w:hAnsi="Times New Roman" w:cs="Times New Roman"/>
                <w:color w:val="auto"/>
                <w:sz w:val="21"/>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行业类别</w:t>
            </w:r>
            <w:bookmarkEnd w:id="0"/>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四十七</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生态保护和环境治理业</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：第</w:t>
            </w:r>
            <w:r>
              <w:rPr>
                <w:rFonts w:hint="eastAsia" w:ascii="Times New Roman" w:hAnsi="Times New Roman" w:eastAsia="宋体" w:cs="Times New Roman"/>
                <w:color w:val="auto"/>
                <w:sz w:val="21"/>
                <w:szCs w:val="21"/>
                <w:lang w:val="en-US" w:eastAsia="zh-CN"/>
              </w:rPr>
              <w:t>103</w:t>
            </w:r>
            <w:r>
              <w:rPr>
                <w:rFonts w:hint="default" w:ascii="Times New Roman" w:hAnsi="Times New Roman" w:eastAsia="宋体" w:cs="Times New Roman"/>
                <w:color w:val="auto"/>
                <w:sz w:val="21"/>
                <w:szCs w:val="21"/>
              </w:rPr>
              <w:t>条</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一般工业固体废物（含污水处理污泥）、建筑施工废弃物处置及综合利用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其他</w:t>
            </w:r>
            <w:r>
              <w:rPr>
                <w:rFonts w:hint="eastAsia" w:ascii="Times New Roman" w:hAnsi="Times New Roman"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44"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建设性质</w:t>
            </w:r>
          </w:p>
        </w:tc>
        <w:tc>
          <w:tcPr>
            <w:tcW w:w="2725"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eastAsia" w:cs="Times New Roman"/>
                <w:color w:val="auto"/>
                <w:sz w:val="21"/>
                <w:szCs w:val="21"/>
                <w:lang w:eastAsia="zh-CN"/>
              </w:rPr>
              <w:sym w:font="Wingdings 2" w:char="0052"/>
            </w:r>
            <w:r>
              <w:rPr>
                <w:rFonts w:hint="default" w:ascii="Times New Roman" w:hAnsi="Times New Roman" w:cs="Times New Roman"/>
                <w:color w:val="auto"/>
                <w:sz w:val="21"/>
                <w:szCs w:val="21"/>
              </w:rPr>
              <w:t>新建（迁建）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改建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扩建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技术改造</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申报情形</w:t>
            </w:r>
          </w:p>
        </w:tc>
        <w:tc>
          <w:tcPr>
            <w:tcW w:w="2639"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备案）部门（选填）</w:t>
            </w:r>
          </w:p>
        </w:tc>
        <w:tc>
          <w:tcPr>
            <w:tcW w:w="27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新乡县发展和改革委员会</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备案）文号（选填）</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0"/>
                <w:lang w:val="en-US" w:eastAsia="zh-CN" w:bidi="ar-SA"/>
              </w:rPr>
              <w:t>2308-410721-04-01-687111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总投资（万元）</w:t>
            </w:r>
          </w:p>
        </w:tc>
        <w:tc>
          <w:tcPr>
            <w:tcW w:w="27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环保投资（万元）</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环保投资占比（%）</w:t>
            </w:r>
          </w:p>
        </w:tc>
        <w:tc>
          <w:tcPr>
            <w:tcW w:w="27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施工工期</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4"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是否开工建设</w:t>
            </w:r>
          </w:p>
        </w:tc>
        <w:tc>
          <w:tcPr>
            <w:tcW w:w="2725"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r>
              <w:rPr>
                <w:rFonts w:hint="default" w:ascii="Times New Roman" w:hAnsi="Times New Roman" w:cs="Times New Roman"/>
                <w:color w:val="auto"/>
                <w:sz w:val="21"/>
                <w:szCs w:val="21"/>
                <w:u w:val="single"/>
              </w:rPr>
              <w:t xml:space="preserve">             </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面积（m</w:t>
            </w:r>
            <w:r>
              <w:rPr>
                <w:rFonts w:hint="default" w:ascii="Times New Roman" w:hAnsi="Times New Roman" w:cs="Times New Roman"/>
                <w:color w:val="auto"/>
                <w:spacing w:val="-6"/>
                <w:sz w:val="21"/>
                <w:szCs w:val="21"/>
                <w:vertAlign w:val="superscript"/>
              </w:rPr>
              <w:t>2</w:t>
            </w:r>
            <w:r>
              <w:rPr>
                <w:rFonts w:hint="default" w:ascii="Times New Roman" w:hAnsi="Times New Roman" w:cs="Times New Roman"/>
                <w:color w:val="auto"/>
                <w:spacing w:val="-6"/>
                <w:sz w:val="21"/>
                <w:szCs w:val="21"/>
              </w:rPr>
              <w:t>）</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9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576"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9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576"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 w:val="21"/>
                <w:szCs w:val="21"/>
                <w:lang w:eastAsia="zh-CN"/>
              </w:rPr>
            </w:pPr>
            <w:r>
              <w:rPr>
                <w:rFonts w:hint="eastAsia"/>
                <w:bCs/>
                <w:kern w:val="0"/>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576"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eastAsia" w:ascii="宋体" w:hAnsi="宋体" w:eastAsia="宋体" w:cs="宋体"/>
                <w:b/>
                <w:bCs/>
                <w:kern w:val="0"/>
                <w:sz w:val="21"/>
                <w:szCs w:val="21"/>
                <w:lang w:val="en-US" w:eastAsia="zh-CN" w:bidi="ar-SA"/>
              </w:rPr>
            </w:pPr>
            <w:r>
              <w:rPr>
                <w:rFonts w:hint="eastAsia"/>
                <w:bCs/>
                <w:kern w:val="0"/>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9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7576"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bCs/>
                <w:kern w:val="0"/>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2" w:hRule="atLeast"/>
          <w:jc w:val="center"/>
        </w:trPr>
        <w:tc>
          <w:tcPr>
            <w:tcW w:w="129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FF0000"/>
                <w:kern w:val="0"/>
                <w:szCs w:val="21"/>
              </w:rPr>
            </w:pPr>
            <w:r>
              <w:rPr>
                <w:rFonts w:hint="default" w:ascii="Times New Roman" w:hAnsi="Times New Roman" w:cs="Times New Roman"/>
                <w:color w:val="auto"/>
                <w:kern w:val="0"/>
                <w:szCs w:val="21"/>
              </w:rPr>
              <w:t>其他符合性分析</w:t>
            </w:r>
          </w:p>
        </w:tc>
        <w:tc>
          <w:tcPr>
            <w:tcW w:w="7576" w:type="dxa"/>
            <w:gridSpan w:val="3"/>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right="0" w:firstLine="422"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kern w:val="0"/>
                <w:szCs w:val="21"/>
              </w:rPr>
              <w:t>与《产业结构调整指导目录（2019年本）》的相符性分析</w:t>
            </w:r>
          </w:p>
          <w:p>
            <w:pPr>
              <w:keepNext w:val="0"/>
              <w:keepLines w:val="0"/>
              <w:pageBreakBefore w:val="0"/>
              <w:widowControl/>
              <w:suppressLineNumbers w:val="0"/>
              <w:kinsoku/>
              <w:wordWrap w:val="0"/>
              <w:overflowPunct/>
              <w:topLinePunct w:val="0"/>
              <w:autoSpaceDE/>
              <w:autoSpaceDN/>
              <w:bidi w:val="0"/>
              <w:adjustRightInd/>
              <w:snapToGrid/>
              <w:spacing w:line="520" w:lineRule="exact"/>
              <w:ind w:firstLine="420" w:firstLineChars="200"/>
              <w:jc w:val="left"/>
              <w:textAlignment w:val="auto"/>
              <w:rPr>
                <w:rFonts w:hint="default" w:ascii="Times New Roman" w:hAnsi="Times New Roman" w:eastAsia="宋体" w:cs="Times New Roman"/>
                <w:b w:val="0"/>
                <w:bCs w:val="0"/>
                <w:color w:val="auto"/>
                <w:u w:val="none"/>
                <w:lang w:val="en-US" w:eastAsia="zh-CN"/>
              </w:rPr>
            </w:pPr>
            <w:r>
              <w:rPr>
                <w:rFonts w:hint="eastAsia" w:cs="Times New Roman"/>
                <w:b w:val="0"/>
                <w:bCs w:val="0"/>
                <w:color w:val="auto"/>
                <w:kern w:val="0"/>
                <w:szCs w:val="21"/>
                <w:u w:val="none"/>
                <w:lang w:eastAsia="zh-CN"/>
              </w:rPr>
              <w:t>对照</w:t>
            </w:r>
            <w:r>
              <w:rPr>
                <w:rFonts w:hint="default" w:ascii="Times New Roman" w:hAnsi="Times New Roman" w:cs="Times New Roman"/>
                <w:b w:val="0"/>
                <w:bCs w:val="0"/>
                <w:color w:val="auto"/>
                <w:kern w:val="0"/>
                <w:szCs w:val="21"/>
                <w:u w:val="none"/>
              </w:rPr>
              <w:t>《产业结构调整指导目录（2019年本）》</w:t>
            </w:r>
            <w:r>
              <w:rPr>
                <w:rFonts w:hint="eastAsia" w:cs="Times New Roman"/>
                <w:b w:val="0"/>
                <w:bCs w:val="0"/>
                <w:color w:val="auto"/>
                <w:kern w:val="0"/>
                <w:szCs w:val="21"/>
                <w:u w:val="none"/>
                <w:lang w:eastAsia="zh-CN"/>
              </w:rPr>
              <w:t>，本项目属于鼓励类第</w:t>
            </w:r>
            <w:r>
              <w:rPr>
                <w:rFonts w:hint="eastAsia" w:cs="Times New Roman"/>
                <w:b w:val="0"/>
                <w:bCs w:val="0"/>
                <w:color w:val="auto"/>
                <w:kern w:val="0"/>
                <w:szCs w:val="21"/>
                <w:u w:val="none"/>
                <w:lang w:val="en-US" w:eastAsia="zh-CN"/>
              </w:rPr>
              <w:t>43</w:t>
            </w:r>
            <w:r>
              <w:rPr>
                <w:rFonts w:hint="eastAsia" w:cs="Times New Roman"/>
                <w:b w:val="0"/>
                <w:bCs w:val="0"/>
                <w:color w:val="auto"/>
                <w:kern w:val="0"/>
                <w:szCs w:val="21"/>
                <w:u w:val="none"/>
                <w:lang w:eastAsia="zh-CN"/>
              </w:rPr>
              <w:t>条第</w:t>
            </w:r>
            <w:r>
              <w:rPr>
                <w:rFonts w:hint="eastAsia" w:cs="Times New Roman"/>
                <w:b w:val="0"/>
                <w:bCs w:val="0"/>
                <w:color w:val="auto"/>
                <w:kern w:val="0"/>
                <w:szCs w:val="21"/>
                <w:u w:val="none"/>
                <w:lang w:val="en-US" w:eastAsia="zh-CN"/>
              </w:rPr>
              <w:t>26款“再生资源、建筑垃圾资源化回收利用工程和产业化”</w:t>
            </w:r>
            <w:r>
              <w:rPr>
                <w:rFonts w:hint="eastAsia" w:cs="Times New Roman"/>
                <w:b w:val="0"/>
                <w:bCs w:val="0"/>
                <w:color w:val="auto"/>
                <w:kern w:val="2"/>
                <w:sz w:val="21"/>
                <w:szCs w:val="21"/>
                <w:u w:val="none"/>
                <w:lang w:val="en-US" w:eastAsia="zh-CN" w:bidi="ar"/>
              </w:rPr>
              <w:t>，项目</w:t>
            </w:r>
            <w:r>
              <w:rPr>
                <w:rFonts w:hint="default" w:ascii="Times New Roman" w:hAnsi="Times New Roman" w:cs="Times New Roman"/>
                <w:b w:val="0"/>
                <w:bCs w:val="0"/>
                <w:color w:val="auto"/>
                <w:kern w:val="0"/>
                <w:szCs w:val="21"/>
                <w:u w:val="none"/>
              </w:rPr>
              <w:t>符合国家相关产业政策。项目已取得</w:t>
            </w:r>
            <w:r>
              <w:rPr>
                <w:rFonts w:hint="eastAsia" w:cs="Times New Roman"/>
                <w:b w:val="0"/>
                <w:bCs w:val="0"/>
                <w:color w:val="auto"/>
                <w:kern w:val="0"/>
                <w:szCs w:val="21"/>
                <w:u w:val="none"/>
                <w:lang w:val="en-US" w:eastAsia="zh-CN"/>
              </w:rPr>
              <w:t>新乡县发改委</w:t>
            </w:r>
            <w:r>
              <w:rPr>
                <w:rFonts w:hint="default" w:ascii="Times New Roman" w:hAnsi="Times New Roman" w:cs="Times New Roman"/>
                <w:b w:val="0"/>
                <w:bCs w:val="0"/>
                <w:color w:val="auto"/>
                <w:kern w:val="0"/>
                <w:szCs w:val="21"/>
                <w:u w:val="none"/>
              </w:rPr>
              <w:t>备案证明（见附件2），项目代码为：</w:t>
            </w:r>
            <w:r>
              <w:rPr>
                <w:rFonts w:hint="eastAsia" w:ascii="Times New Roman" w:hAnsi="Times New Roman" w:eastAsia="宋体" w:cs="Times New Roman"/>
                <w:color w:val="auto"/>
                <w:kern w:val="2"/>
                <w:sz w:val="21"/>
                <w:szCs w:val="20"/>
                <w:lang w:val="en-US" w:eastAsia="zh-CN" w:bidi="ar-SA"/>
              </w:rPr>
              <w:t>2308-410721-04-01-687111</w:t>
            </w:r>
            <w:r>
              <w:rPr>
                <w:rFonts w:hint="default" w:ascii="Times New Roman" w:hAnsi="Times New Roman" w:cs="Times New Roman"/>
                <w:b w:val="0"/>
                <w:bCs w:val="0"/>
                <w:color w:val="auto"/>
                <w:kern w:val="0"/>
                <w:szCs w:val="21"/>
                <w:u w:val="none"/>
                <w:lang w:eastAsia="zh-CN"/>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kern w:val="0"/>
                <w:szCs w:val="21"/>
                <w:lang w:eastAsia="zh-CN"/>
              </w:rPr>
              <w:t>与备案</w:t>
            </w:r>
            <w:r>
              <w:rPr>
                <w:rFonts w:hint="default" w:ascii="Times New Roman" w:hAnsi="Times New Roman" w:cs="Times New Roman"/>
                <w:b/>
                <w:bCs/>
                <w:color w:val="auto"/>
                <w:kern w:val="0"/>
                <w:szCs w:val="21"/>
              </w:rPr>
              <w:t>相符性分析</w:t>
            </w:r>
          </w:p>
          <w:p>
            <w:pPr>
              <w:pStyle w:val="31"/>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项目备案一致性分析表</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66"/>
              <w:gridCol w:w="2752"/>
              <w:gridCol w:w="2737"/>
              <w:gridCol w:w="90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0"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内容</w:t>
                  </w:r>
                </w:p>
              </w:tc>
              <w:tc>
                <w:tcPr>
                  <w:tcW w:w="177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备案</w:t>
                  </w:r>
                </w:p>
              </w:tc>
              <w:tc>
                <w:tcPr>
                  <w:tcW w:w="176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项目</w:t>
                  </w:r>
                </w:p>
              </w:tc>
              <w:tc>
                <w:tcPr>
                  <w:tcW w:w="582"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一致性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0"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项目代码</w:t>
                  </w:r>
                </w:p>
              </w:tc>
              <w:tc>
                <w:tcPr>
                  <w:tcW w:w="177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0"/>
                      <w:lang w:val="en-US" w:eastAsia="zh-CN" w:bidi="ar-SA"/>
                    </w:rPr>
                    <w:t>2308-410721-04-01-687111</w:t>
                  </w:r>
                </w:p>
              </w:tc>
              <w:tc>
                <w:tcPr>
                  <w:tcW w:w="176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0"/>
                      <w:lang w:val="en-US" w:eastAsia="zh-CN" w:bidi="ar-SA"/>
                    </w:rPr>
                    <w:t>2308-410721-04-01-687111</w:t>
                  </w:r>
                </w:p>
              </w:tc>
              <w:tc>
                <w:tcPr>
                  <w:tcW w:w="582"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20" w:hRule="atLeast"/>
                <w:jc w:val="center"/>
              </w:trPr>
              <w:tc>
                <w:tcPr>
                  <w:tcW w:w="880"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项目名称</w:t>
                  </w:r>
                </w:p>
              </w:tc>
              <w:tc>
                <w:tcPr>
                  <w:tcW w:w="177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Cs w:val="21"/>
                      <w:lang w:val="en-US" w:eastAsia="zh-CN"/>
                    </w:rPr>
                    <w:t>新乡县沃丰农资有限公司腐植酸钾尾料再生循环利用项目</w:t>
                  </w:r>
                </w:p>
              </w:tc>
              <w:tc>
                <w:tcPr>
                  <w:tcW w:w="176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Cs w:val="21"/>
                      <w:lang w:val="en-US" w:eastAsia="zh-CN"/>
                    </w:rPr>
                    <w:t>新乡县沃丰农资有限公司腐植酸钾尾料再生循环利用项目</w:t>
                  </w:r>
                </w:p>
              </w:tc>
              <w:tc>
                <w:tcPr>
                  <w:tcW w:w="582"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0"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建设地点</w:t>
                  </w:r>
                </w:p>
              </w:tc>
              <w:tc>
                <w:tcPr>
                  <w:tcW w:w="177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sz w:val="21"/>
                      <w:szCs w:val="21"/>
                    </w:rPr>
                    <w:t>河南省新乡市新乡县七里营镇李台村南3号</w:t>
                  </w:r>
                </w:p>
              </w:tc>
              <w:tc>
                <w:tcPr>
                  <w:tcW w:w="176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sz w:val="21"/>
                      <w:szCs w:val="21"/>
                    </w:rPr>
                    <w:t>河南省新乡市新乡县七里营镇李台村南3号</w:t>
                  </w:r>
                </w:p>
              </w:tc>
              <w:tc>
                <w:tcPr>
                  <w:tcW w:w="582"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0"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建设性质</w:t>
                  </w:r>
                </w:p>
              </w:tc>
              <w:tc>
                <w:tcPr>
                  <w:tcW w:w="177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新建</w:t>
                  </w:r>
                </w:p>
              </w:tc>
              <w:tc>
                <w:tcPr>
                  <w:tcW w:w="176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新建</w:t>
                  </w:r>
                </w:p>
              </w:tc>
              <w:tc>
                <w:tcPr>
                  <w:tcW w:w="582"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0"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建设规模及内容</w:t>
                  </w:r>
                </w:p>
              </w:tc>
              <w:tc>
                <w:tcPr>
                  <w:tcW w:w="177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建设腐植酸钾尾料再生循环利用项目，厂房建筑面积1300平方米，主要产品为腐植酸钾颗粒，主要原料为粉状腐植酸钾尾料。主要设备：投料斗、500型滚筒掺混机、TH200斗式提升机、500B液压挤压机、YSB1500摇摆筛、600*15M密闭皮带自动输送机、20-50kg包装设备、DMC160*2500除尘治理设备等辅助设施。</w:t>
                  </w:r>
                </w:p>
              </w:tc>
              <w:tc>
                <w:tcPr>
                  <w:tcW w:w="176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建设腐植酸钾尾料再生循环利用项目，厂房建筑面积1300平方米，主要产品为腐植酸钾颗粒尾料，主要原料为粉状腐植酸钾尾料。主要设备：投料斗、500型滚筒掺混机、TH200斗式提升机、500B液压挤压机、YSB1500摇摆筛、600*15M密闭皮带自动输送机、20-50kg包装设备、DMC160*2500除尘治理设备等辅助设施。</w:t>
                  </w:r>
                </w:p>
              </w:tc>
              <w:tc>
                <w:tcPr>
                  <w:tcW w:w="582"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0"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总投资</w:t>
                  </w:r>
                </w:p>
              </w:tc>
              <w:tc>
                <w:tcPr>
                  <w:tcW w:w="177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100</w:t>
                  </w:r>
                  <w:r>
                    <w:rPr>
                      <w:rFonts w:hint="default" w:ascii="Times New Roman" w:hAnsi="Times New Roman" w:cs="Times New Roman" w:eastAsiaTheme="minorEastAsia"/>
                      <w:color w:val="auto"/>
                      <w:kern w:val="2"/>
                      <w:sz w:val="21"/>
                      <w:szCs w:val="21"/>
                      <w:highlight w:val="none"/>
                      <w:lang w:val="en-US" w:eastAsia="zh-CN" w:bidi="ar-SA"/>
                    </w:rPr>
                    <w:t>万元</w:t>
                  </w:r>
                </w:p>
              </w:tc>
              <w:tc>
                <w:tcPr>
                  <w:tcW w:w="176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100</w:t>
                  </w:r>
                  <w:r>
                    <w:rPr>
                      <w:rFonts w:hint="default" w:ascii="Times New Roman" w:hAnsi="Times New Roman" w:cs="Times New Roman" w:eastAsiaTheme="minorEastAsia"/>
                      <w:color w:val="auto"/>
                      <w:kern w:val="2"/>
                      <w:sz w:val="21"/>
                      <w:szCs w:val="21"/>
                      <w:highlight w:val="none"/>
                      <w:lang w:val="en-US" w:eastAsia="zh-CN" w:bidi="ar-SA"/>
                    </w:rPr>
                    <w:t>万元</w:t>
                  </w:r>
                </w:p>
              </w:tc>
              <w:tc>
                <w:tcPr>
                  <w:tcW w:w="582"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0"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主要工艺</w:t>
                  </w:r>
                </w:p>
              </w:tc>
              <w:tc>
                <w:tcPr>
                  <w:tcW w:w="177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kern w:val="2"/>
                      <w:sz w:val="21"/>
                      <w:szCs w:val="21"/>
                      <w:lang w:val="en-US" w:eastAsia="zh-CN" w:bidi="ar-SA"/>
                    </w:rPr>
                    <w:t>外购原料-投料-搅拌-液压挤压-筛选-成品-包装</w:t>
                  </w:r>
                </w:p>
              </w:tc>
              <w:tc>
                <w:tcPr>
                  <w:tcW w:w="176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1"/>
                      <w:u w:val="single"/>
                      <w:lang w:val="en-US" w:eastAsia="zh-CN" w:bidi="ar-SA"/>
                    </w:rPr>
                  </w:pPr>
                  <w:r>
                    <w:rPr>
                      <w:rFonts w:hint="eastAsia" w:cs="Times New Roman" w:eastAsiaTheme="minorEastAsia"/>
                      <w:b w:val="0"/>
                      <w:bCs w:val="0"/>
                      <w:color w:val="auto"/>
                      <w:kern w:val="2"/>
                      <w:sz w:val="21"/>
                      <w:szCs w:val="21"/>
                      <w:lang w:val="en-US" w:eastAsia="zh-CN" w:bidi="ar-SA"/>
                    </w:rPr>
                    <w:t>外购原料-投料-搅拌-液压挤压-筛选-成品-包装</w:t>
                  </w:r>
                </w:p>
              </w:tc>
              <w:tc>
                <w:tcPr>
                  <w:tcW w:w="582"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1"/>
                      <w:u w:val="single"/>
                      <w:lang w:val="en-US" w:eastAsia="zh-CN" w:bidi="ar-SA"/>
                    </w:rPr>
                  </w:pPr>
                  <w:r>
                    <w:rPr>
                      <w:rFonts w:hint="default" w:ascii="Times New Roman" w:hAnsi="Times New Roman" w:cs="Times New Roman" w:eastAsiaTheme="minorEastAsia"/>
                      <w:b w:val="0"/>
                      <w:bCs w:val="0"/>
                      <w:color w:val="auto"/>
                      <w:kern w:val="2"/>
                      <w:sz w:val="21"/>
                      <w:szCs w:val="21"/>
                      <w:u w:val="none"/>
                      <w:lang w:val="en-US" w:eastAsia="zh-CN" w:bidi="ar-SA"/>
                    </w:rPr>
                    <w:t>一致</w:t>
                  </w:r>
                </w:p>
              </w:tc>
            </w:tr>
          </w:tbl>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3</w:t>
            </w:r>
            <w:r>
              <w:rPr>
                <w:rFonts w:hint="default" w:ascii="Times New Roman" w:hAnsi="Times New Roman" w:eastAsia="宋体" w:cs="Times New Roman"/>
                <w:b/>
                <w:bCs/>
                <w:color w:val="auto"/>
                <w:kern w:val="0"/>
                <w:szCs w:val="21"/>
                <w:lang w:val="en-US" w:eastAsia="zh-CN"/>
              </w:rPr>
              <w:t>、</w:t>
            </w:r>
            <w:r>
              <w:rPr>
                <w:rFonts w:hint="eastAsia" w:ascii="Times New Roman" w:hAnsi="Times New Roman" w:eastAsia="宋体" w:cs="Times New Roman"/>
                <w:b/>
                <w:bCs/>
                <w:color w:val="auto"/>
                <w:kern w:val="0"/>
                <w:szCs w:val="21"/>
              </w:rPr>
              <w:t>本项目与《新乡市环境污染防治攻坚指挥部办公室关于印发</w:t>
            </w:r>
            <w:r>
              <w:rPr>
                <w:rFonts w:hint="eastAsia" w:ascii="Times New Roman" w:hAnsi="Times New Roman" w:eastAsia="宋体" w:cs="Times New Roman"/>
                <w:b/>
                <w:bCs/>
                <w:color w:val="auto"/>
                <w:kern w:val="0"/>
                <w:szCs w:val="21"/>
                <w:lang w:val="en-US" w:eastAsia="zh-CN"/>
              </w:rPr>
              <w:t>新乡市2023年蓝天保卫战实施方案</w:t>
            </w:r>
            <w:r>
              <w:rPr>
                <w:rFonts w:hint="eastAsia"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szCs w:val="21"/>
              </w:rPr>
              <w:t>（新环攻坚办〔</w:t>
            </w:r>
            <w:r>
              <w:rPr>
                <w:rFonts w:hint="default" w:ascii="Times New Roman" w:hAnsi="Times New Roman" w:eastAsia="宋体" w:cs="Times New Roman"/>
                <w:b/>
                <w:bCs/>
                <w:color w:val="auto"/>
                <w:kern w:val="0"/>
                <w:szCs w:val="21"/>
                <w:lang w:val="en-US" w:eastAsia="zh-CN"/>
              </w:rPr>
              <w:t>2023</w:t>
            </w: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szCs w:val="21"/>
                <w:lang w:val="en-US" w:eastAsia="zh-CN"/>
              </w:rPr>
              <w:t>77</w:t>
            </w:r>
            <w:r>
              <w:rPr>
                <w:rFonts w:hint="default" w:ascii="Times New Roman" w:hAnsi="Times New Roman" w:eastAsia="宋体" w:cs="Times New Roman"/>
                <w:b/>
                <w:bCs/>
                <w:color w:val="auto"/>
                <w:kern w:val="0"/>
                <w:szCs w:val="21"/>
              </w:rPr>
              <w:t>号）（以下简称</w:t>
            </w:r>
            <w:r>
              <w:rPr>
                <w:rFonts w:hint="default" w:ascii="Times New Roman" w:hAnsi="Times New Roman" w:eastAsia="宋体" w:cs="Times New Roman"/>
                <w:b/>
                <w:bCs/>
                <w:color w:val="auto"/>
                <w:kern w:val="0"/>
                <w:szCs w:val="21"/>
                <w:lang w:val="en-US" w:eastAsia="zh-CN"/>
              </w:rPr>
              <w:t>蓝天保卫战</w:t>
            </w:r>
            <w:r>
              <w:rPr>
                <w:rFonts w:hint="default" w:ascii="Times New Roman" w:hAnsi="Times New Roman" w:eastAsia="宋体" w:cs="Times New Roman"/>
                <w:b/>
                <w:bCs/>
                <w:color w:val="auto"/>
                <w:kern w:val="0"/>
                <w:szCs w:val="21"/>
              </w:rPr>
              <w:t>实施方案）</w:t>
            </w:r>
            <w:r>
              <w:rPr>
                <w:rFonts w:hint="default" w:ascii="Times New Roman" w:hAnsi="Times New Roman" w:eastAsia="宋体" w:cs="Times New Roman"/>
                <w:b/>
                <w:bCs/>
                <w:color w:val="auto"/>
                <w:kern w:val="0"/>
                <w:szCs w:val="21"/>
                <w:lang w:eastAsia="zh-CN"/>
              </w:rPr>
              <w:t>相符性</w:t>
            </w:r>
            <w:r>
              <w:rPr>
                <w:rFonts w:hint="default" w:ascii="Times New Roman" w:hAnsi="Times New Roman" w:eastAsia="宋体" w:cs="Times New Roman"/>
                <w:b/>
                <w:bCs/>
                <w:color w:val="auto"/>
                <w:kern w:val="0"/>
                <w:szCs w:val="21"/>
              </w:rPr>
              <w:t>分析</w:t>
            </w:r>
            <w:r>
              <w:rPr>
                <w:rFonts w:hint="eastAsia" w:ascii="Times New Roman" w:hAnsi="Times New Roman" w:eastAsia="宋体" w:cs="Times New Roman"/>
                <w:b/>
                <w:bCs/>
                <w:color w:val="auto"/>
                <w:kern w:val="0"/>
                <w:szCs w:val="21"/>
                <w:lang w:eastAsia="zh-CN"/>
              </w:rPr>
              <w:t>。</w:t>
            </w:r>
          </w:p>
          <w:p>
            <w:pPr>
              <w:pStyle w:val="31"/>
              <w:bidi w:val="0"/>
              <w:rPr>
                <w:rFonts w:hint="default"/>
                <w:lang w:val="en-US" w:eastAsia="zh-CN"/>
              </w:rPr>
            </w:pPr>
            <w:r>
              <w:rPr>
                <w:rFonts w:hint="eastAsia"/>
                <w:lang w:val="en-US" w:eastAsia="zh-CN"/>
              </w:rPr>
              <w:t xml:space="preserve"> 本项目与《蓝天保卫战</w:t>
            </w:r>
            <w:r>
              <w:rPr>
                <w:rFonts w:hint="eastAsia"/>
              </w:rPr>
              <w:t>实施方案</w:t>
            </w:r>
            <w:r>
              <w:rPr>
                <w:rFonts w:hint="eastAsia"/>
                <w:lang w:val="en-US" w:eastAsia="zh-CN"/>
              </w:rPr>
              <w:t>》对比分析一览表</w:t>
            </w:r>
          </w:p>
          <w:tbl>
            <w:tblPr>
              <w:tblStyle w:val="18"/>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844"/>
              <w:gridCol w:w="4262"/>
              <w:gridCol w:w="2139"/>
              <w:gridCol w:w="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87"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ascii="Times New Roman" w:hAnsi="Times New Roman" w:eastAsia="宋体" w:cs="Times New Roman"/>
                      <w:b/>
                      <w:color w:val="000000"/>
                      <w:szCs w:val="21"/>
                      <w:highlight w:val="none"/>
                    </w:rPr>
                    <w:t>《</w:t>
                  </w:r>
                  <w:r>
                    <w:rPr>
                      <w:rFonts w:hint="eastAsia" w:ascii="Times New Roman" w:hAnsi="Times New Roman" w:eastAsia="宋体" w:cs="Times New Roman"/>
                      <w:b/>
                      <w:color w:val="000000"/>
                      <w:szCs w:val="21"/>
                      <w:highlight w:val="none"/>
                      <w:lang w:val="en-US" w:eastAsia="zh-CN"/>
                    </w:rPr>
                    <w:t>蓝天保卫战</w:t>
                  </w:r>
                  <w:r>
                    <w:rPr>
                      <w:rFonts w:hint="eastAsia" w:ascii="Times New Roman" w:hAnsi="Times New Roman" w:eastAsia="宋体" w:cs="Times New Roman"/>
                      <w:b/>
                      <w:color w:val="000000"/>
                      <w:szCs w:val="21"/>
                      <w:highlight w:val="none"/>
                    </w:rPr>
                    <w:t>实施方案</w:t>
                  </w:r>
                  <w:r>
                    <w:rPr>
                      <w:rFonts w:hint="default" w:ascii="Times New Roman" w:hAnsi="Times New Roman" w:eastAsia="宋体" w:cs="Times New Roman"/>
                      <w:b/>
                      <w:color w:val="000000"/>
                      <w:szCs w:val="21"/>
                      <w:highlight w:val="none"/>
                    </w:rPr>
                    <w:t>》中</w:t>
                  </w:r>
                  <w:r>
                    <w:rPr>
                      <w:rFonts w:hint="default"/>
                      <w:b/>
                      <w:color w:val="000000"/>
                      <w:szCs w:val="21"/>
                      <w:highlight w:val="none"/>
                    </w:rPr>
                    <w:t>与本项目有关的</w:t>
                  </w:r>
                  <w:r>
                    <w:rPr>
                      <w:rFonts w:hint="eastAsia"/>
                      <w:b/>
                      <w:color w:val="000000"/>
                      <w:szCs w:val="21"/>
                      <w:highlight w:val="none"/>
                    </w:rPr>
                    <w:t>内</w:t>
                  </w:r>
                  <w:r>
                    <w:rPr>
                      <w:rFonts w:hint="default"/>
                      <w:b/>
                      <w:color w:val="000000"/>
                      <w:szCs w:val="21"/>
                      <w:highlight w:val="none"/>
                    </w:rPr>
                    <w:t>容</w:t>
                  </w:r>
                </w:p>
              </w:tc>
              <w:tc>
                <w:tcPr>
                  <w:tcW w:w="204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8"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1.依法依规淘汰落后低效产能</w:t>
                  </w:r>
                </w:p>
              </w:tc>
              <w:tc>
                <w:tcPr>
                  <w:tcW w:w="4079"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落实《河南省淘汰落后产能综合标准体系》，将大气污染物排放强度高、治理难度大以及产能过剩行业的工艺和装备纳入淘汰范围。制定2023年落后产能淘汰退出工作方案，严格执行能耗、环保、质量、安全、技术等法规标准，明确落后产能淘汰目标任务，组织开展排查整治专项行动，对落后产能实施动态“清零”。</w:t>
                  </w:r>
                </w:p>
              </w:tc>
              <w:tc>
                <w:tcPr>
                  <w:tcW w:w="2047"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本项目为</w:t>
                  </w:r>
                  <w:r>
                    <w:rPr>
                      <w:rFonts w:hint="eastAsia" w:ascii="Times New Roman" w:hAnsi="Times New Roman" w:eastAsia="宋体" w:cs="Times New Roman"/>
                      <w:color w:val="auto"/>
                      <w:sz w:val="21"/>
                      <w:szCs w:val="21"/>
                      <w:lang w:val="en-US" w:eastAsia="zh-CN"/>
                    </w:rPr>
                    <w:t>一般工业固体废物处置及综合利用</w:t>
                  </w:r>
                  <w:r>
                    <w:rPr>
                      <w:rFonts w:hint="eastAsia" w:eastAsia="宋体"/>
                      <w:color w:val="000000"/>
                      <w:szCs w:val="21"/>
                      <w:highlight w:val="none"/>
                      <w:lang w:val="en-US" w:eastAsia="zh-CN"/>
                    </w:rPr>
                    <w:t>，不属于产能过剩行业，本项目设备不属于淘汰设备。</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8"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14.加强扬尘防治精细化管理。</w:t>
                  </w:r>
                </w:p>
              </w:tc>
              <w:tc>
                <w:tcPr>
                  <w:tcW w:w="4079"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开展扬尘治理提升行动，严格落实扬尘治理“两个标准”要求，做好建筑工地、线性工程、城乡结合部等关键部位和重点环节综合治理，加大扬尘污染防治执法监管力度，各县（市、区）平均降尘量不得高于7吨/月·平方公里。持续开展城市清洁行动，强化道路扬尘综合整治，重点提升国省道、县乡道路、城乡结合部和背街小巷等各类道路清扫保洁效果，加大重载车抛洒现象查处力度，2023年底前实现市、县建成区道路清扫覆盖率达到 90%以上，道路机械化清扫率达到80%以上，道路清扫保洁能力显著增强。加强餐饮油烟日常监督，强化市、县监控平台联网运行，实现对大型餐饮服务单位油烟排放情况实时监控；餐饮油烟净化设施月抽查率不低于20%。</w:t>
                  </w:r>
                </w:p>
              </w:tc>
              <w:tc>
                <w:tcPr>
                  <w:tcW w:w="204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本项目建设过程将严格落实扬尘治理“两个标准”要求，做好建筑工地等关键部位和重点环节综合治理</w:t>
                  </w:r>
                  <w:r>
                    <w:rPr>
                      <w:rFonts w:hint="eastAsia" w:cs="Times New Roman"/>
                      <w:color w:val="000000"/>
                      <w:szCs w:val="21"/>
                      <w:highlight w:val="none"/>
                      <w:lang w:val="en-US" w:eastAsia="zh-CN"/>
                    </w:rPr>
                    <w:t>；不产生生产废水</w:t>
                  </w:r>
                  <w:r>
                    <w:rPr>
                      <w:rFonts w:hint="eastAsia" w:ascii="Times New Roman" w:hAnsi="Times New Roman" w:eastAsia="宋体" w:cs="Times New Roman"/>
                      <w:color w:val="000000"/>
                      <w:szCs w:val="21"/>
                      <w:highlight w:val="none"/>
                      <w:lang w:val="en-US" w:eastAsia="zh-CN"/>
                    </w:rPr>
                    <w:t>。</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highlight w:val="none"/>
                    </w:rPr>
                  </w:pPr>
                  <w:r>
                    <w:rPr>
                      <w:rFonts w:hint="eastAsia"/>
                      <w:color w:val="000000"/>
                      <w:szCs w:val="21"/>
                      <w:highlight w:val="none"/>
                    </w:rPr>
                    <w:t>符合</w:t>
                  </w:r>
                </w:p>
              </w:tc>
            </w:tr>
          </w:tbl>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FF0000"/>
                <w:kern w:val="0"/>
                <w:sz w:val="21"/>
                <w:szCs w:val="20"/>
                <w:highlight w:val="yellow"/>
                <w:lang w:val="en-US" w:eastAsia="zh-CN" w:bidi="ar-SA"/>
              </w:rPr>
            </w:pPr>
            <w:r>
              <w:rPr>
                <w:rFonts w:hint="default" w:ascii="Times New Roman" w:hAnsi="Times New Roman" w:eastAsia="宋体" w:cs="Times New Roman"/>
                <w:color w:val="auto"/>
                <w:kern w:val="0"/>
                <w:sz w:val="21"/>
                <w:szCs w:val="20"/>
                <w:highlight w:val="none"/>
                <w:lang w:val="en-US" w:eastAsia="zh-CN" w:bidi="ar-SA"/>
              </w:rPr>
              <w:t>由上表可知，本项目符合</w:t>
            </w:r>
            <w:r>
              <w:rPr>
                <w:rFonts w:hint="eastAsia" w:ascii="Times New Roman" w:hAnsi="Times New Roman" w:eastAsia="宋体" w:cs="Times New Roman"/>
                <w:color w:val="auto"/>
                <w:kern w:val="0"/>
                <w:sz w:val="21"/>
                <w:szCs w:val="20"/>
                <w:highlight w:val="none"/>
                <w:lang w:val="en-US" w:eastAsia="zh-CN" w:bidi="ar-SA"/>
              </w:rPr>
              <w:t>《新乡市环境污染防治攻坚指挥部办公室关于印发新乡市2023年蓝天保卫战实施方案》</w:t>
            </w:r>
            <w:r>
              <w:rPr>
                <w:rFonts w:hint="default" w:ascii="Times New Roman" w:hAnsi="Times New Roman" w:eastAsia="宋体" w:cs="Times New Roman"/>
                <w:color w:val="auto"/>
                <w:kern w:val="0"/>
                <w:sz w:val="21"/>
                <w:szCs w:val="20"/>
                <w:highlight w:val="none"/>
                <w:lang w:val="en-US" w:eastAsia="zh-CN" w:bidi="ar-SA"/>
              </w:rPr>
              <w:t>（新环攻坚办〔2023〕77号）相关要求。</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eastAsia" w:ascii="Times New Roman" w:hAnsi="Times New Roman" w:eastAsia="宋体" w:cs="Times New Roman"/>
                <w:b/>
                <w:bCs/>
                <w:color w:val="auto"/>
                <w:kern w:val="0"/>
                <w:sz w:val="21"/>
                <w:szCs w:val="20"/>
                <w:highlight w:val="none"/>
                <w:lang w:val="en-US" w:eastAsia="zh-CN" w:bidi="ar-SA"/>
              </w:rPr>
            </w:pPr>
            <w:r>
              <w:rPr>
                <w:rFonts w:hint="eastAsia" w:ascii="Times New Roman" w:hAnsi="Times New Roman" w:eastAsia="宋体" w:cs="Times New Roman"/>
                <w:b/>
                <w:bCs/>
                <w:color w:val="auto"/>
                <w:kern w:val="0"/>
                <w:sz w:val="21"/>
                <w:szCs w:val="20"/>
                <w:highlight w:val="none"/>
                <w:lang w:val="en-US" w:eastAsia="zh-CN" w:bidi="ar-SA"/>
              </w:rPr>
              <w:t>4、本项目与《新乡市环境污染防治攻坚指挥部办公室关于印发新乡市2023年碧水保卫战实施方案》（</w:t>
            </w:r>
            <w:r>
              <w:rPr>
                <w:rFonts w:hint="default" w:ascii="Times New Roman" w:hAnsi="Times New Roman" w:eastAsia="宋体" w:cs="Times New Roman"/>
                <w:b/>
                <w:bCs/>
                <w:color w:val="auto"/>
                <w:kern w:val="0"/>
                <w:sz w:val="21"/>
                <w:szCs w:val="20"/>
                <w:highlight w:val="none"/>
                <w:lang w:val="en-US" w:eastAsia="zh-CN" w:bidi="ar-SA"/>
              </w:rPr>
              <w:t>新环攻坚办〔2023〕66号）（以下简称碧水保卫战实施方案）相符性分析。</w:t>
            </w:r>
          </w:p>
          <w:p>
            <w:pPr>
              <w:pStyle w:val="31"/>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本项目与《碧水保卫战实施方案》对比分析一览表</w:t>
            </w:r>
          </w:p>
          <w:tbl>
            <w:tblPr>
              <w:tblStyle w:val="18"/>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846"/>
              <w:gridCol w:w="4256"/>
              <w:gridCol w:w="2022"/>
              <w:gridCol w:w="6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840"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ascii="Times New Roman" w:hAnsi="Times New Roman" w:eastAsia="宋体" w:cs="Times New Roman"/>
                      <w:b/>
                      <w:color w:val="000000"/>
                      <w:szCs w:val="21"/>
                      <w:highlight w:val="none"/>
                    </w:rPr>
                    <w:t>《</w:t>
                  </w:r>
                  <w:r>
                    <w:rPr>
                      <w:rFonts w:hint="eastAsia" w:ascii="Times New Roman" w:hAnsi="Times New Roman" w:eastAsia="宋体" w:cs="Times New Roman"/>
                      <w:b/>
                      <w:color w:val="000000"/>
                      <w:szCs w:val="21"/>
                      <w:highlight w:val="none"/>
                      <w:lang w:val="en-US" w:eastAsia="zh-CN"/>
                    </w:rPr>
                    <w:t>碧水保卫战</w:t>
                  </w:r>
                  <w:r>
                    <w:rPr>
                      <w:rFonts w:hint="eastAsia" w:ascii="Times New Roman" w:hAnsi="Times New Roman" w:eastAsia="宋体" w:cs="Times New Roman"/>
                      <w:b/>
                      <w:color w:val="000000"/>
                      <w:szCs w:val="21"/>
                      <w:highlight w:val="none"/>
                    </w:rPr>
                    <w:t>实施方案</w:t>
                  </w:r>
                  <w:r>
                    <w:rPr>
                      <w:rFonts w:hint="default" w:ascii="Times New Roman" w:hAnsi="Times New Roman" w:eastAsia="宋体" w:cs="Times New Roman"/>
                      <w:b/>
                      <w:color w:val="000000"/>
                      <w:szCs w:val="21"/>
                      <w:highlight w:val="none"/>
                    </w:rPr>
                    <w:t>》中</w:t>
                  </w:r>
                  <w:r>
                    <w:rPr>
                      <w:rFonts w:hint="default"/>
                      <w:b/>
                      <w:color w:val="000000"/>
                      <w:szCs w:val="21"/>
                      <w:highlight w:val="none"/>
                    </w:rPr>
                    <w:t>与本项目有关的</w:t>
                  </w:r>
                  <w:r>
                    <w:rPr>
                      <w:rFonts w:hint="eastAsia"/>
                      <w:b/>
                      <w:color w:val="000000"/>
                      <w:szCs w:val="21"/>
                      <w:highlight w:val="none"/>
                    </w:rPr>
                    <w:t>内</w:t>
                  </w:r>
                  <w:r>
                    <w:rPr>
                      <w:rFonts w:hint="default"/>
                      <w:b/>
                      <w:color w:val="000000"/>
                      <w:szCs w:val="21"/>
                      <w:highlight w:val="none"/>
                    </w:rPr>
                    <w:t>容</w:t>
                  </w:r>
                </w:p>
              </w:tc>
              <w:tc>
                <w:tcPr>
                  <w:tcW w:w="191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60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3"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20.推动企业绿色转型发展</w:t>
                  </w:r>
                </w:p>
              </w:tc>
              <w:tc>
                <w:tcPr>
                  <w:tcW w:w="403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严格落实环境准入，落实“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1918"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本项目严格落实三线一单政策，本项目为</w:t>
                  </w:r>
                  <w:r>
                    <w:rPr>
                      <w:rFonts w:hint="eastAsia" w:ascii="Times New Roman" w:hAnsi="Times New Roman" w:eastAsia="宋体" w:cs="Times New Roman"/>
                      <w:color w:val="auto"/>
                      <w:sz w:val="21"/>
                      <w:szCs w:val="21"/>
                      <w:lang w:val="en-US" w:eastAsia="zh-CN"/>
                    </w:rPr>
                    <w:t>一般工业固体废物处置及综合利用</w:t>
                  </w:r>
                  <w:r>
                    <w:rPr>
                      <w:rFonts w:hint="eastAsia" w:eastAsia="宋体"/>
                      <w:color w:val="000000"/>
                      <w:szCs w:val="21"/>
                      <w:highlight w:val="none"/>
                      <w:lang w:val="en-US" w:eastAsia="zh-CN"/>
                    </w:rPr>
                    <w:t>。</w:t>
                  </w:r>
                </w:p>
              </w:tc>
              <w:tc>
                <w:tcPr>
                  <w:tcW w:w="60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bl>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eastAsia" w:ascii="Times New Roman" w:hAnsi="Times New Roman" w:eastAsia="宋体" w:cs="Times New Roman"/>
                <w:b/>
                <w:bCs/>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由上表可知，本项目符合</w:t>
            </w:r>
            <w:r>
              <w:rPr>
                <w:rFonts w:hint="eastAsia" w:ascii="Times New Roman" w:hAnsi="Times New Roman" w:eastAsia="宋体" w:cs="Times New Roman"/>
                <w:color w:val="auto"/>
                <w:kern w:val="0"/>
                <w:sz w:val="21"/>
                <w:szCs w:val="20"/>
                <w:highlight w:val="none"/>
                <w:lang w:val="en-US" w:eastAsia="zh-CN" w:bidi="ar-SA"/>
              </w:rPr>
              <w:t>《新乡市环境污染防治攻坚指挥部办公室关于印发新乡市2023年碧水保卫战实施方案》（</w:t>
            </w:r>
            <w:r>
              <w:rPr>
                <w:rFonts w:hint="default" w:ascii="Times New Roman" w:hAnsi="Times New Roman" w:eastAsia="宋体" w:cs="Times New Roman"/>
                <w:color w:val="auto"/>
                <w:kern w:val="0"/>
                <w:sz w:val="21"/>
                <w:szCs w:val="20"/>
                <w:highlight w:val="none"/>
                <w:lang w:val="en-US" w:eastAsia="zh-CN" w:bidi="ar-SA"/>
              </w:rPr>
              <w:t>新环攻坚办〔2023〕66号）相关要求。</w:t>
            </w:r>
          </w:p>
          <w:p>
            <w:pPr>
              <w:keepNext w:val="0"/>
              <w:keepLines w:val="0"/>
              <w:pageBreakBefore w:val="0"/>
              <w:widowControl/>
              <w:numPr>
                <w:ilvl w:val="0"/>
                <w:numId w:val="3"/>
              </w:numPr>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highlight w:val="none"/>
                <w:lang w:val="en-US" w:eastAsia="zh-CN" w:bidi="ar-SA"/>
              </w:rPr>
            </w:pPr>
            <w:r>
              <w:rPr>
                <w:rFonts w:hint="eastAsia" w:ascii="Times New Roman" w:hAnsi="Times New Roman" w:eastAsia="宋体" w:cs="Times New Roman"/>
                <w:b/>
                <w:bCs/>
                <w:color w:val="auto"/>
                <w:kern w:val="0"/>
                <w:sz w:val="21"/>
                <w:szCs w:val="20"/>
                <w:highlight w:val="none"/>
                <w:lang w:val="en-US" w:eastAsia="zh-CN" w:bidi="ar-SA"/>
              </w:rPr>
              <w:t>本项目与《新乡市深入打好秋冬季重污染天气消除、夏季臭氧污染防治和柴油货车污染治理攻坚战实施方案》</w:t>
            </w:r>
            <w:r>
              <w:rPr>
                <w:rFonts w:hint="default" w:ascii="Times New Roman" w:hAnsi="Times New Roman" w:eastAsia="宋体" w:cs="Times New Roman"/>
                <w:b/>
                <w:bCs/>
                <w:color w:val="auto"/>
                <w:kern w:val="0"/>
                <w:sz w:val="21"/>
                <w:szCs w:val="20"/>
                <w:highlight w:val="none"/>
                <w:lang w:val="en-US" w:eastAsia="zh-CN" w:bidi="ar-SA"/>
              </w:rPr>
              <w:t>（新环攻坚办〔2023〕73号）（以下简称实施方案）相符性分析。</w:t>
            </w:r>
          </w:p>
          <w:p>
            <w:pPr>
              <w:pStyle w:val="31"/>
              <w:bidi w:val="0"/>
              <w:rPr>
                <w:rFonts w:hint="eastAsia"/>
                <w:lang w:val="en-US" w:eastAsia="zh-CN"/>
              </w:rPr>
            </w:pPr>
            <w:r>
              <w:rPr>
                <w:rFonts w:hint="eastAsia" w:ascii="Times New Roman" w:hAnsi="Times New Roman" w:eastAsia="宋体" w:cs="Times New Roman"/>
                <w:lang w:val="en-US" w:eastAsia="zh-CN"/>
              </w:rPr>
              <w:t xml:space="preserve"> 本项目与《实施</w:t>
            </w:r>
            <w:r>
              <w:rPr>
                <w:rFonts w:hint="default" w:ascii="Times New Roman" w:hAnsi="Times New Roman" w:eastAsia="宋体" w:cs="Times New Roman"/>
                <w:lang w:val="en-US" w:eastAsia="zh-CN"/>
              </w:rPr>
              <w:t>方案</w:t>
            </w:r>
            <w:r>
              <w:rPr>
                <w:rFonts w:hint="eastAsia" w:ascii="Times New Roman" w:hAnsi="Times New Roman" w:eastAsia="宋体" w:cs="Times New Roman"/>
                <w:lang w:val="en-US" w:eastAsia="zh-CN"/>
              </w:rPr>
              <w:t>》对比分析一览表</w:t>
            </w:r>
          </w:p>
          <w:tbl>
            <w:tblPr>
              <w:tblStyle w:val="18"/>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849"/>
              <w:gridCol w:w="4254"/>
              <w:gridCol w:w="2003"/>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841"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w:t>
                  </w:r>
                  <w:r>
                    <w:rPr>
                      <w:rFonts w:hint="eastAsia"/>
                      <w:b/>
                      <w:color w:val="000000"/>
                      <w:szCs w:val="21"/>
                      <w:highlight w:val="none"/>
                    </w:rPr>
                    <w:t>实施方案</w:t>
                  </w:r>
                  <w:r>
                    <w:rPr>
                      <w:rFonts w:hint="default"/>
                      <w:b/>
                      <w:color w:val="000000"/>
                      <w:szCs w:val="21"/>
                      <w:highlight w:val="none"/>
                    </w:rPr>
                    <w:t>》中与本项目有关的</w:t>
                  </w:r>
                  <w:r>
                    <w:rPr>
                      <w:rFonts w:hint="eastAsia"/>
                      <w:b/>
                      <w:color w:val="000000"/>
                      <w:szCs w:val="21"/>
                      <w:highlight w:val="none"/>
                    </w:rPr>
                    <w:t>内</w:t>
                  </w:r>
                  <w:r>
                    <w:rPr>
                      <w:rFonts w:hint="default"/>
                      <w:b/>
                      <w:color w:val="000000"/>
                      <w:szCs w:val="21"/>
                      <w:highlight w:val="none"/>
                    </w:rPr>
                    <w:t>容</w:t>
                  </w:r>
                </w:p>
              </w:tc>
              <w:tc>
                <w:tcPr>
                  <w:tcW w:w="19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61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6"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（一）加快产业结构优化调整-遏制“两高”项目盲目发展</w:t>
                  </w:r>
                </w:p>
              </w:tc>
              <w:tc>
                <w:tcPr>
                  <w:tcW w:w="403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color w:val="000000"/>
                      <w:szCs w:val="21"/>
                      <w:highlight w:val="none"/>
                    </w:rPr>
                  </w:pPr>
                  <w:r>
                    <w:rPr>
                      <w:rFonts w:hint="eastAsia"/>
                      <w:color w:val="000000"/>
                      <w:szCs w:val="21"/>
                      <w:highlight w:val="none"/>
                    </w:rPr>
                    <w:t>严格落实国家、省产业规划、产业政策、“三线一单”、规划环评，以及产能置换、煤炭消费减量替代、区域污染物削减等要求，严把高耗能、高排放、低水平项目准入关口。全市禁止新增钢铁、电解铝、氧化铝、水泥熟料平板玻璃 (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 A 级绩效水平，改建项目污染物排放限值、污染治理措施、无组织排放控制水平、运输方式等达到 B 级以上绩效水平。新建、改建、扩建项目大宗货物年货运量 150 万吨及以上的，原则上要接入铁路专用线或管道:具有铁路专用线的大宗货物铁路运输比例应达到 80%以上。</w:t>
                  </w:r>
                </w:p>
              </w:tc>
              <w:tc>
                <w:tcPr>
                  <w:tcW w:w="190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rPr>
                    <w:t>本项目为</w:t>
                  </w:r>
                  <w:r>
                    <w:rPr>
                      <w:rFonts w:hint="eastAsia"/>
                      <w:color w:val="000000"/>
                      <w:szCs w:val="21"/>
                      <w:highlight w:val="none"/>
                      <w:lang w:val="en-US" w:eastAsia="zh-CN"/>
                    </w:rPr>
                    <w:t>新建</w:t>
                  </w:r>
                  <w:r>
                    <w:rPr>
                      <w:rFonts w:hint="eastAsia"/>
                      <w:color w:val="000000"/>
                      <w:szCs w:val="21"/>
                      <w:highlight w:val="none"/>
                    </w:rPr>
                    <w:t>项目，</w:t>
                  </w:r>
                  <w:r>
                    <w:rPr>
                      <w:rFonts w:hint="eastAsia"/>
                      <w:color w:val="000000"/>
                      <w:szCs w:val="21"/>
                      <w:highlight w:val="none"/>
                      <w:lang w:val="en-US" w:eastAsia="zh-CN"/>
                    </w:rPr>
                    <w:t>属于</w:t>
                  </w:r>
                  <w:r>
                    <w:rPr>
                      <w:rFonts w:hint="eastAsia" w:ascii="Times New Roman" w:hAnsi="Times New Roman" w:eastAsia="宋体" w:cs="Times New Roman"/>
                      <w:color w:val="auto"/>
                      <w:sz w:val="21"/>
                      <w:szCs w:val="21"/>
                      <w:lang w:val="en-US" w:eastAsia="zh-CN"/>
                    </w:rPr>
                    <w:t>一般工业固体废物处置及综合利用</w:t>
                  </w:r>
                  <w:r>
                    <w:rPr>
                      <w:rFonts w:hint="eastAsia"/>
                      <w:color w:val="000000"/>
                      <w:szCs w:val="21"/>
                      <w:highlight w:val="none"/>
                      <w:lang w:val="en-US" w:eastAsia="zh-CN"/>
                    </w:rPr>
                    <w:t>，</w:t>
                  </w:r>
                  <w:r>
                    <w:rPr>
                      <w:rFonts w:hint="eastAsia"/>
                      <w:color w:val="000000"/>
                      <w:szCs w:val="21"/>
                      <w:highlight w:val="none"/>
                    </w:rPr>
                    <w:t>不属于钢铁、电解铝、氧化铝、水泥熟料平板玻璃 (光伏压延玻璃除外)、煤化工、焦化、铝用炭素、含烧结工序的耐火材料和砖瓦制品等行业项目。</w:t>
                  </w:r>
                  <w:r>
                    <w:rPr>
                      <w:rFonts w:hint="eastAsia"/>
                      <w:bCs/>
                      <w:color w:val="000000"/>
                      <w:szCs w:val="21"/>
                      <w:highlight w:val="none"/>
                    </w:rPr>
                    <w:t>本项目</w:t>
                  </w:r>
                  <w:r>
                    <w:rPr>
                      <w:rFonts w:hint="eastAsia"/>
                      <w:lang w:eastAsia="zh-CN"/>
                    </w:rPr>
                    <w:t>符合国家产业</w:t>
                  </w:r>
                  <w:r>
                    <w:rPr>
                      <w:rFonts w:hint="eastAsia"/>
                      <w:color w:val="000000" w:themeColor="text1"/>
                      <w:lang w:eastAsia="zh-CN"/>
                      <w14:textFill>
                        <w14:solidFill>
                          <w14:schemeClr w14:val="tx1"/>
                        </w14:solidFill>
                      </w14:textFill>
                    </w:rPr>
                    <w:t>政策及新乡市、</w:t>
                  </w:r>
                  <w:r>
                    <w:rPr>
                      <w:rFonts w:hint="eastAsia"/>
                      <w:color w:val="000000" w:themeColor="text1"/>
                      <w:lang w:val="en-US" w:eastAsia="zh-CN"/>
                      <w14:textFill>
                        <w14:solidFill>
                          <w14:schemeClr w14:val="tx1"/>
                        </w14:solidFill>
                      </w14:textFill>
                    </w:rPr>
                    <w:t>新乡县</w:t>
                  </w:r>
                  <w:r>
                    <w:rPr>
                      <w:rFonts w:hint="eastAsia"/>
                      <w:bCs/>
                      <w:color w:val="000000" w:themeColor="text1"/>
                      <w:szCs w:val="21"/>
                      <w:highlight w:val="none"/>
                      <w:lang w:val="en-US" w:eastAsia="zh-CN"/>
                      <w14:textFill>
                        <w14:solidFill>
                          <w14:schemeClr w14:val="tx1"/>
                        </w14:solidFill>
                      </w14:textFill>
                    </w:rPr>
                    <w:t>“三线一单”等要求，本项目不属于国家、</w:t>
                  </w:r>
                  <w:r>
                    <w:rPr>
                      <w:rFonts w:hint="eastAsia"/>
                      <w:bCs/>
                      <w:color w:val="000000"/>
                      <w:szCs w:val="21"/>
                      <w:highlight w:val="none"/>
                      <w:lang w:val="en-US" w:eastAsia="zh-CN"/>
                    </w:rPr>
                    <w:t>省绩效分级重点行业，应达到A级绩效水平</w:t>
                  </w:r>
                </w:p>
              </w:tc>
              <w:tc>
                <w:tcPr>
                  <w:tcW w:w="61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bl>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highlight w:val="none"/>
                <w:lang w:val="en-US" w:eastAsia="zh-CN" w:bidi="ar-SA"/>
              </w:rPr>
            </w:pPr>
            <w:r>
              <w:rPr>
                <w:rFonts w:hint="eastAsia" w:cs="Times New Roman"/>
                <w:b/>
                <w:bCs/>
                <w:color w:val="auto"/>
                <w:kern w:val="0"/>
                <w:sz w:val="21"/>
                <w:szCs w:val="20"/>
                <w:highlight w:val="none"/>
                <w:lang w:val="en-US" w:eastAsia="zh-CN" w:bidi="ar-SA"/>
              </w:rPr>
              <w:t>6</w:t>
            </w:r>
            <w:r>
              <w:rPr>
                <w:rFonts w:hint="default" w:ascii="Times New Roman" w:hAnsi="Times New Roman" w:eastAsia="宋体" w:cs="Times New Roman"/>
                <w:b/>
                <w:bCs/>
                <w:color w:val="auto"/>
                <w:kern w:val="0"/>
                <w:sz w:val="21"/>
                <w:szCs w:val="20"/>
                <w:highlight w:val="none"/>
                <w:lang w:val="en-US" w:eastAsia="zh-CN" w:bidi="ar-SA"/>
              </w:rPr>
              <w:t>、本项目与《新乡市生态环境局关于部署安装工业企业用电量监控系统的通知》新环 [2019]154号文的对照分析</w:t>
            </w:r>
          </w:p>
          <w:p>
            <w:pPr>
              <w:pStyle w:val="31"/>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与新环[2019]154号文的对照分析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3367"/>
              <w:gridCol w:w="2598"/>
              <w:gridCol w:w="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主要任务</w:t>
                  </w:r>
                </w:p>
              </w:tc>
              <w:tc>
                <w:tcPr>
                  <w:tcW w:w="425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与本项目相关条文</w:t>
                  </w:r>
                </w:p>
              </w:tc>
              <w:tc>
                <w:tcPr>
                  <w:tcW w:w="32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本项目情况</w:t>
                  </w:r>
                </w:p>
              </w:tc>
              <w:tc>
                <w:tcPr>
                  <w:tcW w:w="982" w:type="dxa"/>
                  <w:tcBorders>
                    <w:tl2br w:val="nil"/>
                    <w:tr2bl w:val="nil"/>
                  </w:tcBorders>
                  <w:noWrap w:val="0"/>
                  <w:vAlign w:val="center"/>
                </w:tcPr>
                <w:p>
                  <w:pPr>
                    <w:keepNext w:val="0"/>
                    <w:keepLines w:val="0"/>
                    <w:suppressLineNumbers w:val="0"/>
                    <w:spacing w:before="0" w:beforeAutospacing="0" w:after="0" w:afterAutospacing="0"/>
                    <w:ind w:left="-109" w:leftChars="-52" w:right="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安装范围</w:t>
                  </w:r>
                </w:p>
              </w:tc>
              <w:tc>
                <w:tcPr>
                  <w:tcW w:w="4253"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第一批安装部署用电量监控系统的企业为新乡市辖区内国控、省控、市控重点监控企业、涉及VOCs污染排放的企业、铸造行业、建材行业，然后逐步扩展至新乡市辖区内所有排污企业。</w:t>
                  </w:r>
                </w:p>
              </w:tc>
              <w:tc>
                <w:tcPr>
                  <w:tcW w:w="326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本项目属于排污企业，属于安装范围内的企业。</w:t>
                  </w:r>
                </w:p>
              </w:tc>
              <w:tc>
                <w:tcPr>
                  <w:tcW w:w="98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4253"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所有排污企业的总用电控制位置、主要生产设施和污染治理设施必须安装用电量监控系统终端。</w:t>
                  </w:r>
                </w:p>
              </w:tc>
              <w:tc>
                <w:tcPr>
                  <w:tcW w:w="326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本项目严格按照要求在总用电位置、主要生产设施处、污染治理设施处安装用电量监控系统终端。</w:t>
                  </w:r>
                </w:p>
              </w:tc>
              <w:tc>
                <w:tcPr>
                  <w:tcW w:w="98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r>
          </w:tbl>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由上表可知，本项目满足《新乡市生态环境局关于部署安装工业企业用电量监控系统的通知》新环[2019]154号文的相关要求。</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lang w:val="en-US" w:eastAsia="zh-CN" w:bidi="ar-SA"/>
              </w:rPr>
            </w:pPr>
            <w:r>
              <w:rPr>
                <w:rFonts w:hint="eastAsia" w:cs="Times New Roman"/>
                <w:b/>
                <w:bCs/>
                <w:color w:val="auto"/>
                <w:kern w:val="0"/>
                <w:sz w:val="21"/>
                <w:szCs w:val="20"/>
                <w:lang w:val="en-US" w:eastAsia="zh-CN" w:bidi="ar-SA"/>
              </w:rPr>
              <w:t>7</w:t>
            </w:r>
            <w:r>
              <w:rPr>
                <w:rFonts w:hint="default" w:ascii="Times New Roman" w:hAnsi="Times New Roman" w:eastAsia="宋体" w:cs="Times New Roman"/>
                <w:b/>
                <w:bCs/>
                <w:color w:val="auto"/>
                <w:kern w:val="0"/>
                <w:sz w:val="21"/>
                <w:szCs w:val="20"/>
                <w:lang w:val="en-US" w:eastAsia="zh-CN" w:bidi="ar-SA"/>
              </w:rPr>
              <w:t>、“三线一单”相符性分析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根据《关于以改善环境质量为核心加强环境影响评价管理的通知》(环环评[2016]150号)，要求落实“生态保护红线、环境质量底线、资源利用上线和环境准入负面清单”（以下简称“三线一单”）约束，现分析如下：</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（1）生态保护红线</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本项目所在地位于</w:t>
            </w:r>
            <w:r>
              <w:rPr>
                <w:rFonts w:hint="default" w:ascii="Times New Roman" w:hAnsi="Times New Roman" w:eastAsia="宋体" w:cs="Times New Roman"/>
                <w:sz w:val="21"/>
                <w:szCs w:val="21"/>
              </w:rPr>
              <w:t>河南省新乡市新乡县七里营镇李台村南3号</w:t>
            </w:r>
            <w:r>
              <w:rPr>
                <w:rFonts w:hint="eastAsia" w:cs="Times New Roman"/>
                <w:sz w:val="21"/>
                <w:szCs w:val="21"/>
                <w:lang w:eastAsia="zh-CN"/>
              </w:rPr>
              <w:t>。</w:t>
            </w:r>
            <w:r>
              <w:rPr>
                <w:rFonts w:hint="eastAsia" w:cs="Times New Roman"/>
                <w:sz w:val="21"/>
                <w:szCs w:val="21"/>
                <w:lang w:val="en-US" w:eastAsia="zh-CN"/>
              </w:rPr>
              <w:t>本项目利用闲置厂房建设，不新增用地</w:t>
            </w:r>
            <w:r>
              <w:rPr>
                <w:rFonts w:hint="default" w:ascii="Times New Roman" w:hAnsi="Times New Roman" w:eastAsia="宋体" w:cs="Times New Roman"/>
                <w:color w:val="auto"/>
                <w:kern w:val="0"/>
                <w:sz w:val="21"/>
                <w:szCs w:val="20"/>
                <w:highlight w:val="none"/>
                <w:lang w:val="en-US" w:eastAsia="zh-CN" w:bidi="ar-SA"/>
              </w:rPr>
              <w:t>，依据</w:t>
            </w:r>
            <w:r>
              <w:rPr>
                <w:rFonts w:hint="eastAsia" w:ascii="Times New Roman" w:hAnsi="Times New Roman" w:eastAsia="宋体" w:cs="Times New Roman"/>
                <w:color w:val="auto"/>
                <w:kern w:val="0"/>
                <w:sz w:val="21"/>
                <w:szCs w:val="20"/>
                <w:highlight w:val="none"/>
                <w:lang w:val="en-US" w:eastAsia="zh-CN" w:bidi="ar-SA"/>
              </w:rPr>
              <w:t>新乡县土地利用总体规划图</w:t>
            </w:r>
            <w:r>
              <w:rPr>
                <w:rFonts w:hint="default" w:ascii="Times New Roman" w:hAnsi="Times New Roman" w:eastAsia="宋体" w:cs="Times New Roman"/>
                <w:color w:val="auto"/>
                <w:kern w:val="0"/>
                <w:sz w:val="21"/>
                <w:szCs w:val="20"/>
                <w:highlight w:val="none"/>
                <w:lang w:val="en-US" w:eastAsia="zh-CN" w:bidi="ar-SA"/>
              </w:rPr>
              <w:t>（详见附图</w:t>
            </w:r>
            <w:r>
              <w:rPr>
                <w:rFonts w:hint="eastAsia" w:ascii="Times New Roman" w:hAnsi="Times New Roman" w:eastAsia="宋体" w:cs="Times New Roman"/>
                <w:color w:val="auto"/>
                <w:kern w:val="0"/>
                <w:sz w:val="21"/>
                <w:szCs w:val="20"/>
                <w:highlight w:val="none"/>
                <w:lang w:val="en-US" w:eastAsia="zh-CN" w:bidi="ar-SA"/>
              </w:rPr>
              <w:t>2</w:t>
            </w:r>
            <w:r>
              <w:rPr>
                <w:rFonts w:hint="default" w:ascii="Times New Roman" w:hAnsi="Times New Roman" w:eastAsia="宋体" w:cs="Times New Roman"/>
                <w:color w:val="auto"/>
                <w:kern w:val="0"/>
                <w:sz w:val="21"/>
                <w:szCs w:val="20"/>
                <w:highlight w:val="none"/>
                <w:lang w:val="en-US" w:eastAsia="zh-CN" w:bidi="ar-SA"/>
              </w:rPr>
              <w:t>），项目用地规划</w:t>
            </w:r>
            <w:r>
              <w:rPr>
                <w:rFonts w:hint="eastAsia" w:ascii="Times New Roman" w:hAnsi="Times New Roman" w:eastAsia="宋体" w:cs="Times New Roman"/>
                <w:color w:val="auto"/>
                <w:kern w:val="0"/>
                <w:sz w:val="21"/>
                <w:szCs w:val="20"/>
                <w:highlight w:val="none"/>
                <w:lang w:val="en-US" w:eastAsia="zh-CN" w:bidi="ar-SA"/>
              </w:rPr>
              <w:t>为</w:t>
            </w:r>
            <w:r>
              <w:rPr>
                <w:rFonts w:hint="eastAsia" w:cs="Times New Roman"/>
                <w:color w:val="auto"/>
                <w:kern w:val="0"/>
                <w:sz w:val="21"/>
                <w:szCs w:val="20"/>
                <w:highlight w:val="none"/>
                <w:lang w:val="en-US" w:eastAsia="zh-CN" w:bidi="ar-SA"/>
              </w:rPr>
              <w:t>建设用地</w:t>
            </w:r>
            <w:r>
              <w:rPr>
                <w:rFonts w:hint="default" w:ascii="Times New Roman" w:hAnsi="Times New Roman" w:eastAsia="宋体" w:cs="Times New Roman"/>
                <w:color w:val="auto"/>
                <w:kern w:val="0"/>
                <w:sz w:val="21"/>
                <w:szCs w:val="20"/>
                <w:highlight w:val="none"/>
                <w:lang w:val="en-US" w:eastAsia="zh-CN" w:bidi="ar-SA"/>
              </w:rPr>
              <w:t>，</w:t>
            </w:r>
            <w:r>
              <w:rPr>
                <w:rFonts w:hint="eastAsia" w:cs="Times New Roman"/>
                <w:color w:val="auto"/>
                <w:kern w:val="0"/>
                <w:sz w:val="21"/>
                <w:szCs w:val="20"/>
                <w:highlight w:val="none"/>
                <w:lang w:val="en-US" w:eastAsia="zh-CN" w:bidi="ar-SA"/>
              </w:rPr>
              <w:t>符合新乡县土地利用规划，</w:t>
            </w:r>
            <w:r>
              <w:rPr>
                <w:rFonts w:hint="default" w:ascii="Times New Roman" w:hAnsi="Times New Roman" w:eastAsia="宋体" w:cs="Times New Roman"/>
                <w:color w:val="auto"/>
                <w:kern w:val="0"/>
                <w:sz w:val="21"/>
                <w:szCs w:val="20"/>
                <w:highlight w:val="none"/>
                <w:lang w:val="en-US" w:eastAsia="zh-CN" w:bidi="ar-SA"/>
              </w:rPr>
              <w:t>本项目厂址未涉及生态保护红线</w:t>
            </w:r>
            <w:r>
              <w:rPr>
                <w:rFonts w:hint="eastAsia" w:ascii="Times New Roman" w:hAnsi="Times New Roman" w:eastAsia="宋体" w:cs="Times New Roman"/>
                <w:color w:val="auto"/>
                <w:kern w:val="0"/>
                <w:sz w:val="21"/>
                <w:szCs w:val="20"/>
                <w:highlight w:val="none"/>
                <w:lang w:val="en-US" w:eastAsia="zh-CN" w:bidi="ar-SA"/>
              </w:rPr>
              <w:t>（见附图</w:t>
            </w:r>
            <w:r>
              <w:rPr>
                <w:rFonts w:hint="eastAsia" w:cs="Times New Roman"/>
                <w:color w:val="auto"/>
                <w:kern w:val="0"/>
                <w:sz w:val="21"/>
                <w:szCs w:val="20"/>
                <w:highlight w:val="none"/>
                <w:lang w:val="en-US" w:eastAsia="zh-CN" w:bidi="ar-SA"/>
              </w:rPr>
              <w:t>4</w:t>
            </w:r>
            <w:r>
              <w:rPr>
                <w:rFonts w:hint="eastAsia" w:ascii="Times New Roman" w:hAnsi="Times New Roman" w:eastAsia="宋体" w:cs="Times New Roman"/>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（2）环境质量底线</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eastAsia"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本项目</w:t>
            </w:r>
            <w:r>
              <w:rPr>
                <w:rFonts w:hint="eastAsia" w:ascii="Times New Roman" w:hAnsi="Times New Roman" w:eastAsia="宋体" w:cs="Times New Roman"/>
                <w:color w:val="auto"/>
                <w:kern w:val="0"/>
                <w:sz w:val="21"/>
                <w:szCs w:val="20"/>
                <w:highlight w:val="none"/>
                <w:lang w:val="en-US" w:eastAsia="zh-CN" w:bidi="ar-SA"/>
              </w:rPr>
              <w:t>属于</w:t>
            </w:r>
            <w:r>
              <w:rPr>
                <w:rFonts w:hint="eastAsia" w:ascii="Times New Roman" w:hAnsi="Times New Roman" w:eastAsia="宋体" w:cs="Times New Roman"/>
                <w:color w:val="auto"/>
                <w:sz w:val="21"/>
                <w:szCs w:val="21"/>
                <w:lang w:val="en-US" w:eastAsia="zh-CN"/>
              </w:rPr>
              <w:t>一般工业固体废物处置及综合利用</w:t>
            </w:r>
            <w:r>
              <w:rPr>
                <w:rFonts w:hint="eastAsia" w:ascii="Times New Roman" w:hAnsi="Times New Roman" w:eastAsia="宋体" w:cs="Times New Roman"/>
                <w:color w:val="auto"/>
                <w:kern w:val="0"/>
                <w:sz w:val="21"/>
                <w:szCs w:val="20"/>
                <w:highlight w:val="none"/>
                <w:lang w:val="en-US" w:eastAsia="zh-CN" w:bidi="ar-SA"/>
              </w:rPr>
              <w:t>，各生产线各产尘环节</w:t>
            </w:r>
            <w:r>
              <w:rPr>
                <w:rFonts w:hint="default" w:ascii="Times New Roman" w:hAnsi="Times New Roman" w:eastAsia="宋体" w:cs="Times New Roman"/>
                <w:color w:val="auto"/>
                <w:kern w:val="0"/>
                <w:sz w:val="21"/>
                <w:szCs w:val="20"/>
                <w:highlight w:val="none"/>
                <w:lang w:val="en-US" w:eastAsia="zh-CN" w:bidi="ar-SA"/>
              </w:rPr>
              <w:t>经负压密闭收集</w:t>
            </w:r>
            <w:r>
              <w:rPr>
                <w:rFonts w:hint="eastAsia" w:ascii="Times New Roman" w:hAnsi="Times New Roman" w:eastAsia="宋体" w:cs="Times New Roman"/>
                <w:color w:val="auto"/>
                <w:kern w:val="0"/>
                <w:sz w:val="21"/>
                <w:szCs w:val="20"/>
                <w:highlight w:val="none"/>
                <w:lang w:val="en-US" w:eastAsia="zh-CN" w:bidi="ar-SA"/>
              </w:rPr>
              <w:t>，废气经收集后通过袋式除尘器处理后通过不低于15m高排气筒排放</w:t>
            </w:r>
            <w:r>
              <w:rPr>
                <w:rFonts w:hint="default" w:ascii="Times New Roman" w:hAnsi="Times New Roman" w:eastAsia="宋体" w:cs="Times New Roman"/>
                <w:color w:val="auto"/>
                <w:kern w:val="0"/>
                <w:sz w:val="21"/>
                <w:szCs w:val="20"/>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生活废水</w:t>
            </w:r>
            <w:r>
              <w:rPr>
                <w:rFonts w:hint="eastAsia" w:cs="Times New Roman"/>
                <w:color w:val="auto"/>
                <w:kern w:val="0"/>
                <w:sz w:val="21"/>
                <w:szCs w:val="20"/>
                <w:highlight w:val="none"/>
                <w:lang w:val="en-US" w:eastAsia="zh-CN" w:bidi="ar-SA"/>
              </w:rPr>
              <w:t>依托</w:t>
            </w:r>
            <w:r>
              <w:rPr>
                <w:rFonts w:hint="eastAsia" w:ascii="Times New Roman" w:hAnsi="Times New Roman" w:eastAsia="宋体" w:cs="Times New Roman"/>
                <w:color w:val="auto"/>
                <w:kern w:val="0"/>
                <w:sz w:val="21"/>
                <w:szCs w:val="20"/>
                <w:highlight w:val="none"/>
                <w:lang w:val="en-US" w:eastAsia="zh-CN" w:bidi="ar-SA"/>
              </w:rPr>
              <w:t>厂区化粪池处理后定期清运，不外排。无生产废水产生。</w:t>
            </w:r>
            <w:r>
              <w:rPr>
                <w:rFonts w:hint="default" w:ascii="Times New Roman" w:hAnsi="Times New Roman" w:eastAsia="宋体" w:cs="Times New Roman"/>
                <w:color w:val="auto"/>
                <w:kern w:val="0"/>
                <w:sz w:val="21"/>
                <w:szCs w:val="20"/>
                <w:highlight w:val="none"/>
                <w:lang w:val="en-US" w:eastAsia="zh-CN" w:bidi="ar-SA"/>
              </w:rPr>
              <w:t>噪声经采取密闭厂房隔音措施后能满足《工业企业厂界环境噪声排放标准》</w:t>
            </w:r>
            <w:r>
              <w:rPr>
                <w:rFonts w:hint="eastAsia" w:ascii="Times New Roman" w:hAnsi="Times New Roman" w:eastAsia="宋体" w:cs="Times New Roman"/>
                <w:color w:val="auto"/>
                <w:kern w:val="0"/>
                <w:sz w:val="21"/>
                <w:szCs w:val="20"/>
                <w:highlight w:val="none"/>
                <w:lang w:val="en-US" w:eastAsia="zh-CN" w:bidi="ar-SA"/>
              </w:rPr>
              <w:t>2类标准</w:t>
            </w:r>
            <w:r>
              <w:rPr>
                <w:rFonts w:hint="default" w:ascii="Times New Roman" w:hAnsi="Times New Roman" w:eastAsia="宋体" w:cs="Times New Roman"/>
                <w:color w:val="auto"/>
                <w:kern w:val="0"/>
                <w:sz w:val="21"/>
                <w:szCs w:val="20"/>
                <w:highlight w:val="none"/>
                <w:lang w:val="en-US" w:eastAsia="zh-CN" w:bidi="ar-SA"/>
              </w:rPr>
              <w:t>。因此，落实本环评提出的相关防治措施后，本项目排放的污染物不会对区域环境质量底线造成冲击，满足环境质量底线的要求。</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（3）资源利用上线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1"/>
                <w:szCs w:val="20"/>
                <w:highlight w:val="none"/>
                <w:lang w:val="en-US" w:eastAsia="zh-CN" w:bidi="ar-SA"/>
              </w:rPr>
              <w:t>本项目营运期通过内部管理、设备选择、原辅材料的选用和管理、废物回收利用、污染治理等多方面采取合理可行的防治措施，以“节能、降耗、减污”为目标，有效地控制污染，实现废物资源化。项目的水、气等资源利用不会突破区域的资源利用上线。</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（4）</w:t>
            </w:r>
            <w:r>
              <w:rPr>
                <w:rFonts w:hint="eastAsia" w:ascii="Times New Roman" w:hAnsi="Times New Roman" w:eastAsia="宋体" w:cs="Times New Roman"/>
                <w:b/>
                <w:bCs/>
                <w:color w:val="auto"/>
                <w:kern w:val="0"/>
                <w:sz w:val="21"/>
                <w:szCs w:val="20"/>
                <w:lang w:val="en-US" w:eastAsia="zh-CN" w:bidi="ar-SA"/>
              </w:rPr>
              <w:t>新乡市“三线一单”生态环境准入清单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2023年1月，新乡市生态环境局发布《新乡市“三线一单”生态环境准入清单（试行）》，分为全市生态环境总体准入要求、各县区分区管控单元生态环境准入清单两部分。</w:t>
            </w:r>
            <w:r>
              <w:rPr>
                <w:rFonts w:hint="default" w:ascii="Times New Roman" w:hAnsi="Times New Roman" w:eastAsia="宋体" w:cs="Times New Roman"/>
                <w:color w:val="auto"/>
                <w:kern w:val="0"/>
                <w:sz w:val="21"/>
                <w:szCs w:val="20"/>
                <w:highlight w:val="none"/>
                <w:lang w:val="en-US" w:eastAsia="zh-CN" w:bidi="ar-SA"/>
              </w:rPr>
              <w:t>本项目与《新乡市“三线一单”生态环境准入清单（试行）》中的相关内容对比一致性分析见下表。</w:t>
            </w:r>
          </w:p>
          <w:p>
            <w:pPr>
              <w:pStyle w:val="31"/>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与《新乡市全市生态环境总体准入要求》对照分析一览表</w:t>
            </w:r>
          </w:p>
          <w:tbl>
            <w:tblPr>
              <w:tblStyle w:val="18"/>
              <w:tblW w:w="74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429"/>
              <w:gridCol w:w="643"/>
              <w:gridCol w:w="642"/>
              <w:gridCol w:w="3566"/>
              <w:gridCol w:w="1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33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管控单元分类</w:t>
                  </w:r>
                </w:p>
              </w:tc>
              <w:tc>
                <w:tcPr>
                  <w:tcW w:w="2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eastAsia" w:cs="Times New Roman"/>
                      <w:b/>
                      <w:bCs/>
                      <w:color w:val="auto"/>
                      <w:sz w:val="21"/>
                      <w:szCs w:val="21"/>
                      <w:lang w:eastAsia="zh-CN"/>
                    </w:rPr>
                    <w:t>行政区划</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环境管控单元名称</w:t>
                  </w:r>
                </w:p>
              </w:tc>
              <w:tc>
                <w:tcPr>
                  <w:tcW w:w="2812"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管控要求</w:t>
                  </w:r>
                </w:p>
              </w:tc>
              <w:tc>
                <w:tcPr>
                  <w:tcW w:w="11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restart"/>
                  <w:noWrap w:val="0"/>
                  <w:vAlign w:val="center"/>
                </w:tcPr>
                <w:p>
                  <w:pPr>
                    <w:keepNext w:val="0"/>
                    <w:keepLines w:val="0"/>
                    <w:suppressLineNumbers w:val="0"/>
                    <w:spacing w:before="0" w:beforeAutospacing="0" w:after="0" w:afterAutospacing="0"/>
                    <w:ind w:left="0" w:right="0"/>
                    <w:jc w:val="center"/>
                    <w:rPr>
                      <w:rFonts w:hint="eastAsia" w:cs="Times New Roman"/>
                      <w:b/>
                      <w:bCs/>
                      <w:color w:val="auto"/>
                      <w:sz w:val="21"/>
                      <w:szCs w:val="21"/>
                      <w:lang w:eastAsia="zh-CN"/>
                    </w:rPr>
                  </w:pPr>
                  <w:r>
                    <w:rPr>
                      <w:rFonts w:hint="eastAsia" w:cs="Times New Roman"/>
                      <w:b w:val="0"/>
                      <w:bCs w:val="0"/>
                      <w:color w:val="auto"/>
                      <w:sz w:val="21"/>
                      <w:szCs w:val="21"/>
                      <w:lang w:eastAsia="zh-CN"/>
                    </w:rPr>
                    <w:t>空间布局约束</w:t>
                  </w:r>
                </w:p>
              </w:tc>
              <w:tc>
                <w:tcPr>
                  <w:tcW w:w="2812" w:type="pct"/>
                  <w:gridSpan w:val="2"/>
                  <w:noWrap w:val="0"/>
                  <w:vAlign w:val="center"/>
                </w:tcPr>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1.禁止在自然保护区内进行砍伐、放牧、狩猎、捕捞、采药、开垦、烧荒、开矿、采石、挖沙等活动；但是，法律、行政法规另有规定的除外。</w:t>
                  </w:r>
                </w:p>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000000"/>
                      <w:sz w:val="21"/>
                      <w:szCs w:val="21"/>
                      <w:lang w:eastAsia="zh-CN"/>
                    </w:rPr>
                  </w:pPr>
                  <w:r>
                    <w:rPr>
                      <w:rFonts w:hint="eastAsia" w:ascii="Times New Roman" w:hAnsi="Times New Roman" w:eastAsia="宋体" w:cs="Times New Roman"/>
                      <w:snapToGrid w:val="0"/>
                      <w:color w:val="000000"/>
                      <w:sz w:val="21"/>
                      <w:szCs w:val="21"/>
                      <w:lang w:val="en-US" w:eastAsia="zh-CN"/>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11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default" w:ascii="Times New Roman" w:hAnsi="Times New Roman" w:eastAsia="宋体" w:cs="Times New Roman"/>
                      <w:snapToGrid w:val="0"/>
                      <w:color w:val="000000"/>
                      <w:sz w:val="21"/>
                      <w:szCs w:val="21"/>
                    </w:rPr>
                    <w:t>本项目位于</w:t>
                  </w:r>
                  <w:r>
                    <w:rPr>
                      <w:rFonts w:hint="eastAsia" w:ascii="Times New Roman" w:hAnsi="Times New Roman" w:eastAsia="宋体" w:cs="Times New Roman"/>
                      <w:snapToGrid w:val="0"/>
                      <w:color w:val="000000"/>
                      <w:sz w:val="21"/>
                      <w:szCs w:val="21"/>
                      <w:lang w:val="en-US" w:eastAsia="zh-CN"/>
                    </w:rPr>
                    <w:t>新乡市新乡县七里营镇</w:t>
                  </w:r>
                  <w:r>
                    <w:rPr>
                      <w:rFonts w:hint="default" w:ascii="Times New Roman" w:hAnsi="Times New Roman" w:eastAsia="宋体" w:cs="Times New Roman"/>
                      <w:sz w:val="21"/>
                      <w:szCs w:val="21"/>
                    </w:rPr>
                    <w:t>李台村南3号</w:t>
                  </w:r>
                  <w:r>
                    <w:rPr>
                      <w:rFonts w:hint="default" w:ascii="Times New Roman" w:hAnsi="Times New Roman" w:eastAsia="宋体" w:cs="Times New Roman"/>
                      <w:snapToGrid w:val="0"/>
                      <w:color w:val="000000"/>
                      <w:sz w:val="21"/>
                      <w:szCs w:val="21"/>
                    </w:rPr>
                    <w:t>，不在自然保护区内</w:t>
                  </w:r>
                  <w:r>
                    <w:rPr>
                      <w:rFonts w:hint="default" w:ascii="Times New Roman" w:hAnsi="Times New Roman"/>
                      <w:snapToGrid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snapToGrid w:val="0"/>
                      <w:color w:val="000000"/>
                      <w:sz w:val="21"/>
                      <w:szCs w:val="21"/>
                    </w:rPr>
                  </w:pPr>
                  <w:r>
                    <w:rPr>
                      <w:rFonts w:hint="default" w:ascii="Times New Roman" w:hAnsi="Times New Roman" w:eastAsia="宋体" w:cs="Times New Roman"/>
                      <w:b w:val="0"/>
                      <w:bCs w:val="0"/>
                      <w:snapToGrid w:val="0"/>
                      <w:color w:val="000000"/>
                      <w:sz w:val="21"/>
                      <w:szCs w:val="21"/>
                    </w:rPr>
                    <w:t>2.</w:t>
                  </w:r>
                  <w:r>
                    <w:rPr>
                      <w:rFonts w:hint="eastAsia" w:ascii="Times New Roman" w:hAnsi="Times New Roman" w:eastAsia="宋体" w:cs="Times New Roman"/>
                      <w:b w:val="0"/>
                      <w:bCs w:val="0"/>
                      <w:snapToGrid w:val="0"/>
                      <w:color w:val="000000"/>
                      <w:sz w:val="21"/>
                      <w:szCs w:val="21"/>
                      <w:lang w:val="en-US" w:eastAsia="zh-CN"/>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VOCs的项目，应从源头加强控制，使用低（无）VOCs含量的原辅材料，配套安装高效收集、治理设施，其中新建涉VOCs排放的工业企业要入园区，实行区域内VOCs排放总量倍量消减替代。禁止生产、销售不符合标准的机动车船、非道路移动机械用燃料；禁止向汽车和摩托车销售普通柴油以及其他非机动车用燃料；禁止向非道路移动机械销售渣油、重油和不符合规定的燃用油。</w:t>
                  </w:r>
                </w:p>
              </w:tc>
              <w:tc>
                <w:tcPr>
                  <w:tcW w:w="113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b w:val="0"/>
                      <w:bCs w:val="0"/>
                      <w:snapToGrid w:val="0"/>
                      <w:color w:val="000000"/>
                      <w:sz w:val="21"/>
                      <w:szCs w:val="21"/>
                      <w:lang w:val="en-US" w:eastAsia="zh-CN"/>
                    </w:rPr>
                    <w:t>本项目</w:t>
                  </w:r>
                  <w:r>
                    <w:rPr>
                      <w:rFonts w:hint="default" w:ascii="Times New Roman" w:hAnsi="Times New Roman"/>
                      <w:b w:val="0"/>
                      <w:bCs w:val="0"/>
                      <w:snapToGrid w:val="0"/>
                      <w:color w:val="000000"/>
                      <w:sz w:val="21"/>
                      <w:szCs w:val="21"/>
                    </w:rPr>
                    <w:t>位于</w:t>
                  </w:r>
                  <w:r>
                    <w:rPr>
                      <w:rFonts w:hint="eastAsia" w:ascii="Times New Roman" w:hAnsi="Times New Roman" w:eastAsia="宋体" w:cs="Times New Roman"/>
                      <w:b w:val="0"/>
                      <w:bCs w:val="0"/>
                      <w:snapToGrid w:val="0"/>
                      <w:color w:val="000000"/>
                      <w:sz w:val="21"/>
                      <w:szCs w:val="21"/>
                      <w:lang w:val="en-US" w:eastAsia="zh-CN"/>
                    </w:rPr>
                    <w:t>新乡市新乡县七里营镇</w:t>
                  </w:r>
                  <w:r>
                    <w:rPr>
                      <w:rFonts w:hint="default" w:ascii="Times New Roman" w:hAnsi="Times New Roman" w:eastAsia="宋体" w:cs="Times New Roman"/>
                      <w:sz w:val="21"/>
                      <w:szCs w:val="21"/>
                    </w:rPr>
                    <w:t>李台村南3号</w:t>
                  </w:r>
                  <w:r>
                    <w:rPr>
                      <w:rFonts w:hint="default" w:ascii="Times New Roman" w:hAnsi="Times New Roman"/>
                      <w:b w:val="0"/>
                      <w:bCs w:val="0"/>
                      <w:snapToGrid w:val="0"/>
                      <w:color w:val="000000"/>
                      <w:sz w:val="21"/>
                      <w:szCs w:val="18"/>
                    </w:rPr>
                    <w:t>，不在生态敏感区内；</w:t>
                  </w:r>
                  <w:r>
                    <w:rPr>
                      <w:rFonts w:hint="default" w:ascii="Times New Roman" w:hAnsi="Times New Roman"/>
                      <w:b w:val="0"/>
                      <w:bCs w:val="0"/>
                      <w:snapToGrid w:val="0"/>
                      <w:color w:val="000000"/>
                      <w:sz w:val="21"/>
                      <w:szCs w:val="21"/>
                    </w:rPr>
                    <w:t>本项目为</w:t>
                  </w:r>
                  <w:r>
                    <w:rPr>
                      <w:rFonts w:hint="eastAsia"/>
                      <w:b w:val="0"/>
                      <w:bCs w:val="0"/>
                      <w:snapToGrid w:val="0"/>
                      <w:color w:val="000000"/>
                      <w:sz w:val="21"/>
                      <w:szCs w:val="21"/>
                      <w:lang w:val="en-US" w:eastAsia="zh-CN"/>
                    </w:rPr>
                    <w:t>新建</w:t>
                  </w:r>
                  <w:r>
                    <w:rPr>
                      <w:rFonts w:hint="default" w:ascii="Times New Roman" w:hAnsi="Times New Roman"/>
                      <w:b w:val="0"/>
                      <w:bCs w:val="0"/>
                      <w:snapToGrid w:val="0"/>
                      <w:color w:val="000000"/>
                      <w:sz w:val="21"/>
                      <w:szCs w:val="21"/>
                    </w:rPr>
                    <w:t>项目，</w:t>
                  </w:r>
                  <w:r>
                    <w:rPr>
                      <w:rFonts w:hint="eastAsia"/>
                      <w:b w:val="0"/>
                      <w:bCs w:val="0"/>
                      <w:snapToGrid w:val="0"/>
                      <w:color w:val="000000"/>
                      <w:sz w:val="21"/>
                      <w:szCs w:val="21"/>
                      <w:lang w:val="en-US" w:eastAsia="zh-CN"/>
                    </w:rPr>
                    <w:t>本项目不涉及VOCs排放</w:t>
                  </w:r>
                  <w:r>
                    <w:rPr>
                      <w:rFonts w:hint="default" w:ascii="Times New Roman" w:hAnsi="Times New Roman"/>
                      <w:b w:val="0"/>
                      <w:bCs w:val="0"/>
                      <w:snapToGrid w:val="0"/>
                      <w:color w:val="000000"/>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snapToGrid w:val="0"/>
                      <w:color w:val="000000"/>
                      <w:sz w:val="21"/>
                      <w:szCs w:val="21"/>
                    </w:rPr>
                  </w:pPr>
                  <w:r>
                    <w:rPr>
                      <w:rFonts w:hint="default" w:ascii="Times New Roman" w:hAnsi="Times New Roman" w:eastAsia="宋体" w:cs="Times New Roman"/>
                      <w:b w:val="0"/>
                      <w:bCs w:val="0"/>
                      <w:snapToGrid w:val="0"/>
                      <w:color w:val="000000"/>
                      <w:sz w:val="21"/>
                      <w:szCs w:val="21"/>
                    </w:rPr>
                    <w:t>3.</w:t>
                  </w:r>
                  <w:r>
                    <w:rPr>
                      <w:rFonts w:hint="eastAsia" w:ascii="Times New Roman" w:hAnsi="Times New Roman" w:eastAsia="宋体" w:cs="Times New Roman"/>
                      <w:b w:val="0"/>
                      <w:bCs w:val="0"/>
                      <w:snapToGrid w:val="0"/>
                      <w:color w:val="000000"/>
                      <w:sz w:val="21"/>
                      <w:szCs w:val="21"/>
                      <w:lang w:val="en-US" w:eastAsia="zh-CN"/>
                    </w:rPr>
                    <w:t>严格控制新建、扩建钢铁冶炼、水泥、有色金属冶炼、平板玻璃、化工、建筑陶瓷、耐火材料、砖瓦、矿山开采等行业的高排放、高污染项目，促进传统煤化工、水泥行业绿色转型、智能升级。</w:t>
                  </w:r>
                </w:p>
              </w:tc>
              <w:tc>
                <w:tcPr>
                  <w:tcW w:w="113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056" w:type="pct"/>
                  <w:gridSpan w:val="3"/>
                  <w:vMerge w:val="restart"/>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r>
                    <w:rPr>
                      <w:rFonts w:hint="eastAsia" w:cs="Times New Roman"/>
                      <w:b w:val="0"/>
                      <w:bCs w:val="0"/>
                      <w:color w:val="auto"/>
                      <w:sz w:val="21"/>
                      <w:szCs w:val="21"/>
                      <w:lang w:eastAsia="zh-CN"/>
                    </w:rPr>
                    <w:t>污染物排放管控</w:t>
                  </w: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1.新、改、扩建项目主要污染物排放要求满足当地总量减排要求；</w:t>
                  </w:r>
                </w:p>
              </w:tc>
              <w:tc>
                <w:tcPr>
                  <w:tcW w:w="1131" w:type="pct"/>
                  <w:noWrap w:val="0"/>
                  <w:vAlign w:val="center"/>
                </w:tcPr>
                <w:p>
                  <w:pPr>
                    <w:pStyle w:val="16"/>
                    <w:keepNext w:val="0"/>
                    <w:keepLines w:val="0"/>
                    <w:suppressLineNumbers w:val="0"/>
                    <w:spacing w:before="0" w:beforeAutospacing="0" w:after="0" w:afterAutospacing="0"/>
                    <w:ind w:left="0" w:right="0"/>
                    <w:jc w:val="both"/>
                    <w:outlineLvl w:val="0"/>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snapToGrid w:val="0"/>
                      <w:color w:val="000000"/>
                      <w:sz w:val="21"/>
                      <w:szCs w:val="21"/>
                    </w:rPr>
                    <w:t>本项目为</w:t>
                  </w:r>
                  <w:r>
                    <w:rPr>
                      <w:rFonts w:hint="eastAsia" w:ascii="Times New Roman" w:hAnsi="Times New Roman"/>
                      <w:snapToGrid w:val="0"/>
                      <w:color w:val="000000"/>
                      <w:sz w:val="21"/>
                      <w:szCs w:val="21"/>
                      <w:lang w:val="en-US" w:eastAsia="zh-CN"/>
                    </w:rPr>
                    <w:t>新建</w:t>
                  </w:r>
                  <w:r>
                    <w:rPr>
                      <w:rFonts w:hint="default" w:ascii="Times New Roman" w:hAnsi="Times New Roman"/>
                      <w:snapToGrid w:val="0"/>
                      <w:color w:val="000000"/>
                      <w:sz w:val="21"/>
                      <w:szCs w:val="21"/>
                    </w:rPr>
                    <w:t>项目，主要污染物排放满足当地总量减排要求。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2.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1131" w:type="pct"/>
                  <w:noWrap w:val="0"/>
                  <w:vAlign w:val="center"/>
                </w:tcPr>
                <w:p>
                  <w:pPr>
                    <w:pStyle w:val="16"/>
                    <w:keepNext w:val="0"/>
                    <w:keepLines w:val="0"/>
                    <w:suppressLineNumbers w:val="0"/>
                    <w:ind w:left="0" w:right="0"/>
                    <w:jc w:val="both"/>
                    <w:outlineLvl w:val="0"/>
                    <w:rPr>
                      <w:rFonts w:hint="default" w:ascii="Times New Roman" w:hAnsi="Times New Roman" w:eastAsia="宋体" w:cs="Times New Roman"/>
                      <w:snapToGrid w:val="0"/>
                      <w:color w:val="000000"/>
                      <w:kern w:val="0"/>
                      <w:sz w:val="24"/>
                      <w:szCs w:val="21"/>
                      <w:lang w:val="en-US" w:eastAsia="zh-CN" w:bidi="ar-SA"/>
                    </w:rPr>
                  </w:pPr>
                  <w:r>
                    <w:rPr>
                      <w:rFonts w:hint="default" w:ascii="Times New Roman" w:hAnsi="Times New Roman"/>
                      <w:snapToGrid w:val="0"/>
                      <w:color w:val="000000"/>
                      <w:sz w:val="21"/>
                      <w:szCs w:val="18"/>
                    </w:rPr>
                    <w:t>本项目为</w:t>
                  </w:r>
                  <w:r>
                    <w:rPr>
                      <w:rFonts w:hint="eastAsia" w:ascii="Times New Roman" w:hAnsi="Times New Roman"/>
                      <w:snapToGrid w:val="0"/>
                      <w:color w:val="000000"/>
                      <w:sz w:val="21"/>
                      <w:szCs w:val="21"/>
                      <w:lang w:val="en-US" w:eastAsia="zh-CN"/>
                    </w:rPr>
                    <w:t>新建</w:t>
                  </w:r>
                  <w:r>
                    <w:rPr>
                      <w:rFonts w:hint="default" w:ascii="Times New Roman" w:hAnsi="Times New Roman"/>
                      <w:snapToGrid w:val="0"/>
                      <w:color w:val="000000"/>
                      <w:sz w:val="21"/>
                      <w:szCs w:val="18"/>
                    </w:rPr>
                    <w:t>项目，不产生重金属污染物。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056" w:type="pct"/>
                  <w:gridSpan w:val="3"/>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r>
                    <w:rPr>
                      <w:rFonts w:hint="default" w:ascii="Times New Roman" w:hAnsi="Times New Roman"/>
                      <w:bCs/>
                      <w:sz w:val="21"/>
                      <w:szCs w:val="21"/>
                    </w:rPr>
                    <w:t>资源开发效率要求</w:t>
                  </w: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1.开展高耗水工业行业节水技术改造，大力推广工业水循环利用，推进节水型企业、节水型工业园区建设。</w:t>
                  </w:r>
                </w:p>
              </w:tc>
              <w:tc>
                <w:tcPr>
                  <w:tcW w:w="1131" w:type="pct"/>
                  <w:noWrap w:val="0"/>
                  <w:vAlign w:val="center"/>
                </w:tcPr>
                <w:p>
                  <w:pPr>
                    <w:pStyle w:val="16"/>
                    <w:keepNext w:val="0"/>
                    <w:keepLines w:val="0"/>
                    <w:suppressLineNumbers w:val="0"/>
                    <w:spacing w:before="0" w:beforeAutospacing="0" w:after="0" w:afterAutospacing="0"/>
                    <w:ind w:left="0" w:right="0"/>
                    <w:jc w:val="both"/>
                    <w:outlineLvl w:val="0"/>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snapToGrid w:val="0"/>
                      <w:color w:val="000000"/>
                      <w:sz w:val="21"/>
                      <w:szCs w:val="21"/>
                    </w:rPr>
                    <w:t>本项目</w:t>
                  </w:r>
                  <w:r>
                    <w:rPr>
                      <w:rFonts w:hint="eastAsia" w:ascii="Times New Roman" w:hAnsi="Times New Roman"/>
                      <w:snapToGrid w:val="0"/>
                      <w:color w:val="000000"/>
                      <w:sz w:val="21"/>
                      <w:szCs w:val="21"/>
                      <w:lang w:val="en-US" w:eastAsia="zh-CN"/>
                    </w:rPr>
                    <w:t>不产生生产废水；</w:t>
                  </w:r>
                  <w:r>
                    <w:rPr>
                      <w:rFonts w:hint="default" w:ascii="Times New Roman" w:hAnsi="Times New Roman"/>
                      <w:snapToGrid w:val="0"/>
                      <w:color w:val="000000"/>
                      <w:sz w:val="21"/>
                      <w:szCs w:val="21"/>
                    </w:rPr>
                    <w:t>不属于高耗水工业行业。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优先保护单元1</w:t>
                  </w:r>
                </w:p>
              </w:tc>
              <w:tc>
                <w:tcPr>
                  <w:tcW w:w="2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新乡县水环境优先保护单元</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1、饮用水地表水源各级保护区必须分别遵守下列规定：</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一、一级保护区内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禁止新建、扩建与供水设施和保护水源无关的建设项目；禁止向水域排放污水，已设置的排污口必须拆除；禁止堆置和存放工业废渣、城市垃圾、粪便和其他废弃物；禁止设置油库；禁止从事种植、放养禽畜，严格控制网箱养</w:t>
                  </w:r>
                  <w:r>
                    <w:rPr>
                      <w:rFonts w:hint="eastAsia" w:cs="Times New Roman"/>
                      <w:sz w:val="21"/>
                      <w:szCs w:val="21"/>
                      <w:lang w:val="en-US" w:eastAsia="zh-CN"/>
                    </w:rPr>
                    <w:t>植</w:t>
                  </w:r>
                  <w:r>
                    <w:rPr>
                      <w:rFonts w:hint="eastAsia" w:ascii="Times New Roman" w:hAnsi="Times New Roman" w:eastAsia="宋体" w:cs="Times New Roman"/>
                      <w:sz w:val="21"/>
                      <w:szCs w:val="21"/>
                      <w:lang w:val="en-US" w:eastAsia="zh-CN"/>
                    </w:rPr>
                    <w:t>活动；禁止可能污染水源的旅游活动和其他活动。</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二、二级保护区内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不准新建、扩建向水体排放污染物的建设项目。改建项目必须削减污染物排放量；原有排污口必须削减污水排放量，保证保护区内水质满足规定的水质标准。</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2、饮用水地下水源各级保护区及准保护区内必须遵守下列规定：</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一、一级保护区内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禁止建设与取水设施无关的建筑物；禁止从事农牧业活动；禁止倾倒、堆放工业废渣及城市垃圾、粪便和其它有害废弃物；禁止输送污水的渠道、管道及输油管道通过本区；禁止建设油库；禁止建立墓地。</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二、二级保护区内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（一）对于潜水含水层地下水水源地</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w:t>
                  </w:r>
                  <w:r>
                    <w:rPr>
                      <w:rFonts w:hint="eastAsia" w:ascii="Times New Roman" w:hAnsi="Times New Roman" w:eastAsia="宋体" w:cs="Times New Roman"/>
                      <w:sz w:val="21"/>
                      <w:szCs w:val="21"/>
                      <w:lang w:val="en-US" w:eastAsia="zh-CN"/>
                    </w:rPr>
                    <w:t>在水源保护区内</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重点管控单元3</w:t>
                  </w:r>
                </w:p>
              </w:tc>
              <w:tc>
                <w:tcPr>
                  <w:tcW w:w="287"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新乡县城镇重点单元</w:t>
                  </w: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2、禁止新建、改建及扩建高排放、高污染项目，包括钢铁、有色、水泥、平板玻璃、建筑陶瓷等行业及其他排放重金属、持久性有机污染物的工业项目等。</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3、对列入疑似污染地块名单的地块，未经土壤污染状况调查确定为未污染地块的，不得进入用地程序，自然资源部门不得核发建设工程规划许可证。</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4、严格控制新、改、扩建“两高”项目。</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本项目不在特殊保护区及人口密集区域周边；本项目不属于高污染高排放项目；本项目占地不属于疑似污染地块；本项目</w:t>
                  </w:r>
                  <w:r>
                    <w:rPr>
                      <w:rFonts w:hint="eastAsia" w:cs="Times New Roman"/>
                      <w:sz w:val="21"/>
                      <w:szCs w:val="21"/>
                      <w:lang w:val="en-US" w:eastAsia="zh-CN"/>
                    </w:rPr>
                    <w:t>属于</w:t>
                  </w:r>
                  <w:r>
                    <w:rPr>
                      <w:rFonts w:hint="eastAsia" w:ascii="Times New Roman" w:hAnsi="Times New Roman" w:eastAsia="宋体" w:cs="Times New Roman"/>
                      <w:color w:val="auto"/>
                      <w:sz w:val="21"/>
                      <w:szCs w:val="21"/>
                      <w:lang w:val="en-US" w:eastAsia="zh-CN"/>
                    </w:rPr>
                    <w:t>一般工业固体废物处置及综合利用</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不属于两高项目。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污染物排放管控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1、二氧化硫、氮氧化物、颗粒物、VOCs全面执行大气污染物特别排放限值。</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2、加强柴油车NOx排放监管，严格实施非道路移动机械排放标准，推进重点场所清洁能源机械替代。</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3、禁止含重金属废水进入城市生活污水处理厂。</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本项目污染物全面执行大气污染物特别排放限值；本项目严格实施非道路移动机械排放标准；本项目</w:t>
                  </w:r>
                  <w:r>
                    <w:rPr>
                      <w:rFonts w:hint="eastAsia" w:ascii="Times New Roman" w:hAnsi="Times New Roman"/>
                      <w:snapToGrid w:val="0"/>
                      <w:color w:val="000000"/>
                      <w:sz w:val="21"/>
                      <w:szCs w:val="21"/>
                      <w:lang w:val="en-US" w:eastAsia="zh-CN"/>
                    </w:rPr>
                    <w:t>不产生生产废水</w:t>
                  </w: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环境风险防控</w:t>
                  </w:r>
                </w:p>
              </w:tc>
              <w:tc>
                <w:tcPr>
                  <w:tcW w:w="2383"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高关注地块划分污染风险等级，纳入优先管控名录。</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本项目不属于高关注地块。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资源利用效率要求</w:t>
                  </w:r>
                </w:p>
              </w:tc>
              <w:tc>
                <w:tcPr>
                  <w:tcW w:w="2383"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进一步优化能源结构，加快集中供热、供气及配套管网建设。不得新改扩建分散燃煤设施。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本项目不涉及燃煤设施。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重点管控单元5</w:t>
                  </w:r>
                </w:p>
              </w:tc>
              <w:tc>
                <w:tcPr>
                  <w:tcW w:w="287"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新乡县大气布局敏感区</w:t>
                  </w: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1、禁止新建、改建及扩建高排放、高污染项目，包括钢铁、有色、水泥、平板玻璃、建筑陶瓷等行业及其他排放重金属、持久性有机污染物的工业项目等。</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2、严格控制新、改、扩建“两高”项目。</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本项目不属于高排放、高污染项目；本项目不属于两高项目。</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污染物排放管控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1、二氧化硫、氮氧化物、颗粒物、VOCs全面执行大气污染物特别排放限值。</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2、推进城中村、老旧城区和城乡结合部污水处理配套管网建设和雨污分流系统改造，实现污水全收集、全处理。</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3、加快城市建成区排水管网清污分流、污水处理厂提质增效，城镇污水处理厂逐步达到《地表水环境质量标准》V类排放标准。</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本项目全面执行大气污染物特别排放限值；</w:t>
                  </w:r>
                  <w:r>
                    <w:rPr>
                      <w:rFonts w:hint="default" w:ascii="Times New Roman" w:hAnsi="Times New Roman" w:eastAsia="宋体" w:cs="Times New Roman"/>
                      <w:sz w:val="21"/>
                      <w:szCs w:val="21"/>
                      <w:lang w:val="en-US" w:eastAsia="zh-CN"/>
                    </w:rPr>
                    <w:t>水：</w:t>
                  </w:r>
                  <w:r>
                    <w:rPr>
                      <w:rFonts w:hint="eastAsia" w:cs="Times New Roman"/>
                      <w:sz w:val="21"/>
                      <w:szCs w:val="21"/>
                      <w:lang w:val="en-US" w:eastAsia="zh-CN"/>
                    </w:rPr>
                    <w:t>本项目</w:t>
                  </w:r>
                  <w:r>
                    <w:rPr>
                      <w:rFonts w:hint="eastAsia" w:ascii="Times New Roman" w:hAnsi="Times New Roman" w:eastAsia="宋体" w:cs="Times New Roman"/>
                      <w:sz w:val="21"/>
                      <w:szCs w:val="21"/>
                      <w:lang w:val="zh-CN" w:eastAsia="zh-CN"/>
                    </w:rPr>
                    <w:t>生活废水</w:t>
                  </w:r>
                  <w:r>
                    <w:rPr>
                      <w:rFonts w:hint="eastAsia" w:cs="Times New Roman"/>
                      <w:sz w:val="21"/>
                      <w:szCs w:val="21"/>
                      <w:lang w:val="en-US" w:eastAsia="zh-CN"/>
                    </w:rPr>
                    <w:t>依托厂区现有化粪池处理后定期清运</w:t>
                  </w:r>
                  <w:r>
                    <w:rPr>
                      <w:rFonts w:hint="eastAsia" w:ascii="Times New Roman" w:hAnsi="Times New Roman" w:eastAsia="宋体" w:cs="Times New Roman"/>
                      <w:sz w:val="21"/>
                      <w:szCs w:val="21"/>
                      <w:lang w:val="zh-CN"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环境风险防控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高关注地块划分污染风险等级，纳入优先管控名录。</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本项目不属于高关注地块。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资源利用效率要求</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进一步优化能源结构，加快集中供热、供气及配套管网建设。不得新改扩建分散燃煤设施。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本项目不涉及燃煤设施</w:t>
                  </w:r>
                  <w:r>
                    <w:rPr>
                      <w:rFonts w:hint="eastAsia" w:cs="Times New Roman"/>
                      <w:sz w:val="21"/>
                      <w:szCs w:val="21"/>
                      <w:lang w:val="en-US" w:eastAsia="zh-CN"/>
                    </w:rPr>
                    <w:t>，本项目不需要供热</w:t>
                  </w:r>
                  <w:r>
                    <w:rPr>
                      <w:rFonts w:hint="eastAsia" w:ascii="Times New Roman" w:hAnsi="Times New Roman" w:eastAsia="宋体" w:cs="Times New Roman"/>
                      <w:sz w:val="21"/>
                      <w:szCs w:val="21"/>
                      <w:lang w:val="en-US"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right="0" w:firstLine="422" w:firstLineChars="200"/>
              <w:jc w:val="left"/>
              <w:textAlignment w:val="auto"/>
              <w:rPr>
                <w:rFonts w:hint="default" w:ascii="Times New Roman" w:hAnsi="Times New Roman" w:cs="Times New Roman"/>
                <w:b/>
                <w:bCs/>
                <w:color w:val="auto"/>
                <w:kern w:val="0"/>
                <w:sz w:val="21"/>
                <w:szCs w:val="21"/>
              </w:rPr>
            </w:pPr>
            <w:r>
              <w:rPr>
                <w:rFonts w:hint="eastAsia" w:cs="Times New Roman"/>
                <w:b/>
                <w:bCs/>
                <w:color w:val="auto"/>
                <w:kern w:val="0"/>
                <w:sz w:val="21"/>
                <w:szCs w:val="21"/>
                <w:lang w:val="en-US" w:eastAsia="zh-CN"/>
              </w:rPr>
              <w:t>7</w:t>
            </w:r>
            <w:r>
              <w:rPr>
                <w:rFonts w:hint="default" w:ascii="Times New Roman" w:hAnsi="Times New Roman" w:cs="Times New Roman"/>
                <w:b/>
                <w:bCs/>
                <w:color w:val="auto"/>
                <w:kern w:val="0"/>
                <w:sz w:val="21"/>
                <w:szCs w:val="21"/>
              </w:rPr>
              <w:t>、项目与《河南省重污染天气</w:t>
            </w:r>
            <w:r>
              <w:rPr>
                <w:rFonts w:hint="eastAsia" w:cs="Times New Roman"/>
                <w:b/>
                <w:bCs/>
                <w:color w:val="auto"/>
                <w:kern w:val="0"/>
                <w:sz w:val="21"/>
                <w:szCs w:val="21"/>
                <w:lang w:val="en-US" w:eastAsia="zh-CN"/>
              </w:rPr>
              <w:t>重点行业</w:t>
            </w:r>
            <w:r>
              <w:rPr>
                <w:rFonts w:hint="default" w:ascii="Times New Roman" w:hAnsi="Times New Roman" w:cs="Times New Roman"/>
                <w:b/>
                <w:bCs/>
                <w:color w:val="auto"/>
                <w:kern w:val="0"/>
                <w:sz w:val="21"/>
                <w:szCs w:val="21"/>
              </w:rPr>
              <w:t>应急减排措施制定技术指南（2021年修订版）》的相符性分析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本项目属于</w:t>
            </w:r>
            <w:r>
              <w:rPr>
                <w:rFonts w:hint="eastAsia" w:ascii="Times New Roman" w:hAnsi="Times New Roman" w:eastAsia="宋体" w:cs="Times New Roman"/>
                <w:color w:val="auto"/>
                <w:sz w:val="21"/>
                <w:szCs w:val="21"/>
                <w:lang w:val="en-US" w:eastAsia="zh-CN"/>
              </w:rPr>
              <w:t>一般工业固体废物处置及综合利用</w:t>
            </w:r>
            <w:r>
              <w:rPr>
                <w:rFonts w:hint="eastAsia" w:ascii="Times New Roman" w:hAnsi="Times New Roman" w:eastAsia="宋体" w:cs="Times New Roman"/>
                <w:color w:val="auto"/>
                <w:kern w:val="0"/>
                <w:sz w:val="21"/>
                <w:szCs w:val="20"/>
                <w:highlight w:val="none"/>
                <w:lang w:val="en-US" w:eastAsia="zh-CN" w:bidi="ar-SA"/>
              </w:rPr>
              <w:t>，</w:t>
            </w:r>
            <w:r>
              <w:rPr>
                <w:rFonts w:hint="default" w:ascii="Times New Roman" w:hAnsi="Times New Roman" w:eastAsia="宋体" w:cs="Times New Roman"/>
                <w:color w:val="auto"/>
                <w:kern w:val="0"/>
                <w:sz w:val="21"/>
                <w:szCs w:val="20"/>
                <w:highlight w:val="none"/>
                <w:lang w:val="en-US" w:eastAsia="zh-CN" w:bidi="ar-SA"/>
              </w:rPr>
              <w:t>与《河南省重污染天气通用行业应急减排措施制定技术指南 》</w:t>
            </w:r>
            <w:r>
              <w:rPr>
                <w:rFonts w:hint="eastAsia" w:ascii="Times New Roman" w:hAnsi="Times New Roman" w:eastAsia="宋体" w:cs="Times New Roman"/>
                <w:color w:val="auto"/>
                <w:kern w:val="0"/>
                <w:sz w:val="21"/>
                <w:szCs w:val="20"/>
                <w:highlight w:val="none"/>
                <w:lang w:val="en-US" w:eastAsia="zh-CN" w:bidi="ar-SA"/>
              </w:rPr>
              <w:t>（2021年修订版）的相关要求比对分析满足A级企业要求，具体</w:t>
            </w:r>
            <w:r>
              <w:rPr>
                <w:rFonts w:hint="default" w:ascii="Times New Roman" w:hAnsi="Times New Roman" w:eastAsia="宋体" w:cs="Times New Roman"/>
                <w:color w:val="auto"/>
                <w:kern w:val="0"/>
                <w:sz w:val="21"/>
                <w:szCs w:val="20"/>
                <w:highlight w:val="none"/>
                <w:lang w:val="en-US" w:eastAsia="zh-CN" w:bidi="ar-SA"/>
              </w:rPr>
              <w:t>见下表。</w:t>
            </w:r>
          </w:p>
          <w:p>
            <w:pPr>
              <w:pStyle w:val="31"/>
              <w:keepLines w:val="0"/>
              <w:pageBreakBefore w:val="0"/>
              <w:widowControl w:val="0"/>
              <w:kinsoku/>
              <w:wordWrap/>
              <w:overflowPunct/>
              <w:topLinePunct w:val="0"/>
              <w:bidi w:val="0"/>
              <w:spacing w:line="5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本项目</w:t>
            </w:r>
            <w:r>
              <w:rPr>
                <w:rFonts w:hint="default" w:ascii="Times New Roman" w:hAnsi="Times New Roman" w:eastAsia="宋体" w:cs="Times New Roman"/>
                <w:lang w:val="en-US" w:eastAsia="zh-CN"/>
              </w:rPr>
              <w:t>与《河南省重污染天气通用行业应急减排措施制定技术指南 》</w:t>
            </w:r>
            <w:r>
              <w:rPr>
                <w:rFonts w:hint="eastAsia" w:ascii="Times New Roman" w:hAnsi="Times New Roman" w:eastAsia="宋体" w:cs="Times New Roman"/>
                <w:lang w:val="en-US" w:eastAsia="zh-CN"/>
              </w:rPr>
              <w:t>（2021年修订版）对比分析</w:t>
            </w:r>
          </w:p>
          <w:tbl>
            <w:tblPr>
              <w:tblStyle w:val="18"/>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53"/>
              <w:gridCol w:w="3569"/>
              <w:gridCol w:w="2452"/>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95"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差异化指标</w:t>
                  </w: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cs="Times New Roman"/>
                      <w:sz w:val="21"/>
                      <w:szCs w:val="21"/>
                      <w:lang w:val="en-US" w:eastAsia="zh-CN"/>
                    </w:rPr>
                    <w:t>要求</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本项目建设情况</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对比情况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95"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物料装卸</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车辆运输的物料应采取封闭措施。粉状、粒状、块状散装物</w:t>
                  </w:r>
                  <w:r>
                    <w:rPr>
                      <w:rFonts w:hint="eastAsia" w:ascii="Times New Roman" w:hAnsi="Times New Roman" w:cs="Times New Roman"/>
                      <w:sz w:val="21"/>
                      <w:szCs w:val="21"/>
                      <w:lang w:val="en-US" w:eastAsia="zh-CN"/>
                    </w:rPr>
                    <w:t>料在封闭料场内装卸，装卸过程中产尘点应设置集气除尘装置，料堆应采取有效抑尘措施。</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不易产尘的袋装物料宜在料棚中装卸，如需露天装卸应采取防止破袋及粉尘外逸措施。</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车辆运输的</w:t>
                  </w:r>
                  <w:r>
                    <w:rPr>
                      <w:rFonts w:hint="eastAsia" w:ascii="Times New Roman" w:hAnsi="Times New Roman" w:cs="Times New Roman"/>
                      <w:sz w:val="21"/>
                      <w:szCs w:val="21"/>
                      <w:lang w:val="en-US" w:eastAsia="zh-CN"/>
                    </w:rPr>
                    <w:t>粉状</w:t>
                  </w:r>
                  <w:r>
                    <w:rPr>
                      <w:rFonts w:hint="eastAsia" w:cs="Times New Roman"/>
                      <w:sz w:val="21"/>
                      <w:szCs w:val="21"/>
                      <w:lang w:val="en-US" w:eastAsia="zh-CN"/>
                    </w:rPr>
                    <w:t>原辅料</w:t>
                  </w:r>
                  <w:r>
                    <w:rPr>
                      <w:rFonts w:hint="eastAsia" w:ascii="Times New Roman" w:hAnsi="Times New Roman" w:cs="Times New Roman"/>
                      <w:sz w:val="21"/>
                      <w:szCs w:val="21"/>
                      <w:lang w:val="en-US" w:eastAsia="zh-CN"/>
                    </w:rPr>
                    <w:t>为袋装，装卸并在密闭仓库进行不产生废气。</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95"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物料储存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一般物料。粉状物料应储存于密闭/</w:t>
                  </w:r>
                  <w:r>
                    <w:rPr>
                      <w:rFonts w:hint="eastAsia" w:ascii="Times New Roman" w:hAnsi="Times New Roman" w:cs="Times New Roman"/>
                      <w:sz w:val="21"/>
                      <w:szCs w:val="21"/>
                      <w:lang w:val="en-US" w:eastAsia="zh-CN"/>
                    </w:rPr>
                    <w:t>封闭料仓中；粒状、块状物料应储存于封闭料场中，并采取喷淋、清扫或其他有效抑尘措施；袋装物料应储存于封闭</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危险废物。应有符合规范要求的危险废物储存间，危险废物储存间门口应张贴标准规范的危险废物标识和危废信息板，建立台账并挂于危废间内，危险废物的记录和货单保存</w:t>
                  </w:r>
                  <w:r>
                    <w:rPr>
                      <w:rFonts w:hint="default" w:ascii="Times New Roman" w:hAnsi="Times New Roman" w:cs="Times New Roman"/>
                      <w:sz w:val="21"/>
                      <w:szCs w:val="21"/>
                      <w:lang w:val="en-US" w:eastAsia="zh-CN"/>
                    </w:rPr>
                    <w:t>3</w:t>
                  </w:r>
                  <w:r>
                    <w:rPr>
                      <w:rFonts w:hint="eastAsia" w:ascii="Times New Roman" w:hAnsi="Times New Roman" w:cs="Times New Roman"/>
                      <w:sz w:val="21"/>
                      <w:szCs w:val="21"/>
                      <w:lang w:val="en-US" w:eastAsia="zh-CN"/>
                    </w:rPr>
                    <w:t>年以上。危废间内禁止存放除危险废物和应急工具外的其他物品。</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一般物料。</w:t>
                  </w:r>
                  <w:r>
                    <w:rPr>
                      <w:rFonts w:hint="default" w:ascii="Times New Roman" w:hAnsi="Times New Roman" w:cs="Times New Roman"/>
                      <w:sz w:val="21"/>
                      <w:szCs w:val="21"/>
                      <w:lang w:val="en-US" w:eastAsia="zh-CN"/>
                    </w:rPr>
                    <w:t>车辆运输的</w:t>
                  </w:r>
                  <w:r>
                    <w:rPr>
                      <w:rFonts w:hint="eastAsia" w:ascii="Times New Roman" w:hAnsi="Times New Roman" w:cs="Times New Roman"/>
                      <w:sz w:val="21"/>
                      <w:szCs w:val="21"/>
                      <w:lang w:val="en-US" w:eastAsia="zh-CN"/>
                    </w:rPr>
                    <w:t>粉状</w:t>
                  </w:r>
                  <w:r>
                    <w:rPr>
                      <w:rFonts w:hint="eastAsia" w:cs="Times New Roman"/>
                      <w:sz w:val="21"/>
                      <w:szCs w:val="21"/>
                      <w:lang w:val="en-US" w:eastAsia="zh-CN"/>
                    </w:rPr>
                    <w:t>原辅料</w:t>
                  </w:r>
                  <w:r>
                    <w:rPr>
                      <w:rFonts w:hint="eastAsia" w:ascii="Times New Roman" w:hAnsi="Times New Roman" w:cs="Times New Roman"/>
                      <w:sz w:val="21"/>
                      <w:szCs w:val="21"/>
                      <w:lang w:val="en-US" w:eastAsia="zh-CN"/>
                    </w:rPr>
                    <w:t>为袋装，装卸并在密闭仓库进行不产生废</w:t>
                  </w:r>
                  <w:r>
                    <w:rPr>
                      <w:rFonts w:hint="eastAsia" w:ascii="Times New Roman" w:hAnsi="Times New Roman" w:eastAsia="宋体" w:cs="Times New Roman"/>
                      <w:sz w:val="21"/>
                      <w:szCs w:val="21"/>
                      <w:lang w:val="en-US" w:eastAsia="zh-CN"/>
                    </w:rPr>
                    <w:t>气。封闭</w:t>
                  </w:r>
                  <w:r>
                    <w:rPr>
                      <w:rFonts w:hint="eastAsia" w:ascii="Times New Roman" w:hAnsi="Times New Roman" w:cs="Times New Roman"/>
                      <w:sz w:val="21"/>
                      <w:szCs w:val="21"/>
                      <w:lang w:val="en-US" w:eastAsia="zh-CN"/>
                    </w:rPr>
                    <w:t xml:space="preserve">料场顶棚和四周围墙完整，料场内路面全部硬化，料场货物进出大门为硬质材料门，在确保安全的情况下，所有门窗保持常闭状态。 </w:t>
                  </w:r>
                </w:p>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危险废物。</w:t>
                  </w:r>
                  <w:r>
                    <w:rPr>
                      <w:rFonts w:hint="eastAsia" w:cs="Times New Roman"/>
                      <w:sz w:val="21"/>
                      <w:szCs w:val="21"/>
                      <w:lang w:val="en-US" w:eastAsia="zh-CN"/>
                    </w:rPr>
                    <w:t>本项目无危险废物。</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95"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物料转移和输送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eastAsia="zh-CN"/>
                    </w:rPr>
                  </w:pPr>
                  <w:r>
                    <w:rPr>
                      <w:rFonts w:hint="default" w:ascii="Times New Roman" w:hAnsi="Times New Roman" w:cs="Times New Roman"/>
                      <w:sz w:val="21"/>
                      <w:szCs w:val="21"/>
                      <w:lang w:val="en-US" w:eastAsia="zh-CN"/>
                    </w:rPr>
                    <w:t>粉状、粒状等易产尘物料厂内转移、输送过程应采用气力输</w:t>
                  </w:r>
                  <w:r>
                    <w:rPr>
                      <w:rFonts w:hint="eastAsia" w:ascii="Times New Roman" w:hAnsi="Times New Roman" w:cs="Times New Roman"/>
                      <w:sz w:val="21"/>
                      <w:szCs w:val="21"/>
                      <w:lang w:val="en-US" w:eastAsia="zh-CN"/>
                    </w:rPr>
                    <w:t xml:space="preserve">送、密闭输送，块状和粘湿粉状物料采用封闭输送；无法封闭的产尘点（物料转载、下料口等）应采取集气除尘措施，或有效抑尘措施。 </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cs="Times New Roman"/>
                      <w:color w:val="000000" w:themeColor="text1"/>
                      <w:sz w:val="21"/>
                      <w:szCs w:val="21"/>
                      <w:lang w:val="en-US" w:eastAsia="zh-CN"/>
                      <w14:textFill>
                        <w14:solidFill>
                          <w14:schemeClr w14:val="tx1"/>
                        </w14:solidFill>
                      </w14:textFill>
                    </w:rPr>
                    <w:t>硅土、腐植酸尾料</w:t>
                  </w:r>
                  <w:r>
                    <w:rPr>
                      <w:rFonts w:hint="default" w:ascii="Times New Roman" w:hAnsi="Times New Roman" w:cs="Times New Roman"/>
                      <w:color w:val="000000" w:themeColor="text1"/>
                      <w:sz w:val="21"/>
                      <w:szCs w:val="21"/>
                      <w:lang w:val="en-US" w:eastAsia="zh-CN"/>
                      <w14:textFill>
                        <w14:solidFill>
                          <w14:schemeClr w14:val="tx1"/>
                        </w14:solidFill>
                      </w14:textFill>
                    </w:rPr>
                    <w:t>易产尘厂内转移、输送过程采用</w:t>
                  </w:r>
                  <w:r>
                    <w:rPr>
                      <w:rFonts w:hint="eastAsia" w:ascii="Times New Roman" w:hAnsi="Times New Roman" w:cs="Times New Roman"/>
                      <w:color w:val="000000" w:themeColor="text1"/>
                      <w:sz w:val="21"/>
                      <w:szCs w:val="21"/>
                      <w:lang w:val="en-US" w:eastAsia="zh-CN"/>
                      <w14:textFill>
                        <w14:solidFill>
                          <w14:schemeClr w14:val="tx1"/>
                        </w14:solidFill>
                      </w14:textFill>
                    </w:rPr>
                    <w:t>密闭输送；无法封闭的产尘点上料</w:t>
                  </w:r>
                  <w:r>
                    <w:rPr>
                      <w:rFonts w:hint="eastAsia" w:cs="Times New Roman"/>
                      <w:color w:val="000000" w:themeColor="text1"/>
                      <w:sz w:val="21"/>
                      <w:szCs w:val="21"/>
                      <w:lang w:val="en-US" w:eastAsia="zh-CN"/>
                      <w14:textFill>
                        <w14:solidFill>
                          <w14:schemeClr w14:val="tx1"/>
                        </w14:solidFill>
                      </w14:textFill>
                    </w:rPr>
                    <w:t>等工序</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采取集气除尘措施。 </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成品包装</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eastAsia="zh-CN"/>
                    </w:rPr>
                  </w:pPr>
                  <w:r>
                    <w:rPr>
                      <w:rFonts w:hint="default" w:ascii="Times New Roman" w:hAnsi="Times New Roman" w:cs="Times New Roman"/>
                      <w:sz w:val="21"/>
                      <w:szCs w:val="21"/>
                      <w:lang w:val="en-US" w:eastAsia="zh-CN"/>
                    </w:rPr>
                    <w:t>卸料口应完全封闭，如不能封闭应采取局部集气除尘措施。</w:t>
                  </w:r>
                  <w:r>
                    <w:rPr>
                      <w:rFonts w:hint="eastAsia" w:ascii="Times New Roman" w:hAnsi="Times New Roman" w:cs="Times New Roman"/>
                      <w:sz w:val="21"/>
                      <w:szCs w:val="21"/>
                      <w:lang w:val="en-US" w:eastAsia="zh-CN"/>
                    </w:rPr>
                    <w:t xml:space="preserve">卸料口地面应及时清扫，地面无明显积尘。 </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eastAsia="zh-CN"/>
                    </w:rPr>
                  </w:pPr>
                  <w:r>
                    <w:rPr>
                      <w:rFonts w:hint="eastAsia" w:cs="Times New Roman"/>
                      <w:sz w:val="21"/>
                      <w:szCs w:val="21"/>
                      <w:lang w:val="en-US" w:eastAsia="zh-CN"/>
                    </w:rPr>
                    <w:t>原辅料上料</w:t>
                  </w:r>
                  <w:r>
                    <w:rPr>
                      <w:rFonts w:hint="default" w:ascii="Times New Roman" w:hAnsi="Times New Roman" w:cs="Times New Roman"/>
                      <w:sz w:val="21"/>
                      <w:szCs w:val="21"/>
                      <w:lang w:val="en-US" w:eastAsia="zh-CN"/>
                    </w:rPr>
                    <w:t>采取局部集气除尘措施。</w:t>
                  </w:r>
                  <w:r>
                    <w:rPr>
                      <w:rFonts w:hint="eastAsia" w:ascii="Times New Roman" w:hAnsi="Times New Roman" w:cs="Times New Roman"/>
                      <w:sz w:val="21"/>
                      <w:szCs w:val="21"/>
                      <w:lang w:val="en-US" w:eastAsia="zh-CN"/>
                    </w:rPr>
                    <w:t xml:space="preserve">上料口地面及时清扫，地面无明显积尘。 </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5、工艺过程</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各种物料破碎、筛分、配料、混料等过程应在封闭厂房内进</w:t>
                  </w:r>
                  <w:r>
                    <w:rPr>
                      <w:rFonts w:hint="eastAsia" w:ascii="Times New Roman" w:hAnsi="Times New Roman" w:cs="Times New Roman"/>
                      <w:sz w:val="21"/>
                      <w:szCs w:val="21"/>
                      <w:lang w:val="en-US" w:eastAsia="zh-CN"/>
                    </w:rPr>
                    <w:t>行，并采取局部收尘</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抑尘措施。破碎筛分设备在进、出料口和配料混料过程等产尘点应设置集气除尘设施。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各生产工序的车间地面干净，无积料、积灰现象。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生产车间不得有可见烟粉尘外逸</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各种</w:t>
                  </w:r>
                  <w:r>
                    <w:rPr>
                      <w:rFonts w:hint="eastAsia" w:ascii="Times New Roman" w:hAnsi="Times New Roman" w:cs="Times New Roman"/>
                      <w:color w:val="000000" w:themeColor="text1"/>
                      <w:sz w:val="21"/>
                      <w:szCs w:val="21"/>
                      <w:lang w:val="en-US" w:eastAsia="zh-CN"/>
                      <w14:textFill>
                        <w14:solidFill>
                          <w14:schemeClr w14:val="tx1"/>
                        </w14:solidFill>
                      </w14:textFill>
                    </w:rPr>
                    <w:t>上料、搅拌</w:t>
                  </w:r>
                  <w:r>
                    <w:rPr>
                      <w:rFonts w:hint="default" w:ascii="Times New Roman" w:hAnsi="Times New Roman" w:cs="Times New Roman"/>
                      <w:color w:val="000000" w:themeColor="text1"/>
                      <w:sz w:val="21"/>
                      <w:szCs w:val="21"/>
                      <w:lang w:val="en-US" w:eastAsia="zh-CN"/>
                      <w14:textFill>
                        <w14:solidFill>
                          <w14:schemeClr w14:val="tx1"/>
                        </w14:solidFill>
                      </w14:textFill>
                    </w:rPr>
                    <w:t>等过程应在封闭厂房内进</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行，采取集气罩收尘措施。皮带</w:t>
                  </w:r>
                  <w:r>
                    <w:rPr>
                      <w:rFonts w:hint="eastAsia" w:cs="Times New Roman"/>
                      <w:color w:val="000000" w:themeColor="text1"/>
                      <w:sz w:val="21"/>
                      <w:szCs w:val="21"/>
                      <w:lang w:val="en-US" w:eastAsia="zh-CN"/>
                      <w14:textFill>
                        <w14:solidFill>
                          <w14:schemeClr w14:val="tx1"/>
                        </w14:solidFill>
                      </w14:textFill>
                    </w:rPr>
                    <w:t>运输</w:t>
                  </w:r>
                  <w:r>
                    <w:rPr>
                      <w:rFonts w:hint="eastAsia" w:ascii="Times New Roman" w:hAnsi="Times New Roman" w:cs="Times New Roman"/>
                      <w:color w:val="000000" w:themeColor="text1"/>
                      <w:sz w:val="21"/>
                      <w:szCs w:val="21"/>
                      <w:lang w:val="en-US" w:eastAsia="zh-CN"/>
                      <w14:textFill>
                        <w14:solidFill>
                          <w14:schemeClr w14:val="tx1"/>
                        </w14:solidFill>
                      </w14:textFill>
                    </w:rPr>
                    <w:t>等产尘点设置密闭措施。</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各生产工序的车间地面干净，无积料、积灰现象。</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生产车间</w:t>
                  </w:r>
                  <w:r>
                    <w:rPr>
                      <w:rFonts w:hint="eastAsia" w:cs="Times New Roman"/>
                      <w:color w:val="000000" w:themeColor="text1"/>
                      <w:sz w:val="21"/>
                      <w:szCs w:val="21"/>
                      <w:lang w:val="en-US" w:eastAsia="zh-CN"/>
                      <w14:textFill>
                        <w14:solidFill>
                          <w14:schemeClr w14:val="tx1"/>
                        </w14:solidFill>
                      </w14:textFill>
                    </w:rPr>
                    <w:t>无</w:t>
                  </w:r>
                  <w:r>
                    <w:rPr>
                      <w:rFonts w:hint="eastAsia" w:ascii="Times New Roman" w:hAnsi="Times New Roman" w:cs="Times New Roman"/>
                      <w:color w:val="000000" w:themeColor="text1"/>
                      <w:sz w:val="21"/>
                      <w:szCs w:val="21"/>
                      <w:lang w:val="en-US" w:eastAsia="zh-CN"/>
                      <w14:textFill>
                        <w14:solidFill>
                          <w14:schemeClr w14:val="tx1"/>
                        </w14:solidFill>
                      </w14:textFill>
                    </w:rPr>
                    <w:t>可见烟粉尘外逸。</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74"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运输方式及运输监管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运输方式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①</w:t>
                  </w:r>
                  <w:r>
                    <w:rPr>
                      <w:rFonts w:hint="default" w:ascii="Times New Roman" w:hAnsi="Times New Roman" w:cs="Times New Roman"/>
                      <w:sz w:val="21"/>
                      <w:szCs w:val="21"/>
                      <w:lang w:val="en-US" w:eastAsia="zh-CN"/>
                    </w:rPr>
                    <w:t>公路运输。物料公路运输使用达到国五及以上排放标准重</w:t>
                  </w:r>
                  <w:r>
                    <w:rPr>
                      <w:rFonts w:hint="eastAsia" w:ascii="Times New Roman" w:hAnsi="Times New Roman" w:cs="Times New Roman"/>
                      <w:sz w:val="21"/>
                      <w:szCs w:val="21"/>
                      <w:lang w:val="en-US" w:eastAsia="zh-CN"/>
                    </w:rPr>
                    <w:t>型载货车辆（重型燃气车辆达到国六排放标准）或新能源车辆比例（</w:t>
                  </w:r>
                  <w:r>
                    <w:rPr>
                      <w:rFonts w:hint="default" w:ascii="Times New Roman" w:hAnsi="Times New Roman" w:cs="Times New Roman"/>
                      <w:sz w:val="21"/>
                      <w:szCs w:val="21"/>
                      <w:lang w:val="en-US" w:eastAsia="zh-CN"/>
                    </w:rPr>
                    <w:t>A</w:t>
                  </w:r>
                  <w:r>
                    <w:rPr>
                      <w:rFonts w:hint="eastAsia" w:ascii="Times New Roman" w:hAnsi="Times New Roman" w:cs="Times New Roman"/>
                      <w:sz w:val="21"/>
                      <w:szCs w:val="21"/>
                      <w:lang w:val="en-US" w:eastAsia="zh-CN"/>
                    </w:rPr>
                    <w:t>级</w:t>
                  </w:r>
                  <w:r>
                    <w:rPr>
                      <w:rFonts w:hint="default" w:ascii="Times New Roman" w:hAnsi="Times New Roman" w:cs="Times New Roman"/>
                      <w:sz w:val="21"/>
                      <w:szCs w:val="21"/>
                      <w:lang w:val="en-US" w:eastAsia="zh-CN"/>
                    </w:rPr>
                    <w:t>100%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B</w:t>
                  </w:r>
                  <w:r>
                    <w:rPr>
                      <w:rFonts w:hint="eastAsia" w:ascii="Times New Roman" w:hAnsi="Times New Roman" w:cs="Times New Roman"/>
                      <w:sz w:val="21"/>
                      <w:szCs w:val="21"/>
                      <w:lang w:val="en-US" w:eastAsia="zh-CN"/>
                    </w:rPr>
                    <w:t>级不低于</w:t>
                  </w:r>
                  <w:r>
                    <w:rPr>
                      <w:rFonts w:hint="default" w:ascii="Times New Roman" w:hAnsi="Times New Roman" w:cs="Times New Roman"/>
                      <w:sz w:val="21"/>
                      <w:szCs w:val="21"/>
                      <w:lang w:val="en-US" w:eastAsia="zh-CN"/>
                    </w:rPr>
                    <w:t>80%</w:t>
                  </w:r>
                  <w:r>
                    <w:rPr>
                      <w:rFonts w:hint="eastAsia" w:ascii="Times New Roman" w:hAnsi="Times New Roman" w:cs="Times New Roman"/>
                      <w:sz w:val="21"/>
                      <w:szCs w:val="21"/>
                      <w:lang w:val="en-US" w:eastAsia="zh-CN"/>
                    </w:rPr>
                    <w:t xml:space="preserve">），其他车辆达到国四排放标准（重型燃气车辆达到国五及以上排放标准）；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②厂内运输车辆。达到国五及以上排放标准（重型燃气车辆达到国六排放标准）或使用新能源车辆的比例（</w:t>
                  </w:r>
                  <w:r>
                    <w:rPr>
                      <w:rFonts w:hint="default" w:ascii="Times New Roman" w:hAnsi="Times New Roman" w:cs="Times New Roman"/>
                      <w:sz w:val="21"/>
                      <w:szCs w:val="21"/>
                      <w:lang w:val="en-US" w:eastAsia="zh-CN"/>
                    </w:rPr>
                    <w:t xml:space="preserve">A </w:t>
                  </w:r>
                  <w:r>
                    <w:rPr>
                      <w:rFonts w:hint="eastAsia" w:ascii="Times New Roman" w:hAnsi="Times New Roman" w:cs="Times New Roman"/>
                      <w:sz w:val="21"/>
                      <w:szCs w:val="21"/>
                      <w:lang w:val="en-US" w:eastAsia="zh-CN"/>
                    </w:rPr>
                    <w:t xml:space="preserve">级 </w:t>
                  </w:r>
                  <w:r>
                    <w:rPr>
                      <w:rFonts w:hint="default" w:ascii="Times New Roman" w:hAnsi="Times New Roman" w:cs="Times New Roman"/>
                      <w:sz w:val="21"/>
                      <w:szCs w:val="21"/>
                      <w:lang w:val="en-US" w:eastAsia="zh-CN"/>
                    </w:rPr>
                    <w:t>100%</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B</w:t>
                  </w:r>
                  <w:r>
                    <w:rPr>
                      <w:rFonts w:hint="eastAsia" w:ascii="Times New Roman" w:hAnsi="Times New Roman" w:cs="Times New Roman"/>
                      <w:sz w:val="21"/>
                      <w:szCs w:val="21"/>
                      <w:lang w:val="en-US" w:eastAsia="zh-CN"/>
                    </w:rPr>
                    <w:t xml:space="preserve">级不低于 </w:t>
                  </w:r>
                  <w:r>
                    <w:rPr>
                      <w:rFonts w:hint="default" w:ascii="Times New Roman" w:hAnsi="Times New Roman" w:cs="Times New Roman"/>
                      <w:sz w:val="21"/>
                      <w:szCs w:val="21"/>
                      <w:lang w:val="en-US" w:eastAsia="zh-CN"/>
                    </w:rPr>
                    <w:t>80%</w:t>
                  </w:r>
                  <w:r>
                    <w:rPr>
                      <w:rFonts w:hint="eastAsia" w:ascii="Times New Roman" w:hAnsi="Times New Roman" w:cs="Times New Roman"/>
                      <w:sz w:val="21"/>
                      <w:szCs w:val="21"/>
                      <w:lang w:val="en-US" w:eastAsia="zh-CN"/>
                    </w:rPr>
                    <w:t xml:space="preserve">），其他车辆达到国四排放标准（重型燃气车辆达到国五及以上排放标准）；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③危险品及危废运输。国五及以上或新能源车辆（</w:t>
                  </w:r>
                  <w:r>
                    <w:rPr>
                      <w:rFonts w:hint="default" w:ascii="Times New Roman" w:hAnsi="Times New Roman" w:cs="Times New Roman"/>
                      <w:sz w:val="21"/>
                      <w:szCs w:val="21"/>
                      <w:lang w:val="en-US" w:eastAsia="zh-CN"/>
                    </w:rPr>
                    <w:t xml:space="preserve">A </w:t>
                  </w:r>
                  <w:r>
                    <w:rPr>
                      <w:rFonts w:hint="eastAsia" w:ascii="Times New Roman" w:hAnsi="Times New Roman" w:cs="Times New Roman"/>
                      <w:sz w:val="21"/>
                      <w:szCs w:val="21"/>
                      <w:lang w:val="en-US" w:eastAsia="zh-CN"/>
                    </w:rPr>
                    <w:t>级</w:t>
                  </w:r>
                  <w:r>
                    <w:rPr>
                      <w:rFonts w:hint="default" w:ascii="Times New Roman" w:hAnsi="Times New Roman" w:cs="Times New Roman"/>
                      <w:sz w:val="21"/>
                      <w:szCs w:val="21"/>
                      <w:lang w:val="en-US" w:eastAsia="zh-CN"/>
                    </w:rPr>
                    <w:t>/B</w:t>
                  </w:r>
                  <w:r>
                    <w:rPr>
                      <w:rFonts w:hint="eastAsia" w:ascii="Times New Roman" w:hAnsi="Times New Roman" w:cs="Times New Roman"/>
                      <w:sz w:val="21"/>
                      <w:szCs w:val="21"/>
                      <w:lang w:val="en-US" w:eastAsia="zh-CN"/>
                    </w:rPr>
                    <w:t xml:space="preserve">级 </w:t>
                  </w:r>
                  <w:r>
                    <w:rPr>
                      <w:rFonts w:hint="default" w:ascii="Times New Roman" w:hAnsi="Times New Roman" w:cs="Times New Roman"/>
                      <w:sz w:val="21"/>
                      <w:szCs w:val="21"/>
                      <w:lang w:val="en-US" w:eastAsia="zh-CN"/>
                    </w:rPr>
                    <w:t>100%</w:t>
                  </w:r>
                  <w:r>
                    <w:rPr>
                      <w:rFonts w:hint="eastAsia" w:ascii="Times New Roman" w:hAnsi="Times New Roman" w:cs="Times New Roman"/>
                      <w:sz w:val="21"/>
                      <w:szCs w:val="21"/>
                      <w:lang w:val="en-US" w:eastAsia="zh-CN"/>
                    </w:rPr>
                    <w:t xml:space="preserve">）；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④厂内非道路移动机械。国三及以上排放标准或使用新能源机械（</w:t>
                  </w:r>
                  <w:r>
                    <w:rPr>
                      <w:rFonts w:hint="default" w:ascii="Times New Roman" w:hAnsi="Times New Roman" w:cs="Times New Roman"/>
                      <w:sz w:val="21"/>
                      <w:szCs w:val="21"/>
                      <w:lang w:val="en-US" w:eastAsia="zh-CN"/>
                    </w:rPr>
                    <w:t xml:space="preserve">A </w:t>
                  </w:r>
                  <w:r>
                    <w:rPr>
                      <w:rFonts w:hint="eastAsia" w:ascii="Times New Roman" w:hAnsi="Times New Roman" w:cs="Times New Roman"/>
                      <w:sz w:val="21"/>
                      <w:szCs w:val="21"/>
                      <w:lang w:val="en-US" w:eastAsia="zh-CN"/>
                    </w:rPr>
                    <w:t>级</w:t>
                  </w:r>
                  <w:r>
                    <w:rPr>
                      <w:rFonts w:hint="default" w:ascii="Times New Roman" w:hAnsi="Times New Roman" w:cs="Times New Roman"/>
                      <w:sz w:val="21"/>
                      <w:szCs w:val="21"/>
                      <w:lang w:val="en-US" w:eastAsia="zh-CN"/>
                    </w:rPr>
                    <w:t xml:space="preserve">/B </w:t>
                  </w:r>
                  <w:r>
                    <w:rPr>
                      <w:rFonts w:hint="eastAsia" w:ascii="Times New Roman" w:hAnsi="Times New Roman" w:cs="Times New Roman"/>
                      <w:sz w:val="21"/>
                      <w:szCs w:val="21"/>
                      <w:lang w:val="en-US" w:eastAsia="zh-CN"/>
                    </w:rPr>
                    <w:t xml:space="preserve">级 </w:t>
                  </w:r>
                  <w:r>
                    <w:rPr>
                      <w:rFonts w:hint="default" w:ascii="Times New Roman" w:hAnsi="Times New Roman" w:cs="Times New Roman"/>
                      <w:sz w:val="21"/>
                      <w:szCs w:val="21"/>
                      <w:lang w:val="en-US" w:eastAsia="zh-CN"/>
                    </w:rPr>
                    <w:t>100%</w:t>
                  </w:r>
                  <w:r>
                    <w:rPr>
                      <w:rFonts w:hint="eastAsia" w:ascii="Times New Roman" w:hAnsi="Times New Roman" w:cs="Times New Roman"/>
                      <w:sz w:val="21"/>
                      <w:szCs w:val="21"/>
                      <w:lang w:val="en-US" w:eastAsia="zh-CN"/>
                    </w:rPr>
                    <w:t xml:space="preserve">）。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lang w:val="en-US" w:eastAsia="zh-CN"/>
                    </w:rPr>
                  </w:pP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公路运输。物料公路运输使用达到国五及以上排放标准重</w:t>
                  </w:r>
                  <w:r>
                    <w:rPr>
                      <w:rFonts w:hint="eastAsia" w:ascii="Times New Roman" w:hAnsi="Times New Roman" w:cs="Times New Roman"/>
                      <w:color w:val="000000" w:themeColor="text1"/>
                      <w:sz w:val="21"/>
                      <w:szCs w:val="21"/>
                      <w:lang w:val="en-US" w:eastAsia="zh-CN"/>
                      <w14:textFill>
                        <w14:solidFill>
                          <w14:schemeClr w14:val="tx1"/>
                        </w14:solidFill>
                      </w14:textFill>
                    </w:rPr>
                    <w:t>型载货车辆（重型燃气车辆达到国六排放标准）或新能源车辆比例（</w:t>
                  </w: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eastAsia" w:ascii="Times New Roman" w:hAnsi="Times New Roman" w:cs="Times New Roman"/>
                      <w:color w:val="000000" w:themeColor="text1"/>
                      <w:sz w:val="21"/>
                      <w:szCs w:val="21"/>
                      <w:lang w:val="en-US" w:eastAsia="zh-CN"/>
                      <w14:textFill>
                        <w14:solidFill>
                          <w14:schemeClr w14:val="tx1"/>
                        </w14:solidFill>
                      </w14:textFill>
                    </w:rPr>
                    <w:t>级</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），其他车辆达到国四排放标准（重型燃气车辆达到国五及以上排放标准）；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②厂内运输车辆。达到国五及以上排放标准（重型燃气车辆达到国六排放标准）或使用新能源车辆的比例（</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A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级 </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，），其他车辆达到国四排放标准（重型燃气车辆达到国五及以上排放标准）；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③</w:t>
                  </w:r>
                  <w:r>
                    <w:rPr>
                      <w:rFonts w:hint="eastAsia" w:cs="Times New Roman"/>
                      <w:color w:val="000000" w:themeColor="text1"/>
                      <w:sz w:val="21"/>
                      <w:szCs w:val="21"/>
                      <w:lang w:val="en-US" w:eastAsia="zh-CN"/>
                      <w14:textFill>
                        <w14:solidFill>
                          <w14:schemeClr w14:val="tx1"/>
                        </w14:solidFill>
                      </w14:textFill>
                    </w:rPr>
                    <w:t>本项目无</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危险品；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④厂内非道路移动机械。国三及以上排放标准或使用新能源机械（</w:t>
                  </w: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eastAsia" w:ascii="Times New Roman" w:hAnsi="Times New Roman" w:cs="Times New Roman"/>
                      <w:color w:val="000000" w:themeColor="text1"/>
                      <w:sz w:val="21"/>
                      <w:szCs w:val="21"/>
                      <w:lang w:val="en-US" w:eastAsia="zh-CN"/>
                      <w14:textFill>
                        <w14:solidFill>
                          <w14:schemeClr w14:val="tx1"/>
                        </w14:solidFill>
                      </w14:textFill>
                    </w:rPr>
                    <w:t>级</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7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运输监管</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厂区货运车辆进出大门口：日均进出货物 150 </w:t>
                  </w:r>
                  <w:r>
                    <w:rPr>
                      <w:rFonts w:hint="eastAsia" w:ascii="Times New Roman" w:hAnsi="Times New Roman" w:cs="Times New Roman"/>
                      <w:sz w:val="21"/>
                      <w:szCs w:val="21"/>
                      <w:lang w:val="en-US" w:eastAsia="zh-CN"/>
                    </w:rPr>
                    <w:t xml:space="preserve">吨（或载货车辆日进出 </w:t>
                  </w:r>
                  <w:r>
                    <w:rPr>
                      <w:rFonts w:hint="default" w:ascii="Times New Roman" w:hAnsi="Times New Roman" w:cs="Times New Roman"/>
                      <w:sz w:val="21"/>
                      <w:szCs w:val="21"/>
                      <w:lang w:val="en-US" w:eastAsia="zh-CN"/>
                    </w:rPr>
                    <w:t xml:space="preserve">10 </w:t>
                  </w:r>
                  <w:r>
                    <w:rPr>
                      <w:rFonts w:hint="eastAsia" w:ascii="Times New Roman" w:hAnsi="Times New Roman" w:cs="Times New Roman"/>
                      <w:sz w:val="21"/>
                      <w:szCs w:val="21"/>
                      <w:lang w:val="en-US" w:eastAsia="zh-CN"/>
                    </w:rPr>
                    <w:t>辆次）及以上（货物包括原料、辅料、燃料、产品和其他与生产相关物料）的企业，或纳入我省重点行业年产值</w:t>
                  </w:r>
                  <w:r>
                    <w:rPr>
                      <w:rFonts w:hint="default" w:ascii="Times New Roman" w:hAnsi="Times New Roman" w:cs="Times New Roman"/>
                      <w:sz w:val="21"/>
                      <w:szCs w:val="21"/>
                      <w:lang w:val="en-US" w:eastAsia="zh-CN"/>
                    </w:rPr>
                    <w:t xml:space="preserve">1000 </w:t>
                  </w:r>
                  <w:r>
                    <w:rPr>
                      <w:rFonts w:hint="eastAsia" w:ascii="Times New Roman" w:hAnsi="Times New Roman" w:cs="Times New Roman"/>
                      <w:sz w:val="21"/>
                      <w:szCs w:val="21"/>
                      <w:lang w:val="en-US" w:eastAsia="zh-CN"/>
                    </w:rPr>
                    <w:t xml:space="preserve">万及以上的企业，拟申报 </w:t>
                  </w:r>
                  <w:r>
                    <w:rPr>
                      <w:rFonts w:hint="default" w:ascii="Times New Roman" w:hAnsi="Times New Roman" w:cs="Times New Roman"/>
                      <w:sz w:val="21"/>
                      <w:szCs w:val="21"/>
                      <w:lang w:val="en-US" w:eastAsia="zh-CN"/>
                    </w:rPr>
                    <w:t>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B </w:t>
                  </w:r>
                  <w:r>
                    <w:rPr>
                      <w:rFonts w:hint="eastAsia" w:ascii="Times New Roman" w:hAnsi="Times New Roman" w:cs="Times New Roman"/>
                      <w:sz w:val="21"/>
                      <w:szCs w:val="21"/>
                      <w:lang w:val="en-US" w:eastAsia="zh-CN"/>
                    </w:rPr>
                    <w:t xml:space="preserve">级企业时，应参照《重污染天气重点行业移动源应急管理技术指南》建立门禁视频监控系统和电子台账；其他企业建立电子台账。安装高清视频监控系统并能保留数据 </w:t>
                  </w:r>
                  <w:r>
                    <w:rPr>
                      <w:rFonts w:hint="default" w:ascii="Times New Roman" w:hAnsi="Times New Roman" w:cs="Times New Roman"/>
                      <w:sz w:val="21"/>
                      <w:szCs w:val="21"/>
                      <w:lang w:val="en-US" w:eastAsia="zh-CN"/>
                    </w:rPr>
                    <w:t xml:space="preserve">6 </w:t>
                  </w:r>
                  <w:r>
                    <w:rPr>
                      <w:rFonts w:hint="eastAsia" w:ascii="Times New Roman" w:hAnsi="Times New Roman" w:cs="Times New Roman"/>
                      <w:sz w:val="21"/>
                      <w:szCs w:val="21"/>
                      <w:lang w:val="en-US" w:eastAsia="zh-CN"/>
                    </w:rPr>
                    <w:t xml:space="preserve">个月以上。 </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lang w:val="en-US" w:eastAsia="zh-CN"/>
                    </w:rPr>
                  </w:pPr>
                  <w:r>
                    <w:rPr>
                      <w:rFonts w:hint="eastAsia" w:cs="Times New Roman"/>
                      <w:sz w:val="21"/>
                      <w:szCs w:val="21"/>
                      <w:lang w:val="en-US" w:eastAsia="zh-CN"/>
                    </w:rPr>
                    <w:t>本项目</w:t>
                  </w:r>
                  <w:r>
                    <w:rPr>
                      <w:rFonts w:hint="eastAsia" w:ascii="Times New Roman" w:hAnsi="Times New Roman" w:cs="Times New Roman"/>
                      <w:sz w:val="21"/>
                      <w:szCs w:val="21"/>
                      <w:lang w:val="en-US" w:eastAsia="zh-CN"/>
                    </w:rPr>
                    <w:t>参照《重污染天气重点行业移动源应急管理技术指南》建立门禁视频监控系统和电子台账；建立电子台账。安装高清视频监控系统并能保留数据</w:t>
                  </w:r>
                  <w:r>
                    <w:rPr>
                      <w:rFonts w:hint="default" w:ascii="Times New Roman" w:hAnsi="Times New Roman" w:cs="Times New Roman"/>
                      <w:sz w:val="21"/>
                      <w:szCs w:val="21"/>
                      <w:lang w:val="en-US" w:eastAsia="zh-CN"/>
                    </w:rPr>
                    <w:t>6</w:t>
                  </w:r>
                  <w:r>
                    <w:rPr>
                      <w:rFonts w:hint="eastAsia" w:ascii="Times New Roman" w:hAnsi="Times New Roman" w:cs="Times New Roman"/>
                      <w:sz w:val="21"/>
                      <w:szCs w:val="21"/>
                      <w:lang w:val="en-US" w:eastAsia="zh-CN"/>
                    </w:rPr>
                    <w:t xml:space="preserve">个月以上。 </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74"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环境管理水平</w:t>
                  </w: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环保档案</w:t>
                  </w: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①</w:t>
                  </w:r>
                  <w:r>
                    <w:rPr>
                      <w:rFonts w:hint="default" w:ascii="Times New Roman" w:hAnsi="Times New Roman" w:cs="Times New Roman"/>
                      <w:sz w:val="21"/>
                      <w:szCs w:val="21"/>
                      <w:lang w:val="en-US" w:eastAsia="zh-CN"/>
                    </w:rPr>
                    <w:t>环评批复文件和竣工验收文件/</w:t>
                  </w:r>
                  <w:r>
                    <w:rPr>
                      <w:rFonts w:hint="eastAsia" w:ascii="Times New Roman" w:hAnsi="Times New Roman" w:cs="Times New Roman"/>
                      <w:sz w:val="21"/>
                      <w:szCs w:val="21"/>
                      <w:lang w:val="en-US" w:eastAsia="zh-CN"/>
                    </w:rPr>
                    <w:t xml:space="preserve">现状评估文件；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②废气治理设施运行管理规程；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③一年内废气监测报告；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④国家版排污许可证，并按要求开展自行监测和信息披露，有规范的排气筒监测平台和排污口标识。 </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rPr>
                  </w:pPr>
                  <w:r>
                    <w:rPr>
                      <w:rFonts w:hint="eastAsia" w:cs="Times New Roman"/>
                      <w:sz w:val="21"/>
                      <w:szCs w:val="21"/>
                      <w:lang w:val="en-US" w:eastAsia="zh-CN"/>
                    </w:rPr>
                    <w:t>本项目建设以后严格按照此标准执行。</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7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台账记录信息完整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①</w:t>
                  </w:r>
                  <w:r>
                    <w:rPr>
                      <w:rFonts w:hint="default" w:ascii="Times New Roman" w:hAnsi="Times New Roman" w:cs="Times New Roman"/>
                      <w:sz w:val="21"/>
                      <w:szCs w:val="21"/>
                      <w:lang w:val="en-US" w:eastAsia="zh-CN"/>
                    </w:rPr>
                    <w:t>生产设施运行管理信息（生产时间、 运行负荷、产品产</w:t>
                  </w:r>
                  <w:r>
                    <w:rPr>
                      <w:rFonts w:hint="eastAsia" w:ascii="Times New Roman" w:hAnsi="Times New Roman" w:cs="Times New Roman"/>
                      <w:sz w:val="21"/>
                      <w:szCs w:val="21"/>
                      <w:lang w:val="en-US" w:eastAsia="zh-CN"/>
                    </w:rPr>
                    <w:t xml:space="preserve">量等）；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②废气污染治理设施运行管理信息（除尘滤料、活性炭等更换量和时间）；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③监测记录信息（主要污染排放口废气排放记录（手工监测和在线监测）等）；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④主要原辅材料、燃料消耗记录（</w:t>
                  </w:r>
                  <w:r>
                    <w:rPr>
                      <w:rFonts w:hint="default" w:ascii="Times New Roman" w:hAnsi="Times New Roman" w:cs="Times New Roman"/>
                      <w:sz w:val="21"/>
                      <w:szCs w:val="21"/>
                      <w:lang w:val="en-US" w:eastAsia="zh-CN"/>
                    </w:rPr>
                    <w:t>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B </w:t>
                  </w:r>
                  <w:r>
                    <w:rPr>
                      <w:rFonts w:hint="eastAsia" w:ascii="Times New Roman" w:hAnsi="Times New Roman" w:cs="Times New Roman"/>
                      <w:sz w:val="21"/>
                      <w:szCs w:val="21"/>
                      <w:lang w:val="en-US" w:eastAsia="zh-CN"/>
                    </w:rPr>
                    <w:t xml:space="preserve">级企业必需）；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⑤电消耗记录（已安装用电监管设备的 </w:t>
                  </w:r>
                  <w:r>
                    <w:rPr>
                      <w:rFonts w:hint="default" w:ascii="Times New Roman" w:hAnsi="Times New Roman" w:cs="Times New Roman"/>
                      <w:sz w:val="21"/>
                      <w:szCs w:val="21"/>
                      <w:lang w:val="en-US" w:eastAsia="zh-CN"/>
                    </w:rPr>
                    <w:t>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B </w:t>
                  </w:r>
                  <w:r>
                    <w:rPr>
                      <w:rFonts w:hint="eastAsia" w:ascii="Times New Roman" w:hAnsi="Times New Roman" w:cs="Times New Roman"/>
                      <w:sz w:val="21"/>
                      <w:szCs w:val="21"/>
                      <w:lang w:val="en-US" w:eastAsia="zh-CN"/>
                    </w:rPr>
                    <w:t xml:space="preserve">级企业必需）。 </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cs="Times New Roman"/>
                      <w:sz w:val="21"/>
                      <w:szCs w:val="21"/>
                      <w:lang w:val="en-US" w:eastAsia="zh-CN"/>
                    </w:rPr>
                    <w:t>本项目建设以后严格按照此标准执行。</w:t>
                  </w:r>
                  <w:r>
                    <w:rPr>
                      <w:rFonts w:hint="eastAsia" w:ascii="Times New Roman" w:hAnsi="Times New Roman" w:cs="Times New Roman"/>
                      <w:sz w:val="21"/>
                      <w:szCs w:val="21"/>
                      <w:lang w:val="en-US" w:eastAsia="zh-CN"/>
                    </w:rPr>
                    <w:t xml:space="preserve"> </w:t>
                  </w:r>
                </w:p>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rPr>
                  </w:pP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7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人员配置合理</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配备专/</w:t>
                  </w:r>
                  <w:r>
                    <w:rPr>
                      <w:rFonts w:hint="eastAsia" w:ascii="Times New Roman" w:hAnsi="Times New Roman" w:cs="Times New Roman"/>
                      <w:sz w:val="21"/>
                      <w:szCs w:val="21"/>
                      <w:lang w:val="en-US" w:eastAsia="zh-CN"/>
                    </w:rPr>
                    <w:t xml:space="preserve">兼职环保人员，并具备相应的环境管理能力（学历、培训、从业经验等）。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配备专/</w:t>
                  </w:r>
                  <w:r>
                    <w:rPr>
                      <w:rFonts w:hint="eastAsia" w:ascii="Times New Roman" w:hAnsi="Times New Roman" w:cs="Times New Roman"/>
                      <w:sz w:val="21"/>
                      <w:szCs w:val="21"/>
                      <w:lang w:val="en-US" w:eastAsia="zh-CN"/>
                    </w:rPr>
                    <w:t xml:space="preserve">兼职环保人员，并具备相应的环境管理能力（学历、培训、从业经验等）。 </w:t>
                  </w:r>
                </w:p>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rPr>
                  </w:pP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74"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其他控制要求</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生产工艺和装备</w:t>
                  </w: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不属于《产业结构调整指导目录（2019 </w:t>
                  </w:r>
                  <w:r>
                    <w:rPr>
                      <w:rFonts w:hint="eastAsia" w:ascii="Times New Roman" w:hAnsi="Times New Roman" w:cs="Times New Roman"/>
                      <w:sz w:val="21"/>
                      <w:szCs w:val="21"/>
                      <w:lang w:val="en-US" w:eastAsia="zh-CN"/>
                    </w:rPr>
                    <w:t>年版）》淘汰类，</w:t>
                  </w:r>
                  <w:r>
                    <w:rPr>
                      <w:rFonts w:hint="default" w:ascii="Times New Roman" w:hAnsi="Times New Roman" w:cs="Times New Roman"/>
                      <w:sz w:val="21"/>
                      <w:szCs w:val="21"/>
                      <w:lang w:val="en-US" w:eastAsia="zh-CN"/>
                    </w:rPr>
                    <w:t>不属于省级和市级政府部门明确列入已经限期淘汰类项目。</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不属于《产业结构调整指导目录（2019 </w:t>
                  </w:r>
                  <w:r>
                    <w:rPr>
                      <w:rFonts w:hint="eastAsia" w:ascii="Times New Roman" w:hAnsi="Times New Roman" w:cs="Times New Roman"/>
                      <w:sz w:val="21"/>
                      <w:szCs w:val="21"/>
                      <w:lang w:val="en-US" w:eastAsia="zh-CN"/>
                    </w:rPr>
                    <w:t>年版）》淘汰类，</w:t>
                  </w:r>
                  <w:r>
                    <w:rPr>
                      <w:rFonts w:hint="default" w:ascii="Times New Roman" w:hAnsi="Times New Roman" w:cs="Times New Roman"/>
                      <w:sz w:val="21"/>
                      <w:szCs w:val="21"/>
                      <w:lang w:val="en-US" w:eastAsia="zh-CN"/>
                    </w:rPr>
                    <w:t>不属于省级和市级政府部门明确列入已经限期淘汰类项目。</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7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污染治理副产物</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除尘器应设置密闭灰仓并及时卸灰，除尘灰应通过气力输</w:t>
                  </w:r>
                  <w:r>
                    <w:rPr>
                      <w:rFonts w:hint="eastAsia" w:ascii="Times New Roman" w:hAnsi="Times New Roman" w:cs="Times New Roman"/>
                      <w:sz w:val="21"/>
                      <w:szCs w:val="21"/>
                      <w:lang w:val="en-US" w:eastAsia="zh-CN"/>
                    </w:rPr>
                    <w:t>送、罐车、袋子等封闭方式卸灰，不得直接卸落到地面。除尘灰如果转运应采用气力输送、封闭传送带方式，如果直接外运应采用罐车或袋装后运输，并在装车过程中采取抑尘措施，除尘灰在厂区内应密闭</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封闭储存；脱硫石膏和脱硫废渣等固体废物在转运过程中应采取抑尘措施并应封闭储存</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除尘器设置密闭灰仓并及时卸灰，除尘灰通过</w:t>
                  </w:r>
                  <w:r>
                    <w:rPr>
                      <w:rFonts w:hint="eastAsia" w:ascii="Times New Roman" w:hAnsi="Times New Roman" w:cs="Times New Roman"/>
                      <w:sz w:val="21"/>
                      <w:szCs w:val="21"/>
                      <w:lang w:val="en-US" w:eastAsia="zh-CN"/>
                    </w:rPr>
                    <w:t>封闭方式卸灰，不直接卸落到地面。</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用电量/</w:t>
                  </w:r>
                  <w:r>
                    <w:rPr>
                      <w:rFonts w:hint="eastAsia" w:ascii="Times New Roman" w:hAnsi="Times New Roman" w:cs="Times New Roman"/>
                      <w:sz w:val="21"/>
                      <w:szCs w:val="21"/>
                      <w:lang w:val="en-US" w:eastAsia="zh-CN"/>
                    </w:rPr>
                    <w:t xml:space="preserve">视频监管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按照《河南省涉气排污单位污染治理设施用电监管技术指南</w:t>
                  </w:r>
                  <w:r>
                    <w:rPr>
                      <w:rFonts w:hint="eastAsia" w:ascii="Times New Roman" w:hAnsi="Times New Roman" w:cs="Times New Roman"/>
                      <w:sz w:val="21"/>
                      <w:szCs w:val="21"/>
                      <w:lang w:val="en-US" w:eastAsia="zh-CN"/>
                    </w:rPr>
                    <w:t xml:space="preserve">（试行）》要求安装用电监管设备（有自动在线监控系统的企业除外），用电监管数据直接上传至省、市生态环境部门的污染治理设施用电监管平台服务器；未安装自动在线监控和用电量监管拟申报 </w:t>
                  </w:r>
                  <w:r>
                    <w:rPr>
                      <w:rFonts w:hint="default" w:ascii="Times New Roman" w:hAnsi="Times New Roman" w:cs="Times New Roman"/>
                      <w:sz w:val="21"/>
                      <w:szCs w:val="21"/>
                      <w:lang w:val="en-US" w:eastAsia="zh-CN"/>
                    </w:rPr>
                    <w:t>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B </w:t>
                  </w:r>
                  <w:r>
                    <w:rPr>
                      <w:rFonts w:hint="eastAsia" w:ascii="Times New Roman" w:hAnsi="Times New Roman" w:cs="Times New Roman"/>
                      <w:sz w:val="21"/>
                      <w:szCs w:val="21"/>
                      <w:lang w:val="en-US" w:eastAsia="zh-CN"/>
                    </w:rPr>
                    <w:t xml:space="preserve">级企业，应在主要生产设备（投料口、卸料口等位置）安装视频监控设施，相关数据保存三个月以上。 </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按照《河南省涉气排污单位污染治理设施用电监管技术指南</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（试行）》要求安装用电监管设备（有自动在线监控系统的企业除外），用电监管数据直接上传至省、市生态环境部门的污染治理设施用电监管平台服务器，相关数据保存三个月以上。 </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7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厂容厂貌</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30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厂区内道路、原辅材料和燃料堆场等路面应硬化。厂区内道</w:t>
                  </w:r>
                  <w:r>
                    <w:rPr>
                      <w:rFonts w:hint="eastAsia" w:ascii="Times New Roman" w:hAnsi="Times New Roman" w:cs="Times New Roman"/>
                      <w:sz w:val="21"/>
                      <w:szCs w:val="21"/>
                      <w:lang w:val="en-US" w:eastAsia="zh-CN"/>
                    </w:rPr>
                    <w:t>路采取定期清扫、洒水等措施，保持清洁，路面无明显可见积尘。其他未利用地优先绿化，或进行硬化，无成片裸露土地。</w:t>
                  </w:r>
                </w:p>
              </w:tc>
              <w:tc>
                <w:tcPr>
                  <w:tcW w:w="1581"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厂区内道路、原辅材料等路面应硬化。厂区内道</w:t>
                  </w:r>
                  <w:r>
                    <w:rPr>
                      <w:rFonts w:hint="eastAsia" w:ascii="Times New Roman" w:hAnsi="Times New Roman" w:cs="Times New Roman"/>
                      <w:color w:val="000000" w:themeColor="text1"/>
                      <w:sz w:val="21"/>
                      <w:szCs w:val="21"/>
                      <w:lang w:val="en-US" w:eastAsia="zh-CN"/>
                      <w14:textFill>
                        <w14:solidFill>
                          <w14:schemeClr w14:val="tx1"/>
                        </w14:solidFill>
                      </w14:textFill>
                    </w:rPr>
                    <w:t>路采取定期清扫、洒水等措施，保持清洁，路面无明显可见积尘。其他未利用地优先绿化，或进行硬化，无成片裸露土地。</w:t>
                  </w:r>
                </w:p>
              </w:tc>
              <w:tc>
                <w:tcPr>
                  <w:tcW w:w="421"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bl>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default" w:ascii="Times New Roman" w:hAnsi="Times New Roman" w:eastAsia="宋体" w:cs="Times New Roman"/>
                <w:color w:val="FF0000"/>
                <w:kern w:val="0"/>
                <w:sz w:val="21"/>
                <w:szCs w:val="20"/>
                <w:lang w:val="en-US" w:eastAsia="zh-CN" w:bidi="ar-SA"/>
              </w:rPr>
            </w:pPr>
          </w:p>
        </w:tc>
      </w:tr>
    </w:tbl>
    <w:p>
      <w:pPr>
        <w:spacing w:line="360" w:lineRule="auto"/>
        <w:outlineLvl w:val="0"/>
        <w:rPr>
          <w:rFonts w:eastAsia="黑体"/>
          <w:color w:val="FF0000"/>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二、建设项目工程分析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82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23"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FF0000"/>
                <w:kern w:val="0"/>
                <w:sz w:val="21"/>
                <w:szCs w:val="21"/>
                <w:lang w:val="en-US" w:eastAsia="zh-CN" w:bidi="ar-SA"/>
              </w:rPr>
            </w:pPr>
            <w:r>
              <w:rPr>
                <w:rFonts w:hint="eastAsia" w:ascii="宋体" w:hAnsi="宋体" w:eastAsia="宋体" w:cs="宋体"/>
                <w:color w:val="auto"/>
                <w:kern w:val="0"/>
                <w:sz w:val="21"/>
                <w:szCs w:val="21"/>
                <w:lang w:val="en-US" w:eastAsia="zh-CN" w:bidi="ar-SA"/>
              </w:rPr>
              <w:t>建设内容</w:t>
            </w:r>
          </w:p>
        </w:tc>
        <w:tc>
          <w:tcPr>
            <w:tcW w:w="8161"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eastAsia"/>
                <w:lang w:val="en-US" w:eastAsia="zh-CN"/>
              </w:rPr>
            </w:pPr>
            <w:r>
              <w:rPr>
                <w:rFonts w:hint="default" w:ascii="Times New Roman" w:hAnsi="Times New Roman" w:eastAsia="宋体" w:cs="Times New Roman"/>
                <w:sz w:val="21"/>
                <w:szCs w:val="21"/>
              </w:rPr>
              <w:t>本项目</w:t>
            </w:r>
            <w:r>
              <w:rPr>
                <w:rFonts w:hint="eastAsia" w:cs="Times New Roman"/>
                <w:sz w:val="21"/>
                <w:szCs w:val="21"/>
                <w:lang w:val="en-US" w:eastAsia="zh-CN"/>
              </w:rPr>
              <w:t>租赁现有厂房，</w:t>
            </w:r>
            <w:r>
              <w:rPr>
                <w:rFonts w:hint="default" w:ascii="Times New Roman" w:hAnsi="Times New Roman" w:eastAsia="宋体" w:cs="Times New Roman"/>
                <w:sz w:val="21"/>
                <w:szCs w:val="21"/>
              </w:rPr>
              <w:t>选址位于河南省新乡市新乡县七里营镇李台村南3号。</w:t>
            </w:r>
            <w:r>
              <w:rPr>
                <w:rFonts w:hint="eastAsia"/>
                <w:lang w:eastAsia="zh-CN"/>
              </w:rPr>
              <w:t>根据市场行情，拟投资</w:t>
            </w:r>
            <w:r>
              <w:rPr>
                <w:rFonts w:hint="eastAsia"/>
                <w:lang w:val="en-US" w:eastAsia="zh-CN"/>
              </w:rPr>
              <w:t>100万元，建设腐植酸钾尾料再生循环利用项目，年产5000吨腐植酸钾颗粒。该产品用途广泛，可用于改良土壤，促进作物生长，改善作物品质，还可用作石油钻井液的处理剂，起防止井壁坍塌的作用等行业。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eastAsia" w:cs="Times New Roman"/>
                <w:sz w:val="21"/>
                <w:szCs w:val="21"/>
                <w:lang w:val="en-US" w:eastAsia="zh-CN"/>
              </w:rPr>
            </w:pPr>
            <w:r>
              <w:rPr>
                <w:rFonts w:hint="eastAsia" w:cs="Times New Roman"/>
                <w:sz w:val="21"/>
                <w:szCs w:val="21"/>
                <w:lang w:val="en-US" w:eastAsia="zh-CN"/>
              </w:rPr>
              <w:t>按照《中华人民共和国环境保护法》、《中华人民共和国环境影响评价法》以及国务院第682号令的要求，</w:t>
            </w:r>
            <w:r>
              <w:rPr>
                <w:rFonts w:hint="eastAsia" w:ascii="Times New Roman" w:hAnsi="Times New Roman" w:eastAsia="宋体"/>
                <w:lang w:val="en-US" w:eastAsia="zh-CN"/>
              </w:rPr>
              <w:t>新乡县沃丰农资有限公司腐植酸钾尾料再生循环利用</w:t>
            </w:r>
            <w:r>
              <w:rPr>
                <w:rFonts w:hint="eastAsia" w:cs="Times New Roman"/>
                <w:sz w:val="21"/>
                <w:szCs w:val="21"/>
                <w:lang w:val="en-US" w:eastAsia="zh-CN"/>
              </w:rPr>
              <w:t>项目应进行环境影响评价。依据《建设项目环境影响评价分类管理名录》（2021年版）规定，本项目属于</w:t>
            </w:r>
            <w:r>
              <w:rPr>
                <w:rFonts w:hint="default" w:ascii="Times New Roman" w:hAnsi="Times New Roman" w:eastAsia="宋体" w:cs="Times New Roman"/>
                <w:color w:val="auto"/>
                <w:sz w:val="21"/>
                <w:szCs w:val="21"/>
                <w:lang w:val="en-US" w:eastAsia="zh-CN"/>
              </w:rPr>
              <w:t>四十七</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生态保护和环境治理业</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：第</w:t>
            </w:r>
            <w:r>
              <w:rPr>
                <w:rFonts w:hint="eastAsia" w:ascii="Times New Roman" w:hAnsi="Times New Roman" w:eastAsia="宋体" w:cs="Times New Roman"/>
                <w:color w:val="auto"/>
                <w:sz w:val="21"/>
                <w:szCs w:val="21"/>
                <w:lang w:val="en-US" w:eastAsia="zh-CN"/>
              </w:rPr>
              <w:t>103</w:t>
            </w:r>
            <w:r>
              <w:rPr>
                <w:rFonts w:hint="default" w:ascii="Times New Roman" w:hAnsi="Times New Roman" w:eastAsia="宋体" w:cs="Times New Roman"/>
                <w:color w:val="auto"/>
                <w:sz w:val="21"/>
                <w:szCs w:val="21"/>
              </w:rPr>
              <w:t>条</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一般工业固体废物（含污水处理污泥）、建筑施工废弃物处置及综合利用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其他</w:t>
            </w:r>
            <w:r>
              <w:rPr>
                <w:rFonts w:hint="eastAsia" w:ascii="Times New Roman" w:hAnsi="Times New Roman" w:eastAsia="宋体" w:cs="Times New Roman"/>
                <w:color w:val="auto"/>
                <w:sz w:val="21"/>
                <w:szCs w:val="21"/>
                <w:lang w:eastAsia="zh-CN"/>
              </w:rPr>
              <w:t>”</w:t>
            </w:r>
            <w:r>
              <w:rPr>
                <w:rFonts w:hint="eastAsia" w:cs="Times New Roman"/>
                <w:sz w:val="21"/>
                <w:szCs w:val="21"/>
                <w:lang w:val="en-US" w:eastAsia="zh-CN"/>
              </w:rPr>
              <w:t>，应编制环境影响评价报告表。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default" w:ascii="Times New Roman" w:hAnsi="Times New Roman" w:eastAsia="宋体" w:cs="Times New Roman"/>
                <w:color w:val="auto"/>
                <w:sz w:val="21"/>
                <w:szCs w:val="21"/>
                <w:lang w:val="en-US" w:eastAsia="zh-CN"/>
              </w:rPr>
            </w:pPr>
            <w:r>
              <w:rPr>
                <w:rFonts w:hint="eastAsia"/>
                <w:lang w:val="en-US" w:eastAsia="zh-CN"/>
              </w:rPr>
              <w:t>本项目</w:t>
            </w:r>
            <w:r>
              <w:rPr>
                <w:rFonts w:hint="eastAsia" w:cs="Times New Roman"/>
                <w:sz w:val="21"/>
                <w:szCs w:val="21"/>
                <w:lang w:val="en-US" w:eastAsia="zh-CN"/>
              </w:rPr>
              <w:t>主体工程为生产车间、仓库、办公室等，</w:t>
            </w:r>
            <w:r>
              <w:rPr>
                <w:rFonts w:hint="default" w:ascii="Times New Roman" w:hAnsi="Times New Roman" w:eastAsia="宋体" w:cs="Times New Roman"/>
                <w:sz w:val="21"/>
                <w:szCs w:val="21"/>
              </w:rPr>
              <w:t>项目的基本情况见</w:t>
            </w:r>
            <w:r>
              <w:rPr>
                <w:rFonts w:hint="eastAsia" w:ascii="Times New Roman" w:hAnsi="Times New Roman" w:eastAsia="宋体" w:cs="Times New Roman"/>
                <w:sz w:val="21"/>
                <w:szCs w:val="21"/>
                <w:lang w:eastAsia="zh-CN"/>
              </w:rPr>
              <w:t>下</w:t>
            </w:r>
            <w:r>
              <w:rPr>
                <w:rFonts w:hint="default" w:ascii="Times New Roman" w:hAnsi="Times New Roman" w:eastAsia="宋体" w:cs="Times New Roman"/>
                <w:sz w:val="21"/>
                <w:szCs w:val="21"/>
              </w:rPr>
              <w:t>表</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项目组成及建设情况</w:t>
            </w:r>
          </w:p>
          <w:p>
            <w:pPr>
              <w:pStyle w:val="31"/>
              <w:bidi w:val="0"/>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工程组成一览表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36"/>
              <w:gridCol w:w="1188"/>
              <w:gridCol w:w="4677"/>
              <w:gridCol w:w="1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pt-BR" w:eastAsia="zh-CN"/>
                    </w:rPr>
                  </w:pPr>
                  <w:r>
                    <w:rPr>
                      <w:rFonts w:hint="default" w:ascii="Times New Roman" w:hAnsi="Times New Roman" w:eastAsia="宋体" w:cs="Times New Roman"/>
                      <w:b/>
                      <w:bCs/>
                      <w:color w:val="auto"/>
                      <w:sz w:val="21"/>
                      <w:szCs w:val="21"/>
                      <w:lang w:val="zh-CN" w:eastAsia="zh-CN"/>
                    </w:rPr>
                    <w:t>类别</w:t>
                  </w: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pt-BR" w:eastAsia="zh-CN"/>
                    </w:rPr>
                  </w:pPr>
                  <w:r>
                    <w:rPr>
                      <w:rFonts w:hint="default" w:ascii="Times New Roman" w:hAnsi="Times New Roman" w:eastAsia="宋体" w:cs="Times New Roman"/>
                      <w:b/>
                      <w:bCs/>
                      <w:color w:val="auto"/>
                      <w:sz w:val="21"/>
                      <w:szCs w:val="21"/>
                      <w:lang w:val="zh-CN" w:eastAsia="zh-CN"/>
                    </w:rPr>
                    <w:t>名称</w:t>
                  </w:r>
                </w:p>
              </w:tc>
              <w:tc>
                <w:tcPr>
                  <w:tcW w:w="290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pt-BR" w:eastAsia="zh-CN"/>
                    </w:rPr>
                  </w:pPr>
                  <w:r>
                    <w:rPr>
                      <w:rFonts w:hint="default" w:ascii="Times New Roman" w:hAnsi="Times New Roman" w:eastAsia="宋体" w:cs="Times New Roman"/>
                      <w:b/>
                      <w:bCs/>
                      <w:color w:val="auto"/>
                      <w:sz w:val="21"/>
                      <w:szCs w:val="21"/>
                      <w:lang w:val="zh-CN" w:eastAsia="zh-CN"/>
                    </w:rPr>
                    <w:t>建设内容</w:t>
                  </w:r>
                </w:p>
              </w:tc>
              <w:tc>
                <w:tcPr>
                  <w:tcW w:w="89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zh-CN" w:eastAsia="zh-CN"/>
                    </w:rPr>
                    <w:t>主体工程</w:t>
                  </w: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办公室</w:t>
                  </w:r>
                </w:p>
              </w:tc>
              <w:tc>
                <w:tcPr>
                  <w:tcW w:w="2909" w:type="pct"/>
                  <w:noWrap w:val="0"/>
                  <w:tcMar>
                    <w:top w:w="85" w:type="dxa"/>
                    <w:bottom w:w="85" w:type="dxa"/>
                  </w:tcMar>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highlight w:val="none"/>
                      <w:lang w:val="en-US" w:eastAsia="zh-CN"/>
                    </w:rPr>
                    <w:t>占地面积200m</w:t>
                  </w:r>
                  <w:r>
                    <w:rPr>
                      <w:rFonts w:hint="eastAsia" w:cs="Times New Roman"/>
                      <w:color w:val="auto"/>
                      <w:sz w:val="21"/>
                      <w:szCs w:val="21"/>
                      <w:highlight w:val="none"/>
                      <w:vertAlign w:val="superscript"/>
                      <w:lang w:val="en-US" w:eastAsia="zh-CN"/>
                    </w:rPr>
                    <w:t>2</w:t>
                  </w:r>
                </w:p>
              </w:tc>
              <w:tc>
                <w:tcPr>
                  <w:tcW w:w="893" w:type="pct"/>
                  <w:vMerge w:val="restart"/>
                  <w:noWrap w:val="0"/>
                  <w:tcMar>
                    <w:top w:w="85" w:type="dxa"/>
                    <w:bottom w:w="85" w:type="dxa"/>
                  </w:tcMar>
                  <w:vAlign w:val="center"/>
                </w:tcPr>
                <w:p>
                  <w:pPr>
                    <w:keepNext w:val="0"/>
                    <w:keepLines w:val="0"/>
                    <w:widowControl/>
                    <w:suppressLineNumbers w:val="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租赁现有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生产车间</w:t>
                  </w:r>
                </w:p>
              </w:tc>
              <w:tc>
                <w:tcPr>
                  <w:tcW w:w="2909" w:type="pct"/>
                  <w:noWrap w:val="0"/>
                  <w:tcMar>
                    <w:top w:w="85" w:type="dxa"/>
                    <w:bottom w:w="85" w:type="dxa"/>
                  </w:tcMar>
                  <w:vAlign w:val="center"/>
                </w:tcPr>
                <w:p>
                  <w:pPr>
                    <w:keepNext w:val="0"/>
                    <w:keepLines w:val="0"/>
                    <w:widowControl/>
                    <w:suppressLineNumbers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占地面积300m</w:t>
                  </w:r>
                  <w:r>
                    <w:rPr>
                      <w:rFonts w:hint="eastAsia" w:cs="Times New Roman"/>
                      <w:color w:val="auto"/>
                      <w:sz w:val="21"/>
                      <w:szCs w:val="21"/>
                      <w:highlight w:val="none"/>
                      <w:vertAlign w:val="superscript"/>
                      <w:lang w:val="en-US" w:eastAsia="zh-CN"/>
                    </w:rPr>
                    <w:t>2</w:t>
                  </w:r>
                </w:p>
              </w:tc>
              <w:tc>
                <w:tcPr>
                  <w:tcW w:w="893" w:type="pct"/>
                  <w:vMerge w:val="continue"/>
                  <w:noWrap w:val="0"/>
                  <w:tcMar>
                    <w:top w:w="85" w:type="dxa"/>
                    <w:bottom w:w="85" w:type="dxa"/>
                  </w:tcMar>
                  <w:vAlign w:val="center"/>
                </w:tcPr>
                <w:p>
                  <w:pPr>
                    <w:keepNext w:val="0"/>
                    <w:keepLines w:val="0"/>
                    <w:widowControl/>
                    <w:suppressLineNumbers w:val="0"/>
                    <w:jc w:val="center"/>
                    <w:rPr>
                      <w:rFonts w:hint="eastAsia"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r>
                    <w:rPr>
                      <w:rFonts w:hint="default" w:ascii="Times New Roman" w:hAnsi="Times New Roman" w:eastAsia="宋体" w:cs="Times New Roman"/>
                      <w:b w:val="0"/>
                      <w:bCs w:val="0"/>
                      <w:color w:val="auto"/>
                      <w:sz w:val="21"/>
                      <w:szCs w:val="21"/>
                      <w:lang w:val="zh-CN" w:eastAsia="zh-CN"/>
                    </w:rPr>
                    <w:t>辅助工程</w:t>
                  </w: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原料仓库</w:t>
                  </w:r>
                </w:p>
              </w:tc>
              <w:tc>
                <w:tcPr>
                  <w:tcW w:w="2909" w:type="pct"/>
                  <w:noWrap w:val="0"/>
                  <w:tcMar>
                    <w:top w:w="85" w:type="dxa"/>
                    <w:bottom w:w="85" w:type="dxa"/>
                  </w:tcMar>
                  <w:vAlign w:val="center"/>
                </w:tcPr>
                <w:p>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占地面积495m</w:t>
                  </w:r>
                  <w:r>
                    <w:rPr>
                      <w:rFonts w:hint="eastAsia" w:cs="Times New Roman"/>
                      <w:color w:val="auto"/>
                      <w:kern w:val="2"/>
                      <w:sz w:val="21"/>
                      <w:szCs w:val="21"/>
                      <w:highlight w:val="none"/>
                      <w:vertAlign w:val="superscript"/>
                      <w:lang w:val="en-US" w:eastAsia="zh-CN" w:bidi="ar-SA"/>
                    </w:rPr>
                    <w:t>2</w:t>
                  </w:r>
                </w:p>
              </w:tc>
              <w:tc>
                <w:tcPr>
                  <w:tcW w:w="893" w:type="pct"/>
                  <w:vMerge w:val="continue"/>
                  <w:noWrap w:val="0"/>
                  <w:tcMar>
                    <w:top w:w="85" w:type="dxa"/>
                    <w:bottom w:w="85" w:type="dxa"/>
                  </w:tcMar>
                  <w:vAlign w:val="center"/>
                </w:tcPr>
                <w:p>
                  <w:pPr>
                    <w:keepNext w:val="0"/>
                    <w:keepLines w:val="0"/>
                    <w:widowControl/>
                    <w:suppressLineNumbers w:val="0"/>
                    <w:jc w:val="center"/>
                    <w:rPr>
                      <w:rFonts w:hint="eastAsia"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成品仓库</w:t>
                  </w:r>
                </w:p>
              </w:tc>
              <w:tc>
                <w:tcPr>
                  <w:tcW w:w="2909" w:type="pct"/>
                  <w:noWrap w:val="0"/>
                  <w:tcMar>
                    <w:top w:w="85" w:type="dxa"/>
                    <w:bottom w:w="85" w:type="dxa"/>
                  </w:tcMar>
                  <w:vAlign w:val="center"/>
                </w:tcPr>
                <w:p>
                  <w:pPr>
                    <w:keepNext w:val="0"/>
                    <w:keepLines w:val="0"/>
                    <w:widowControl/>
                    <w:suppressLineNumbers w:val="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占地面积495m</w:t>
                  </w:r>
                  <w:r>
                    <w:rPr>
                      <w:rFonts w:hint="eastAsia" w:cs="Times New Roman"/>
                      <w:color w:val="auto"/>
                      <w:sz w:val="21"/>
                      <w:szCs w:val="21"/>
                      <w:highlight w:val="none"/>
                      <w:vertAlign w:val="superscript"/>
                      <w:lang w:val="en-US" w:eastAsia="zh-CN"/>
                    </w:rPr>
                    <w:t>2</w:t>
                  </w:r>
                </w:p>
              </w:tc>
              <w:tc>
                <w:tcPr>
                  <w:tcW w:w="893" w:type="pct"/>
                  <w:vMerge w:val="continue"/>
                  <w:noWrap w:val="0"/>
                  <w:tcMar>
                    <w:top w:w="85" w:type="dxa"/>
                    <w:bottom w:w="85" w:type="dxa"/>
                  </w:tcMar>
                  <w:vAlign w:val="center"/>
                </w:tcPr>
                <w:p>
                  <w:pPr>
                    <w:keepNext w:val="0"/>
                    <w:keepLines w:val="0"/>
                    <w:widowControl/>
                    <w:suppressLineNumbers w:val="0"/>
                    <w:jc w:val="center"/>
                    <w:rPr>
                      <w:rFonts w:hint="eastAsia"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r>
                    <w:rPr>
                      <w:rFonts w:hint="default" w:ascii="Times New Roman" w:hAnsi="Times New Roman" w:eastAsia="宋体" w:cs="Times New Roman"/>
                      <w:b w:val="0"/>
                      <w:bCs w:val="0"/>
                      <w:color w:val="auto"/>
                      <w:sz w:val="21"/>
                      <w:szCs w:val="21"/>
                      <w:lang w:val="zh-CN" w:eastAsia="zh-CN"/>
                    </w:rPr>
                    <w:t>公用工程</w:t>
                  </w: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pt-BR" w:eastAsia="zh-CN"/>
                    </w:rPr>
                    <w:t>供水工程</w:t>
                  </w:r>
                </w:p>
              </w:tc>
              <w:tc>
                <w:tcPr>
                  <w:tcW w:w="290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eastAsia" w:cs="Times New Roman"/>
                      <w:b w:val="0"/>
                      <w:bCs w:val="0"/>
                      <w:color w:val="auto"/>
                      <w:sz w:val="21"/>
                      <w:szCs w:val="21"/>
                      <w:lang w:val="en-US" w:eastAsia="zh-CN"/>
                    </w:rPr>
                    <w:t>七里营镇</w:t>
                  </w:r>
                  <w:r>
                    <w:rPr>
                      <w:rFonts w:hint="eastAsia" w:cs="Times New Roman"/>
                      <w:b w:val="0"/>
                      <w:bCs w:val="0"/>
                      <w:color w:val="auto"/>
                      <w:sz w:val="21"/>
                      <w:szCs w:val="21"/>
                      <w:lang w:val="pt-BR" w:eastAsia="zh-CN"/>
                    </w:rPr>
                    <w:t>供水</w:t>
                  </w:r>
                </w:p>
              </w:tc>
              <w:tc>
                <w:tcPr>
                  <w:tcW w:w="89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zh-CN" w:eastAsia="zh-CN"/>
                    </w:rPr>
                    <w:t>供电工程</w:t>
                  </w:r>
                </w:p>
              </w:tc>
              <w:tc>
                <w:tcPr>
                  <w:tcW w:w="290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七里营镇供电</w:t>
                  </w:r>
                </w:p>
              </w:tc>
              <w:tc>
                <w:tcPr>
                  <w:tcW w:w="89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zh-CN" w:eastAsia="zh-CN"/>
                    </w:rPr>
                    <w:t>环保工程</w:t>
                  </w: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pt-BR" w:eastAsia="zh-CN"/>
                    </w:rPr>
                    <w:t>废水治理</w:t>
                  </w:r>
                </w:p>
              </w:tc>
              <w:tc>
                <w:tcPr>
                  <w:tcW w:w="290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本项目生活废水依托现有化粪池处理后定期清运</w:t>
                  </w:r>
                </w:p>
              </w:tc>
              <w:tc>
                <w:tcPr>
                  <w:tcW w:w="89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8"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pt-BR" w:eastAsia="zh-CN"/>
                    </w:rPr>
                  </w:pPr>
                  <w:r>
                    <w:rPr>
                      <w:rFonts w:hint="default" w:ascii="Times New Roman" w:hAnsi="Times New Roman" w:eastAsia="宋体" w:cs="Times New Roman"/>
                      <w:b w:val="0"/>
                      <w:bCs w:val="0"/>
                      <w:color w:val="auto"/>
                      <w:sz w:val="21"/>
                      <w:szCs w:val="21"/>
                      <w:highlight w:val="none"/>
                      <w:lang w:val="pt-BR" w:eastAsia="zh-CN"/>
                    </w:rPr>
                    <w:t>废气治理</w:t>
                  </w:r>
                </w:p>
              </w:tc>
              <w:tc>
                <w:tcPr>
                  <w:tcW w:w="290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 xml:space="preserve"> 集气罩+1套</w:t>
                  </w:r>
                  <w:r>
                    <w:rPr>
                      <w:rFonts w:hint="eastAsia"/>
                      <w:color w:val="auto"/>
                      <w:lang w:val="en-US" w:eastAsia="zh-CN"/>
                    </w:rPr>
                    <w:t>袋式除尘器+15m高排气筒</w:t>
                  </w:r>
                </w:p>
              </w:tc>
              <w:tc>
                <w:tcPr>
                  <w:tcW w:w="89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8"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pt-BR" w:eastAsia="zh-CN"/>
                    </w:rPr>
                  </w:pPr>
                  <w:r>
                    <w:rPr>
                      <w:rFonts w:hint="default" w:ascii="Times New Roman" w:hAnsi="Times New Roman" w:eastAsia="宋体" w:cs="Times New Roman"/>
                      <w:b w:val="0"/>
                      <w:bCs w:val="0"/>
                      <w:color w:val="auto"/>
                      <w:sz w:val="21"/>
                      <w:szCs w:val="21"/>
                      <w:lang w:val="pt-BR" w:eastAsia="zh-CN"/>
                    </w:rPr>
                    <w:t>噪声</w:t>
                  </w:r>
                </w:p>
              </w:tc>
              <w:tc>
                <w:tcPr>
                  <w:tcW w:w="290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r>
                    <w:rPr>
                      <w:rFonts w:hint="default" w:ascii="Times New Roman" w:hAnsi="Times New Roman" w:eastAsia="宋体" w:cs="Times New Roman"/>
                      <w:b w:val="0"/>
                      <w:bCs w:val="0"/>
                      <w:color w:val="auto"/>
                      <w:sz w:val="21"/>
                      <w:szCs w:val="21"/>
                      <w:lang w:val="zh-CN" w:eastAsia="zh-CN"/>
                    </w:rPr>
                    <w:t>基础减振、距离衰减</w:t>
                  </w:r>
                </w:p>
              </w:tc>
              <w:tc>
                <w:tcPr>
                  <w:tcW w:w="89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8"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zh-CN" w:eastAsia="zh-CN"/>
                    </w:rPr>
                  </w:pPr>
                </w:p>
              </w:tc>
              <w:tc>
                <w:tcPr>
                  <w:tcW w:w="739"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pt-BR" w:eastAsia="zh-CN"/>
                    </w:rPr>
                  </w:pPr>
                  <w:r>
                    <w:rPr>
                      <w:rFonts w:hint="eastAsia" w:cs="Times New Roman"/>
                      <w:b w:val="0"/>
                      <w:bCs w:val="0"/>
                      <w:color w:val="auto"/>
                      <w:kern w:val="2"/>
                      <w:sz w:val="21"/>
                      <w:szCs w:val="21"/>
                      <w:lang w:val="en-US" w:eastAsia="zh-CN" w:bidi="ar-SA"/>
                    </w:rPr>
                    <w:t>一般固废间</w:t>
                  </w:r>
                </w:p>
              </w:tc>
              <w:tc>
                <w:tcPr>
                  <w:tcW w:w="2909" w:type="pct"/>
                  <w:noWrap w:val="0"/>
                  <w:tcMar>
                    <w:top w:w="85" w:type="dxa"/>
                    <w:bottom w:w="85" w:type="dxa"/>
                  </w:tcMar>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lang w:val="en-US" w:eastAsia="zh-CN"/>
                    </w:rPr>
                  </w:pPr>
                  <w:r>
                    <w:rPr>
                      <w:rFonts w:hint="eastAsia" w:cs="Times New Roman"/>
                      <w:color w:val="auto"/>
                      <w:kern w:val="2"/>
                      <w:sz w:val="21"/>
                      <w:szCs w:val="21"/>
                      <w:highlight w:val="none"/>
                      <w:lang w:val="en-US" w:eastAsia="zh-CN" w:bidi="ar-SA"/>
                    </w:rPr>
                    <w:t>储存原辅料废包装袋，占地面10m</w:t>
                  </w:r>
                  <w:r>
                    <w:rPr>
                      <w:rFonts w:hint="eastAsia" w:cs="Times New Roman"/>
                      <w:color w:val="auto"/>
                      <w:kern w:val="2"/>
                      <w:sz w:val="21"/>
                      <w:szCs w:val="21"/>
                      <w:highlight w:val="none"/>
                      <w:vertAlign w:val="superscript"/>
                      <w:lang w:val="en-US" w:eastAsia="zh-CN" w:bidi="ar-SA"/>
                    </w:rPr>
                    <w:t>2</w:t>
                  </w:r>
                </w:p>
              </w:tc>
              <w:tc>
                <w:tcPr>
                  <w:tcW w:w="89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新建</w:t>
                  </w:r>
                </w:p>
              </w:tc>
            </w:tr>
          </w:tbl>
          <w:p>
            <w:pPr>
              <w:keepNext w:val="0"/>
              <w:keepLines w:val="0"/>
              <w:suppressLineNumbers w:val="0"/>
              <w:spacing w:before="0" w:beforeAutospacing="0" w:after="0" w:afterAutospacing="0" w:line="520" w:lineRule="exact"/>
              <w:ind w:left="0" w:right="0" w:firstLine="422" w:firstLineChars="200"/>
              <w:rPr>
                <w:rFonts w:ascii="Times New Roman" w:hAnsi="Times New Roman"/>
                <w:b/>
                <w:bCs/>
                <w:color w:val="auto"/>
                <w:sz w:val="21"/>
                <w:szCs w:val="21"/>
              </w:rPr>
            </w:pPr>
            <w:r>
              <w:rPr>
                <w:rFonts w:hint="eastAsia" w:ascii="Times New Roman" w:hAnsi="Times New Roman"/>
                <w:b/>
                <w:bCs/>
                <w:color w:val="auto"/>
                <w:sz w:val="21"/>
                <w:szCs w:val="21"/>
                <w:lang w:val="en-US" w:eastAsia="zh-CN"/>
              </w:rPr>
              <w:t>2</w:t>
            </w:r>
            <w:r>
              <w:rPr>
                <w:rFonts w:ascii="Times New Roman" w:hAnsi="Times New Roman"/>
                <w:b/>
                <w:bCs/>
                <w:color w:val="auto"/>
                <w:sz w:val="21"/>
                <w:szCs w:val="21"/>
              </w:rPr>
              <w:t>、项目产品方案</w:t>
            </w:r>
          </w:p>
          <w:p>
            <w:pPr>
              <w:keepNext w:val="0"/>
              <w:keepLines w:val="0"/>
              <w:pageBreakBefore w:val="0"/>
              <w:widowControl w:val="0"/>
              <w:suppressLineNumbers w:val="0"/>
              <w:tabs>
                <w:tab w:val="center" w:pos="3972"/>
              </w:tabs>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default" w:ascii="Times New Roman" w:hAnsi="Times New Roman" w:eastAsia="宋体" w:cs="Times New Roman"/>
                <w:color w:val="auto"/>
                <w:sz w:val="21"/>
                <w:szCs w:val="21"/>
              </w:rPr>
            </w:pPr>
            <w:r>
              <w:rPr>
                <w:rFonts w:ascii="Times New Roman" w:hAnsi="Times New Roman"/>
                <w:color w:val="auto"/>
                <w:sz w:val="21"/>
                <w:szCs w:val="21"/>
              </w:rPr>
              <w:t>本项目产品、产量一</w:t>
            </w:r>
            <w:r>
              <w:rPr>
                <w:rFonts w:hint="default" w:ascii="Times New Roman" w:hAnsi="Times New Roman" w:eastAsia="宋体" w:cs="Times New Roman"/>
                <w:color w:val="auto"/>
                <w:sz w:val="21"/>
                <w:szCs w:val="21"/>
              </w:rPr>
              <w:t>览表见</w:t>
            </w:r>
            <w:r>
              <w:rPr>
                <w:rFonts w:hint="eastAsia" w:ascii="Times New Roman" w:hAnsi="Times New Roman" w:eastAsia="宋体" w:cs="Times New Roman"/>
                <w:color w:val="auto"/>
                <w:sz w:val="21"/>
                <w:szCs w:val="21"/>
                <w:lang w:eastAsia="zh-CN"/>
              </w:rPr>
              <w:t>下表</w:t>
            </w:r>
            <w:r>
              <w:rPr>
                <w:rFonts w:hint="default" w:ascii="Times New Roman" w:hAnsi="Times New Roman" w:eastAsia="宋体" w:cs="Times New Roman"/>
                <w:color w:val="auto"/>
                <w:sz w:val="21"/>
                <w:szCs w:val="21"/>
              </w:rPr>
              <w:t>。</w:t>
            </w:r>
          </w:p>
          <w:p>
            <w:pPr>
              <w:pStyle w:val="31"/>
              <w:bidi w:val="0"/>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产品种类、产量一览表</w:t>
            </w:r>
          </w:p>
          <w:tbl>
            <w:tblPr>
              <w:tblStyle w:val="18"/>
              <w:tblW w:w="7985"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559"/>
              <w:gridCol w:w="3572"/>
              <w:gridCol w:w="2438"/>
              <w:gridCol w:w="1416"/>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9" w:type="dxa"/>
                  <w:tcBorders>
                    <w:tl2br w:val="nil"/>
                    <w:tr2bl w:val="nil"/>
                  </w:tcBorders>
                  <w:tcMar>
                    <w:top w:w="0" w:type="dxa"/>
                    <w:left w:w="28" w:type="dxa"/>
                    <w:bottom w:w="0" w:type="dxa"/>
                    <w:right w:w="28" w:type="dxa"/>
                  </w:tcMar>
                  <w:vAlign w:val="center"/>
                </w:tcPr>
                <w:p>
                  <w:pPr>
                    <w:snapToGrid w:val="0"/>
                    <w:jc w:val="center"/>
                    <w:rPr>
                      <w:kern w:val="0"/>
                    </w:rPr>
                  </w:pPr>
                  <w:r>
                    <w:rPr>
                      <w:b/>
                      <w:color w:val="000000"/>
                    </w:rPr>
                    <w:t>序号</w:t>
                  </w:r>
                </w:p>
              </w:tc>
              <w:tc>
                <w:tcPr>
                  <w:tcW w:w="3572" w:type="dxa"/>
                  <w:tcBorders>
                    <w:tl2br w:val="nil"/>
                    <w:tr2bl w:val="nil"/>
                  </w:tcBorders>
                  <w:tcMar>
                    <w:top w:w="0" w:type="dxa"/>
                    <w:left w:w="28" w:type="dxa"/>
                    <w:bottom w:w="0" w:type="dxa"/>
                    <w:right w:w="28" w:type="dxa"/>
                  </w:tcMar>
                  <w:vAlign w:val="center"/>
                </w:tcPr>
                <w:p>
                  <w:pPr>
                    <w:snapToGrid w:val="0"/>
                    <w:jc w:val="center"/>
                    <w:rPr>
                      <w:kern w:val="0"/>
                    </w:rPr>
                  </w:pPr>
                  <w:r>
                    <w:rPr>
                      <w:b/>
                      <w:color w:val="000000"/>
                    </w:rPr>
                    <w:t>产品名称</w:t>
                  </w:r>
                </w:p>
              </w:tc>
              <w:tc>
                <w:tcPr>
                  <w:tcW w:w="2438" w:type="dxa"/>
                  <w:tcBorders>
                    <w:tl2br w:val="nil"/>
                    <w:tr2bl w:val="nil"/>
                  </w:tcBorders>
                  <w:tcMar>
                    <w:top w:w="0" w:type="dxa"/>
                    <w:left w:w="28" w:type="dxa"/>
                    <w:bottom w:w="0" w:type="dxa"/>
                    <w:right w:w="28" w:type="dxa"/>
                  </w:tcMar>
                  <w:vAlign w:val="center"/>
                </w:tcPr>
                <w:p>
                  <w:pPr>
                    <w:snapToGrid w:val="0"/>
                    <w:jc w:val="center"/>
                    <w:textAlignment w:val="baseline"/>
                    <w:rPr>
                      <w:kern w:val="0"/>
                    </w:rPr>
                  </w:pPr>
                  <w:r>
                    <w:rPr>
                      <w:rFonts w:hint="eastAsia"/>
                      <w:kern w:val="0"/>
                      <w:lang w:val="en-US" w:eastAsia="zh-CN"/>
                    </w:rPr>
                    <w:t>产量</w:t>
                  </w:r>
                </w:p>
              </w:tc>
              <w:tc>
                <w:tcPr>
                  <w:tcW w:w="1416"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9" w:type="dxa"/>
                  <w:tcBorders>
                    <w:tl2br w:val="nil"/>
                    <w:tr2bl w:val="nil"/>
                  </w:tcBorders>
                  <w:tcMar>
                    <w:top w:w="0" w:type="dxa"/>
                    <w:left w:w="28" w:type="dxa"/>
                    <w:bottom w:w="0" w:type="dxa"/>
                    <w:right w:w="28" w:type="dxa"/>
                  </w:tcMar>
                  <w:vAlign w:val="center"/>
                </w:tcPr>
                <w:p>
                  <w:pPr>
                    <w:snapToGrid w:val="0"/>
                    <w:jc w:val="center"/>
                    <w:textAlignment w:val="baseline"/>
                    <w:rPr>
                      <w:rFonts w:hint="eastAsia" w:eastAsia="宋体"/>
                      <w:kern w:val="0"/>
                      <w:lang w:eastAsia="zh-CN"/>
                    </w:rPr>
                  </w:pPr>
                  <w:r>
                    <w:rPr>
                      <w:rFonts w:hint="eastAsia"/>
                      <w:kern w:val="0"/>
                      <w:lang w:val="en-US" w:eastAsia="zh-CN"/>
                    </w:rPr>
                    <w:t>1</w:t>
                  </w:r>
                </w:p>
              </w:tc>
              <w:tc>
                <w:tcPr>
                  <w:tcW w:w="3572" w:type="dxa"/>
                  <w:tcBorders>
                    <w:tl2br w:val="nil"/>
                    <w:tr2bl w:val="nil"/>
                  </w:tcBorders>
                  <w:tcMar>
                    <w:top w:w="0" w:type="dxa"/>
                    <w:left w:w="28" w:type="dxa"/>
                    <w:bottom w:w="0" w:type="dxa"/>
                    <w:right w:w="28" w:type="dxa"/>
                  </w:tcMar>
                  <w:vAlign w:val="center"/>
                </w:tcPr>
                <w:p>
                  <w:pPr>
                    <w:snapToGrid w:val="0"/>
                    <w:jc w:val="center"/>
                    <w:textAlignment w:val="baseline"/>
                    <w:rPr>
                      <w:rFonts w:hint="default" w:eastAsia="宋体"/>
                      <w:kern w:val="0"/>
                      <w:lang w:val="en-US" w:eastAsia="zh-CN"/>
                    </w:rPr>
                  </w:pPr>
                  <w:r>
                    <w:rPr>
                      <w:rFonts w:hint="eastAsia"/>
                      <w:kern w:val="0"/>
                      <w:lang w:val="en-US" w:eastAsia="zh-CN"/>
                    </w:rPr>
                    <w:t>腐植酸钾颗粒</w:t>
                  </w:r>
                </w:p>
              </w:tc>
              <w:tc>
                <w:tcPr>
                  <w:tcW w:w="2438" w:type="dxa"/>
                  <w:tcBorders>
                    <w:tl2br w:val="nil"/>
                    <w:tr2bl w:val="nil"/>
                  </w:tcBorders>
                  <w:tcMar>
                    <w:top w:w="0" w:type="dxa"/>
                    <w:left w:w="28" w:type="dxa"/>
                    <w:bottom w:w="0" w:type="dxa"/>
                    <w:right w:w="28" w:type="dxa"/>
                  </w:tcMar>
                  <w:vAlign w:val="center"/>
                </w:tcPr>
                <w:p>
                  <w:pPr>
                    <w:snapToGrid w:val="0"/>
                    <w:jc w:val="center"/>
                    <w:textAlignment w:val="baseline"/>
                    <w:rPr>
                      <w:rFonts w:hint="eastAsia" w:eastAsia="宋体"/>
                      <w:kern w:val="0"/>
                      <w:lang w:eastAsia="zh-CN"/>
                    </w:rPr>
                  </w:pPr>
                  <w:r>
                    <w:rPr>
                      <w:rFonts w:hint="eastAsia"/>
                      <w:kern w:val="0"/>
                      <w:lang w:val="en-US" w:eastAsia="zh-CN"/>
                    </w:rPr>
                    <w:t>5000t</w:t>
                  </w:r>
                  <w:r>
                    <w:rPr>
                      <w:kern w:val="0"/>
                    </w:rPr>
                    <w:t>/</w:t>
                  </w:r>
                  <w:r>
                    <w:rPr>
                      <w:rFonts w:hint="eastAsia"/>
                      <w:kern w:val="0"/>
                      <w:lang w:val="en-US" w:eastAsia="zh-CN"/>
                    </w:rPr>
                    <w:t>a</w:t>
                  </w:r>
                </w:p>
              </w:tc>
              <w:tc>
                <w:tcPr>
                  <w:tcW w:w="1416"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袋装</w:t>
                  </w:r>
                </w:p>
              </w:tc>
            </w:tr>
          </w:tbl>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2" w:firstLineChars="200"/>
              <w:jc w:val="left"/>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原材料及能源消耗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eastAsia="zh-CN"/>
              </w:rPr>
              <w:t>所用原材料及能源</w:t>
            </w:r>
            <w:r>
              <w:rPr>
                <w:rFonts w:hint="default" w:ascii="Times New Roman" w:hAnsi="Times New Roman" w:eastAsia="宋体" w:cs="Times New Roman"/>
                <w:color w:val="auto"/>
                <w:sz w:val="21"/>
                <w:szCs w:val="21"/>
              </w:rPr>
              <w:t>见</w:t>
            </w:r>
            <w:r>
              <w:rPr>
                <w:rFonts w:hint="eastAsia" w:ascii="Times New Roman" w:hAnsi="Times New Roman" w:eastAsia="宋体" w:cs="Times New Roman"/>
                <w:color w:val="auto"/>
                <w:sz w:val="21"/>
                <w:szCs w:val="21"/>
                <w:lang w:eastAsia="zh-CN"/>
              </w:rPr>
              <w:t>下</w:t>
            </w:r>
            <w:r>
              <w:rPr>
                <w:rFonts w:hint="default" w:ascii="Times New Roman" w:hAnsi="Times New Roman" w:eastAsia="宋体" w:cs="Times New Roman"/>
                <w:color w:val="auto"/>
                <w:sz w:val="21"/>
                <w:szCs w:val="21"/>
              </w:rPr>
              <w:t>表。</w:t>
            </w:r>
          </w:p>
          <w:p>
            <w:pPr>
              <w:pStyle w:val="2"/>
              <w:rPr>
                <w:rFonts w:hint="default"/>
                <w:lang w:val="pt-BR"/>
              </w:rPr>
            </w:pPr>
          </w:p>
          <w:p>
            <w:pPr>
              <w:pStyle w:val="31"/>
              <w:bidi w:val="0"/>
              <w:rPr>
                <w:rFonts w:hint="default" w:ascii="Times New Roman" w:hAnsi="Times New Roman" w:eastAsia="宋体" w:cs="Times New Roman"/>
                <w:lang w:val="pt-BR" w:eastAsia="zh-CN"/>
              </w:rPr>
            </w:pP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lang w:val="en-US" w:eastAsia="zh-CN"/>
              </w:rPr>
              <w:t>原辅料</w:t>
            </w:r>
            <w:r>
              <w:rPr>
                <w:rFonts w:hint="default" w:ascii="Times New Roman" w:hAnsi="Times New Roman" w:eastAsia="宋体" w:cs="Times New Roman"/>
                <w:lang w:val="pt-BR" w:eastAsia="zh-CN"/>
              </w:rPr>
              <w:t>一览表</w:t>
            </w:r>
          </w:p>
          <w:tbl>
            <w:tblPr>
              <w:tblStyle w:val="18"/>
              <w:tblW w:w="7985"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559"/>
              <w:gridCol w:w="3572"/>
              <w:gridCol w:w="2438"/>
              <w:gridCol w:w="1416"/>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9" w:type="dxa"/>
                  <w:tcBorders>
                    <w:tl2br w:val="nil"/>
                    <w:tr2bl w:val="nil"/>
                  </w:tcBorders>
                  <w:tcMar>
                    <w:top w:w="0" w:type="dxa"/>
                    <w:left w:w="28" w:type="dxa"/>
                    <w:bottom w:w="0" w:type="dxa"/>
                    <w:right w:w="28" w:type="dxa"/>
                  </w:tcMar>
                  <w:vAlign w:val="center"/>
                </w:tcPr>
                <w:p>
                  <w:pPr>
                    <w:snapToGrid w:val="0"/>
                    <w:jc w:val="center"/>
                    <w:rPr>
                      <w:kern w:val="0"/>
                    </w:rPr>
                  </w:pPr>
                  <w:r>
                    <w:rPr>
                      <w:b/>
                      <w:color w:val="000000"/>
                    </w:rPr>
                    <w:t>序号</w:t>
                  </w:r>
                </w:p>
              </w:tc>
              <w:tc>
                <w:tcPr>
                  <w:tcW w:w="3572" w:type="dxa"/>
                  <w:tcBorders>
                    <w:tl2br w:val="nil"/>
                    <w:tr2bl w:val="nil"/>
                  </w:tcBorders>
                  <w:tcMar>
                    <w:top w:w="0" w:type="dxa"/>
                    <w:left w:w="28" w:type="dxa"/>
                    <w:bottom w:w="0" w:type="dxa"/>
                    <w:right w:w="28" w:type="dxa"/>
                  </w:tcMar>
                  <w:vAlign w:val="center"/>
                </w:tcPr>
                <w:p>
                  <w:pPr>
                    <w:snapToGrid w:val="0"/>
                    <w:jc w:val="center"/>
                    <w:rPr>
                      <w:kern w:val="0"/>
                    </w:rPr>
                  </w:pPr>
                  <w:r>
                    <w:rPr>
                      <w:b/>
                      <w:color w:val="000000"/>
                    </w:rPr>
                    <w:t>产品名称</w:t>
                  </w:r>
                </w:p>
              </w:tc>
              <w:tc>
                <w:tcPr>
                  <w:tcW w:w="2438" w:type="dxa"/>
                  <w:tcBorders>
                    <w:tl2br w:val="nil"/>
                    <w:tr2bl w:val="nil"/>
                  </w:tcBorders>
                  <w:tcMar>
                    <w:top w:w="0" w:type="dxa"/>
                    <w:left w:w="28" w:type="dxa"/>
                    <w:bottom w:w="0" w:type="dxa"/>
                    <w:right w:w="28" w:type="dxa"/>
                  </w:tcMar>
                  <w:vAlign w:val="center"/>
                </w:tcPr>
                <w:p>
                  <w:pPr>
                    <w:snapToGrid w:val="0"/>
                    <w:jc w:val="center"/>
                    <w:textAlignment w:val="baseline"/>
                    <w:rPr>
                      <w:kern w:val="0"/>
                    </w:rPr>
                  </w:pPr>
                  <w:r>
                    <w:rPr>
                      <w:rFonts w:hint="eastAsia"/>
                      <w:kern w:val="0"/>
                      <w:lang w:val="en-US" w:eastAsia="zh-CN"/>
                    </w:rPr>
                    <w:t>用量</w:t>
                  </w:r>
                </w:p>
              </w:tc>
              <w:tc>
                <w:tcPr>
                  <w:tcW w:w="1416"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9" w:type="dxa"/>
                  <w:tcBorders>
                    <w:tl2br w:val="nil"/>
                    <w:tr2bl w:val="nil"/>
                  </w:tcBorders>
                  <w:tcMar>
                    <w:top w:w="0" w:type="dxa"/>
                    <w:left w:w="28" w:type="dxa"/>
                    <w:bottom w:w="0" w:type="dxa"/>
                    <w:right w:w="28" w:type="dxa"/>
                  </w:tcMar>
                  <w:vAlign w:val="center"/>
                </w:tcPr>
                <w:p>
                  <w:pPr>
                    <w:snapToGrid w:val="0"/>
                    <w:jc w:val="center"/>
                    <w:textAlignment w:val="baseline"/>
                    <w:rPr>
                      <w:rFonts w:hint="eastAsia" w:eastAsia="宋体"/>
                      <w:kern w:val="0"/>
                      <w:lang w:eastAsia="zh-CN"/>
                    </w:rPr>
                  </w:pPr>
                  <w:r>
                    <w:rPr>
                      <w:rFonts w:hint="eastAsia"/>
                      <w:kern w:val="0"/>
                      <w:lang w:val="en-US" w:eastAsia="zh-CN"/>
                    </w:rPr>
                    <w:t>1</w:t>
                  </w:r>
                </w:p>
              </w:tc>
              <w:tc>
                <w:tcPr>
                  <w:tcW w:w="3572" w:type="dxa"/>
                  <w:tcBorders>
                    <w:tl2br w:val="nil"/>
                    <w:tr2bl w:val="nil"/>
                  </w:tcBorders>
                  <w:tcMar>
                    <w:top w:w="0" w:type="dxa"/>
                    <w:left w:w="28" w:type="dxa"/>
                    <w:bottom w:w="0" w:type="dxa"/>
                    <w:right w:w="28" w:type="dxa"/>
                  </w:tcMar>
                  <w:vAlign w:val="center"/>
                </w:tcPr>
                <w:p>
                  <w:pPr>
                    <w:snapToGrid w:val="0"/>
                    <w:jc w:val="center"/>
                    <w:textAlignment w:val="baseline"/>
                    <w:rPr>
                      <w:rFonts w:hint="default" w:eastAsia="宋体"/>
                      <w:kern w:val="0"/>
                      <w:lang w:val="en-US" w:eastAsia="zh-CN"/>
                    </w:rPr>
                  </w:pPr>
                  <w:r>
                    <w:rPr>
                      <w:rFonts w:hint="eastAsia"/>
                      <w:kern w:val="0"/>
                      <w:lang w:val="en-US" w:eastAsia="zh-CN"/>
                    </w:rPr>
                    <w:t>腐植酸钾尾料</w:t>
                  </w:r>
                </w:p>
              </w:tc>
              <w:tc>
                <w:tcPr>
                  <w:tcW w:w="2438" w:type="dxa"/>
                  <w:tcBorders>
                    <w:tl2br w:val="nil"/>
                    <w:tr2bl w:val="nil"/>
                  </w:tcBorders>
                  <w:tcMar>
                    <w:top w:w="0" w:type="dxa"/>
                    <w:left w:w="28" w:type="dxa"/>
                    <w:bottom w:w="0" w:type="dxa"/>
                    <w:right w:w="28" w:type="dxa"/>
                  </w:tcMar>
                  <w:vAlign w:val="center"/>
                </w:tcPr>
                <w:p>
                  <w:pPr>
                    <w:snapToGrid w:val="0"/>
                    <w:jc w:val="center"/>
                    <w:textAlignment w:val="baseline"/>
                    <w:rPr>
                      <w:rFonts w:hint="eastAsia" w:eastAsia="宋体"/>
                      <w:kern w:val="0"/>
                      <w:lang w:eastAsia="zh-CN"/>
                    </w:rPr>
                  </w:pPr>
                  <w:r>
                    <w:rPr>
                      <w:rFonts w:hint="eastAsia"/>
                      <w:kern w:val="0"/>
                      <w:lang w:val="en-US" w:eastAsia="zh-CN"/>
                    </w:rPr>
                    <w:t>4000t</w:t>
                  </w:r>
                  <w:r>
                    <w:rPr>
                      <w:kern w:val="0"/>
                    </w:rPr>
                    <w:t>/</w:t>
                  </w:r>
                  <w:r>
                    <w:rPr>
                      <w:rFonts w:hint="eastAsia"/>
                      <w:kern w:val="0"/>
                      <w:lang w:val="en-US" w:eastAsia="zh-CN"/>
                    </w:rPr>
                    <w:t>a</w:t>
                  </w:r>
                </w:p>
              </w:tc>
              <w:tc>
                <w:tcPr>
                  <w:tcW w:w="1416"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袋装</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9"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2</w:t>
                  </w:r>
                </w:p>
              </w:tc>
              <w:tc>
                <w:tcPr>
                  <w:tcW w:w="3572"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硅土</w:t>
                  </w:r>
                </w:p>
              </w:tc>
              <w:tc>
                <w:tcPr>
                  <w:tcW w:w="2438"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1000t</w:t>
                  </w:r>
                  <w:r>
                    <w:rPr>
                      <w:kern w:val="0"/>
                    </w:rPr>
                    <w:t>/</w:t>
                  </w:r>
                  <w:r>
                    <w:rPr>
                      <w:rFonts w:hint="eastAsia"/>
                      <w:kern w:val="0"/>
                      <w:lang w:val="en-US" w:eastAsia="zh-CN"/>
                    </w:rPr>
                    <w:t>a</w:t>
                  </w:r>
                </w:p>
              </w:tc>
              <w:tc>
                <w:tcPr>
                  <w:tcW w:w="1416" w:type="dxa"/>
                  <w:tcBorders>
                    <w:tl2br w:val="nil"/>
                    <w:tr2bl w:val="nil"/>
                  </w:tcBorders>
                  <w:tcMar>
                    <w:top w:w="0" w:type="dxa"/>
                    <w:left w:w="28" w:type="dxa"/>
                    <w:bottom w:w="0" w:type="dxa"/>
                    <w:right w:w="28" w:type="dxa"/>
                  </w:tcMar>
                  <w:vAlign w:val="center"/>
                </w:tcPr>
                <w:p>
                  <w:pPr>
                    <w:snapToGrid w:val="0"/>
                    <w:jc w:val="center"/>
                    <w:textAlignment w:val="baseline"/>
                    <w:rPr>
                      <w:rFonts w:hint="eastAsia"/>
                      <w:kern w:val="0"/>
                      <w:lang w:val="en-US" w:eastAsia="zh-CN"/>
                    </w:rPr>
                  </w:pPr>
                  <w:r>
                    <w:rPr>
                      <w:rFonts w:hint="eastAsia"/>
                      <w:kern w:val="0"/>
                      <w:lang w:val="en-US" w:eastAsia="zh-CN"/>
                    </w:rPr>
                    <w:t>袋装</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9"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3</w:t>
                  </w:r>
                </w:p>
              </w:tc>
              <w:tc>
                <w:tcPr>
                  <w:tcW w:w="3572"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电</w:t>
                  </w:r>
                </w:p>
              </w:tc>
              <w:tc>
                <w:tcPr>
                  <w:tcW w:w="2438" w:type="dxa"/>
                  <w:tcBorders>
                    <w:tl2br w:val="nil"/>
                    <w:tr2bl w:val="nil"/>
                  </w:tcBorders>
                  <w:tcMar>
                    <w:top w:w="0" w:type="dxa"/>
                    <w:left w:w="28" w:type="dxa"/>
                    <w:bottom w:w="0" w:type="dxa"/>
                    <w:right w:w="28" w:type="dxa"/>
                  </w:tcMar>
                  <w:vAlign w:val="center"/>
                </w:tcPr>
                <w:p>
                  <w:pPr>
                    <w:snapToGrid w:val="0"/>
                    <w:jc w:val="center"/>
                    <w:textAlignment w:val="baseline"/>
                    <w:rPr>
                      <w:rFonts w:hint="eastAsia"/>
                      <w:kern w:val="0"/>
                      <w:lang w:val="en-US" w:eastAsia="zh-CN"/>
                    </w:rPr>
                  </w:pPr>
                  <w:r>
                    <w:rPr>
                      <w:rFonts w:hint="eastAsia"/>
                      <w:kern w:val="0"/>
                      <w:lang w:val="en-US" w:eastAsia="zh-CN"/>
                    </w:rPr>
                    <w:t>20万kW·h</w:t>
                  </w:r>
                </w:p>
              </w:tc>
              <w:tc>
                <w:tcPr>
                  <w:tcW w:w="1416"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七里营供电</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9"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4</w:t>
                  </w:r>
                </w:p>
              </w:tc>
              <w:tc>
                <w:tcPr>
                  <w:tcW w:w="3572"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水</w:t>
                  </w:r>
                </w:p>
              </w:tc>
              <w:tc>
                <w:tcPr>
                  <w:tcW w:w="2438"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117t</w:t>
                  </w:r>
                  <w:r>
                    <w:rPr>
                      <w:kern w:val="0"/>
                    </w:rPr>
                    <w:t>/</w:t>
                  </w:r>
                  <w:r>
                    <w:rPr>
                      <w:rFonts w:hint="eastAsia"/>
                      <w:kern w:val="0"/>
                      <w:lang w:val="en-US" w:eastAsia="zh-CN"/>
                    </w:rPr>
                    <w:t>a</w:t>
                  </w:r>
                </w:p>
              </w:tc>
              <w:tc>
                <w:tcPr>
                  <w:tcW w:w="1416" w:type="dxa"/>
                  <w:tcBorders>
                    <w:tl2br w:val="nil"/>
                    <w:tr2bl w:val="nil"/>
                  </w:tcBorders>
                  <w:tcMar>
                    <w:top w:w="0" w:type="dxa"/>
                    <w:left w:w="28" w:type="dxa"/>
                    <w:bottom w:w="0" w:type="dxa"/>
                    <w:right w:w="28" w:type="dxa"/>
                  </w:tcMar>
                  <w:vAlign w:val="center"/>
                </w:tcPr>
                <w:p>
                  <w:pPr>
                    <w:snapToGrid w:val="0"/>
                    <w:jc w:val="center"/>
                    <w:textAlignment w:val="baseline"/>
                    <w:rPr>
                      <w:rFonts w:hint="default"/>
                      <w:kern w:val="0"/>
                      <w:lang w:val="en-US" w:eastAsia="zh-CN"/>
                    </w:rPr>
                  </w:pPr>
                  <w:r>
                    <w:rPr>
                      <w:rFonts w:hint="eastAsia"/>
                      <w:kern w:val="0"/>
                      <w:lang w:val="en-US" w:eastAsia="zh-CN"/>
                    </w:rPr>
                    <w:t>七里营供水</w:t>
                  </w:r>
                </w:p>
              </w:tc>
            </w:tr>
          </w:tbl>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2" w:firstLineChars="200"/>
              <w:jc w:val="left"/>
              <w:rPr>
                <w:rFonts w:hint="eastAsia" w:eastAsia="宋体"/>
                <w:b/>
                <w:bCs/>
                <w:lang w:val="en-US" w:eastAsia="zh-CN"/>
              </w:rPr>
            </w:pPr>
            <w:r>
              <w:rPr>
                <w:rFonts w:hint="eastAsia"/>
                <w:b/>
                <w:bCs/>
              </w:rPr>
              <w:t>原料理化性质</w:t>
            </w:r>
            <w:r>
              <w:rPr>
                <w:rFonts w:hint="eastAsia"/>
                <w:b/>
                <w:bCs/>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0" w:firstLineChars="200"/>
              <w:jc w:val="left"/>
              <w:rPr>
                <w:rFonts w:hint="default" w:ascii="Times New Roman" w:hAnsi="Times New Roman" w:eastAsia="宋体" w:cs="Times New Roman"/>
                <w:lang w:val="en-US"/>
              </w:rPr>
            </w:pPr>
            <w:r>
              <w:rPr>
                <w:rFonts w:hint="eastAsia"/>
                <w:lang w:val="en-US" w:eastAsia="zh-CN"/>
              </w:rPr>
              <w:t>腐植酸钾尾料</w:t>
            </w:r>
            <w:r>
              <w:rPr>
                <w:rFonts w:hint="eastAsia"/>
              </w:rPr>
              <w:t>：</w:t>
            </w:r>
            <w:r>
              <w:rPr>
                <w:rFonts w:hint="eastAsia"/>
                <w:lang w:val="en-US" w:eastAsia="zh-CN"/>
              </w:rPr>
              <w:t>采用风化煤，经过加工生产矿源黄腐酸钾过程产生的一般固</w:t>
            </w:r>
            <w:r>
              <w:rPr>
                <w:rFonts w:hint="eastAsia" w:ascii="Times New Roman" w:hAnsi="Times New Roman" w:eastAsia="宋体" w:cs="Times New Roman"/>
                <w:lang w:val="en-US" w:eastAsia="zh-CN"/>
              </w:rPr>
              <w:t>废</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无毒、无味是一种褐黑色天然有机粉末，易溶于水。成分：水分含量≤30%、腐</w:t>
            </w:r>
            <w:r>
              <w:rPr>
                <w:rFonts w:hint="eastAsia" w:cs="Times New Roman"/>
                <w:lang w:val="en-US" w:eastAsia="zh-CN"/>
              </w:rPr>
              <w:t>植</w:t>
            </w:r>
            <w:r>
              <w:rPr>
                <w:rFonts w:hint="eastAsia" w:ascii="Times New Roman" w:hAnsi="Times New Roman" w:eastAsia="宋体" w:cs="Times New Roman"/>
                <w:lang w:val="en-US" w:eastAsia="zh-CN"/>
              </w:rPr>
              <w:t>酸含量（干基计）≥12%、氧化钾含量（干基计）≥4%、有机质含量（干基计）≥30%。腐</w:t>
            </w:r>
            <w:r>
              <w:rPr>
                <w:rFonts w:hint="eastAsia" w:cs="Times New Roman"/>
                <w:lang w:val="en-US" w:eastAsia="zh-CN"/>
              </w:rPr>
              <w:t>植</w:t>
            </w:r>
            <w:r>
              <w:rPr>
                <w:rFonts w:hint="eastAsia" w:ascii="Times New Roman" w:hAnsi="Times New Roman" w:eastAsia="宋体" w:cs="Times New Roman"/>
                <w:lang w:val="en-US" w:eastAsia="zh-CN"/>
              </w:rPr>
              <w:t>酸钾尾料成分化验单见</w:t>
            </w:r>
            <w:r>
              <w:rPr>
                <w:rFonts w:hint="eastAsia" w:cs="Times New Roman"/>
                <w:lang w:val="en-US" w:eastAsia="zh-CN"/>
              </w:rPr>
              <w:t>（</w:t>
            </w:r>
            <w:r>
              <w:rPr>
                <w:rFonts w:hint="eastAsia" w:ascii="Times New Roman" w:hAnsi="Times New Roman" w:eastAsia="宋体" w:cs="Times New Roman"/>
                <w:lang w:val="en-US" w:eastAsia="zh-CN"/>
              </w:rPr>
              <w:t>附件</w:t>
            </w:r>
            <w:r>
              <w:rPr>
                <w:rFonts w:hint="eastAsia" w:cs="Times New Roman"/>
                <w:lang w:val="en-US" w:eastAsia="zh-CN"/>
              </w:rPr>
              <w:t>3）。</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硅土：为粉状，它是一种以石英为主、含有一定粘土质的矿物集合体。硅土的主要成分是SiO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w:t>
            </w:r>
            <w:r>
              <w:rPr>
                <w:rFonts w:hint="eastAsia"/>
                <w:lang w:eastAsia="zh-CN"/>
              </w:rPr>
              <w:t>质地松软，易碎，手感细腻，质轻，多孔，呈黄褐色、黄灰色。</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2" w:firstLineChars="200"/>
              <w:jc w:val="left"/>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主要生产设备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本项目生产设备一览表见</w:t>
            </w:r>
            <w:r>
              <w:rPr>
                <w:rFonts w:hint="eastAsia" w:ascii="Times New Roman" w:hAnsi="Times New Roman" w:eastAsia="宋体" w:cs="Times New Roman"/>
                <w:color w:val="auto"/>
                <w:sz w:val="21"/>
                <w:szCs w:val="21"/>
                <w:lang w:eastAsia="zh-CN"/>
              </w:rPr>
              <w:t>下表</w:t>
            </w:r>
            <w:r>
              <w:rPr>
                <w:rFonts w:ascii="Times New Roman" w:hAnsi="Times New Roman" w:eastAsia="宋体" w:cs="Times New Roman"/>
                <w:color w:val="auto"/>
                <w:sz w:val="21"/>
                <w:szCs w:val="21"/>
              </w:rPr>
              <w:t>。</w:t>
            </w:r>
          </w:p>
          <w:p>
            <w:pPr>
              <w:pStyle w:val="31"/>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主要生产设备一览表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2270"/>
              <w:gridCol w:w="1461"/>
              <w:gridCol w:w="3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412"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909"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数量</w:t>
                  </w:r>
                  <w:r>
                    <w:rPr>
                      <w:rFonts w:hint="eastAsia" w:cs="Times New Roman"/>
                      <w:b/>
                      <w:bCs/>
                      <w:color w:val="auto"/>
                      <w:sz w:val="21"/>
                      <w:szCs w:val="21"/>
                      <w:lang w:eastAsia="zh-CN"/>
                    </w:rPr>
                    <w:t>（</w:t>
                  </w:r>
                  <w:r>
                    <w:rPr>
                      <w:rFonts w:hint="eastAsia" w:cs="Times New Roman"/>
                      <w:b/>
                      <w:bCs/>
                      <w:color w:val="auto"/>
                      <w:sz w:val="21"/>
                      <w:szCs w:val="21"/>
                      <w:lang w:val="en-US" w:eastAsia="zh-CN"/>
                    </w:rPr>
                    <w:t>套/台</w:t>
                  </w:r>
                  <w:r>
                    <w:rPr>
                      <w:rFonts w:hint="eastAsia" w:cs="Times New Roman"/>
                      <w:b/>
                      <w:bCs/>
                      <w:color w:val="auto"/>
                      <w:sz w:val="21"/>
                      <w:szCs w:val="21"/>
                      <w:lang w:eastAsia="zh-CN"/>
                    </w:rPr>
                    <w:t>）</w:t>
                  </w:r>
                </w:p>
              </w:tc>
              <w:tc>
                <w:tcPr>
                  <w:tcW w:w="1888"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1</w:t>
                  </w:r>
                </w:p>
              </w:tc>
              <w:tc>
                <w:tcPr>
                  <w:tcW w:w="141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滚筒掺混机</w:t>
                  </w:r>
                </w:p>
              </w:tc>
              <w:tc>
                <w:tcPr>
                  <w:tcW w:w="90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18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500型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2</w:t>
                  </w:r>
                </w:p>
              </w:tc>
              <w:tc>
                <w:tcPr>
                  <w:tcW w:w="141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斗式提升机</w:t>
                  </w:r>
                </w:p>
              </w:tc>
              <w:tc>
                <w:tcPr>
                  <w:tcW w:w="90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18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TH200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3</w:t>
                  </w:r>
                </w:p>
              </w:tc>
              <w:tc>
                <w:tcPr>
                  <w:tcW w:w="141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液压挤压机</w:t>
                  </w:r>
                </w:p>
              </w:tc>
              <w:tc>
                <w:tcPr>
                  <w:tcW w:w="90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18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500B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4</w:t>
                  </w:r>
                </w:p>
              </w:tc>
              <w:tc>
                <w:tcPr>
                  <w:tcW w:w="141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摇摆筛</w:t>
                  </w:r>
                </w:p>
              </w:tc>
              <w:tc>
                <w:tcPr>
                  <w:tcW w:w="90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18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YSB1500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5</w:t>
                  </w:r>
                </w:p>
              </w:tc>
              <w:tc>
                <w:tcPr>
                  <w:tcW w:w="141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皮带输送机</w:t>
                  </w:r>
                </w:p>
              </w:tc>
              <w:tc>
                <w:tcPr>
                  <w:tcW w:w="90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18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600*15M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6</w:t>
                  </w:r>
                </w:p>
              </w:tc>
              <w:tc>
                <w:tcPr>
                  <w:tcW w:w="141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包装设备</w:t>
                  </w:r>
                </w:p>
              </w:tc>
              <w:tc>
                <w:tcPr>
                  <w:tcW w:w="90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18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20-50kg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7</w:t>
                  </w:r>
                </w:p>
              </w:tc>
              <w:tc>
                <w:tcPr>
                  <w:tcW w:w="1412"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除尘设备</w:t>
                  </w:r>
                </w:p>
              </w:tc>
              <w:tc>
                <w:tcPr>
                  <w:tcW w:w="90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18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DMC160*2500</w:t>
                  </w:r>
                </w:p>
              </w:tc>
            </w:tr>
          </w:tbl>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1"/>
                <w:lang w:val="en-US" w:eastAsia="zh-CN" w:bidi="ar-SA"/>
              </w:rPr>
              <w:t>5、</w:t>
            </w:r>
            <w:r>
              <w:rPr>
                <w:rFonts w:hint="eastAsia" w:cs="Times New Roman"/>
                <w:b/>
                <w:bCs/>
                <w:color w:val="auto"/>
                <w:kern w:val="0"/>
                <w:sz w:val="21"/>
                <w:szCs w:val="21"/>
                <w:lang w:val="en-US" w:eastAsia="zh-CN" w:bidi="ar-SA"/>
              </w:rPr>
              <w:t>供水、排水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w:t>
            </w:r>
            <w:r>
              <w:rPr>
                <w:rFonts w:hint="eastAsia" w:ascii="Times New Roman" w:hAnsi="Times New Roman" w:eastAsia="宋体" w:cs="Times New Roman"/>
                <w:color w:val="auto"/>
                <w:kern w:val="0"/>
                <w:sz w:val="21"/>
                <w:szCs w:val="20"/>
                <w:lang w:val="en-US" w:eastAsia="zh-CN" w:bidi="ar-SA"/>
              </w:rPr>
              <w:t>供水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本项目生产无需用水，生产车间定期清理打扫，本项目仅有生活用水。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0"/>
                <w:lang w:val="en-US" w:eastAsia="zh-CN" w:bidi="ar-SA"/>
              </w:rPr>
              <w:t>生活用水</w:t>
            </w:r>
            <w:r>
              <w:rPr>
                <w:rFonts w:hint="eastAsia" w:ascii="Times New Roman" w:hAnsi="Times New Roman" w:eastAsia="宋体" w:cs="Times New Roman"/>
                <w:color w:val="000000" w:themeColor="text1"/>
                <w:sz w:val="21"/>
                <w:szCs w:val="21"/>
                <w14:textFill>
                  <w14:solidFill>
                    <w14:schemeClr w14:val="tx1"/>
                  </w14:solidFill>
                </w14:textFill>
              </w:rPr>
              <w:t>：本项目共有职工</w:t>
            </w:r>
            <w:r>
              <w:rPr>
                <w:rFonts w:hint="eastAsia" w:cs="Times New Roman"/>
                <w:color w:val="000000" w:themeColor="text1"/>
                <w:sz w:val="21"/>
                <w:szCs w:val="21"/>
                <w:lang w:val="en-US" w:eastAsia="zh-CN"/>
                <w14:textFill>
                  <w14:solidFill>
                    <w14:schemeClr w14:val="tx1"/>
                  </w14:solidFill>
                </w14:textFill>
              </w:rPr>
              <w:t>15</w:t>
            </w:r>
            <w:r>
              <w:rPr>
                <w:rFonts w:hint="eastAsia" w:ascii="Times New Roman" w:hAnsi="Times New Roman" w:eastAsia="宋体" w:cs="Times New Roman"/>
                <w:color w:val="000000" w:themeColor="text1"/>
                <w:sz w:val="21"/>
                <w:szCs w:val="21"/>
                <w14:textFill>
                  <w14:solidFill>
                    <w14:schemeClr w14:val="tx1"/>
                  </w14:solidFill>
                </w14:textFill>
              </w:rPr>
              <w:t>人</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年工作260d</w:t>
            </w:r>
            <w:r>
              <w:rPr>
                <w:rFonts w:hint="eastAsia" w:ascii="Times New Roman" w:hAnsi="Times New Roman" w:eastAsia="宋体" w:cs="Times New Roman"/>
                <w:color w:val="000000" w:themeColor="text1"/>
                <w:sz w:val="21"/>
                <w:szCs w:val="21"/>
                <w14:textFill>
                  <w14:solidFill>
                    <w14:schemeClr w14:val="tx1"/>
                  </w14:solidFill>
                </w14:textFill>
              </w:rPr>
              <w:t>，不在厂区内食宿，根据《河南省地方标准用水定额工业与城镇生活用水定额》（DB41/T385-20</w:t>
            </w:r>
            <w:r>
              <w:rPr>
                <w:rFonts w:hint="eastAsia"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14:textFill>
                  <w14:solidFill>
                    <w14:schemeClr w14:val="tx1"/>
                  </w14:solidFill>
                </w14:textFill>
              </w:rPr>
              <w:t>）和项目实际情况，职工用水按30L/人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d计算，则用水量为</w:t>
            </w:r>
            <w:r>
              <w:rPr>
                <w:rFonts w:hint="eastAsia" w:cs="Times New Roman"/>
                <w:color w:val="000000" w:themeColor="text1"/>
                <w:sz w:val="21"/>
                <w:szCs w:val="21"/>
                <w:lang w:val="en-US" w:eastAsia="zh-CN"/>
                <w14:textFill>
                  <w14:solidFill>
                    <w14:schemeClr w14:val="tx1"/>
                  </w14:solidFill>
                </w14:textFill>
              </w:rPr>
              <w:t>0.45</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r>
              <w:rPr>
                <w:rFonts w:hint="eastAsia" w:cs="Times New Roman"/>
                <w:color w:val="000000" w:themeColor="text1"/>
                <w:sz w:val="21"/>
                <w:szCs w:val="21"/>
                <w:lang w:val="en-US" w:eastAsia="zh-CN"/>
                <w14:textFill>
                  <w14:solidFill>
                    <w14:schemeClr w14:val="tx1"/>
                  </w14:solidFill>
                </w14:textFill>
              </w:rPr>
              <w:t>117</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排水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auto"/>
                <w:lang w:val="en-US" w:eastAsia="zh-CN"/>
              </w:rPr>
              <w:t>本项目生</w:t>
            </w:r>
            <w:r>
              <w:rPr>
                <w:rFonts w:hint="eastAsia" w:ascii="Times New Roman" w:hAnsi="Times New Roman" w:cs="Times New Roman"/>
                <w:color w:val="000000" w:themeColor="text1"/>
                <w:sz w:val="21"/>
                <w:szCs w:val="21"/>
                <w:highlight w:val="none"/>
                <w14:textFill>
                  <w14:solidFill>
                    <w14:schemeClr w14:val="tx1"/>
                  </w14:solidFill>
                </w14:textFill>
              </w:rPr>
              <w:t>活污水产生量按新鲜水量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80</w:t>
            </w:r>
            <w:r>
              <w:rPr>
                <w:rFonts w:hint="eastAsia" w:ascii="Times New Roman" w:hAnsi="Times New Roman" w:cs="Times New Roman"/>
                <w:color w:val="000000" w:themeColor="text1"/>
                <w:sz w:val="21"/>
                <w:szCs w:val="21"/>
                <w:highlight w:val="none"/>
                <w14:textFill>
                  <w14:solidFill>
                    <w14:schemeClr w14:val="tx1"/>
                  </w14:solidFill>
                </w14:textFill>
              </w:rPr>
              <w:t>%计，</w:t>
            </w:r>
            <w:r>
              <w:rPr>
                <w:rFonts w:hint="eastAsia" w:ascii="Times New Roman" w:hAnsi="Times New Roman" w:cs="Times New Roman"/>
                <w:color w:val="000000" w:themeColor="text1"/>
                <w:sz w:val="21"/>
                <w:szCs w:val="21"/>
                <w14:textFill>
                  <w14:solidFill>
                    <w14:schemeClr w14:val="tx1"/>
                  </w14:solidFill>
                </w14:textFill>
              </w:rPr>
              <w:t>为</w:t>
            </w:r>
            <w:r>
              <w:rPr>
                <w:rFonts w:hint="eastAsia" w:cs="Times New Roman"/>
                <w:color w:val="000000" w:themeColor="text1"/>
                <w:sz w:val="21"/>
                <w:szCs w:val="21"/>
                <w:lang w:val="en-US" w:eastAsia="zh-CN"/>
                <w14:textFill>
                  <w14:solidFill>
                    <w14:schemeClr w14:val="tx1"/>
                  </w14:solidFill>
                </w14:textFill>
              </w:rPr>
              <w:t>0.36</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r>
              <w:rPr>
                <w:rFonts w:hint="eastAsia" w:cs="Times New Roman"/>
                <w:color w:val="000000" w:themeColor="text1"/>
                <w:sz w:val="21"/>
                <w:szCs w:val="21"/>
                <w:lang w:val="en-US" w:eastAsia="zh-CN"/>
                <w14:textFill>
                  <w14:solidFill>
                    <w14:schemeClr w14:val="tx1"/>
                  </w14:solidFill>
                </w14:textFill>
              </w:rPr>
              <w:t>93.6</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依托</w:t>
            </w:r>
            <w:r>
              <w:rPr>
                <w:rFonts w:hint="eastAsia" w:ascii="Times New Roman" w:hAnsi="Times New Roman" w:cs="Times New Roman"/>
                <w:color w:val="000000" w:themeColor="text1"/>
                <w:sz w:val="21"/>
                <w:szCs w:val="21"/>
                <w14:textFill>
                  <w14:solidFill>
                    <w14:schemeClr w14:val="tx1"/>
                  </w14:solidFill>
                </w14:textFill>
              </w:rPr>
              <w:t>厂区化粪池一座，定期</w:t>
            </w:r>
            <w:r>
              <w:rPr>
                <w:rFonts w:hint="eastAsia" w:ascii="Times New Roman" w:hAnsi="Times New Roman" w:cs="Times New Roman"/>
                <w:color w:val="000000" w:themeColor="text1"/>
                <w:sz w:val="21"/>
                <w:szCs w:val="21"/>
                <w:lang w:eastAsia="zh-CN"/>
                <w14:textFill>
                  <w14:solidFill>
                    <w14:schemeClr w14:val="tx1"/>
                  </w14:solidFill>
                </w14:textFill>
              </w:rPr>
              <w:t>清运</w:t>
            </w:r>
            <w:r>
              <w:rPr>
                <w:rFonts w:hint="eastAsia" w:ascii="Times New Roman" w:hAnsi="Times New Roman" w:cs="Times New Roman"/>
                <w:color w:val="000000" w:themeColor="text1"/>
                <w:sz w:val="21"/>
                <w:szCs w:val="21"/>
                <w14:textFill>
                  <w14:solidFill>
                    <w14:schemeClr w14:val="tx1"/>
                  </w14:solidFill>
                </w14:textFill>
              </w:rPr>
              <w:t>，不外排。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ascii="Times New Roman" w:hAnsi="Times New Roman" w:eastAsia="宋体" w:cs="Times New Roman"/>
                <w:b/>
                <w:bCs/>
                <w:color w:val="auto"/>
                <w:kern w:val="0"/>
                <w:sz w:val="21"/>
                <w:szCs w:val="20"/>
                <w:lang w:val="en-US" w:eastAsia="zh-CN" w:bidi="ar-SA"/>
              </w:rPr>
            </w:pPr>
            <w:r>
              <w:rPr>
                <w:rFonts w:hint="eastAsia" w:ascii="Times New Roman" w:hAnsi="Times New Roman" w:eastAsia="宋体" w:cs="Times New Roman"/>
                <w:b/>
                <w:bCs/>
                <w:color w:val="auto"/>
                <w:kern w:val="0"/>
                <w:sz w:val="21"/>
                <w:szCs w:val="20"/>
                <w:lang w:val="en-US" w:eastAsia="zh-CN" w:bidi="ar-SA"/>
              </w:rPr>
              <w:t>6</w:t>
            </w:r>
            <w:r>
              <w:rPr>
                <w:rFonts w:ascii="Times New Roman" w:hAnsi="Times New Roman" w:eastAsia="宋体" w:cs="Times New Roman"/>
                <w:b/>
                <w:bCs/>
                <w:color w:val="auto"/>
                <w:kern w:val="0"/>
                <w:sz w:val="21"/>
                <w:szCs w:val="20"/>
                <w:lang w:val="en-US" w:eastAsia="zh-CN" w:bidi="ar-SA"/>
              </w:rPr>
              <w:t>、劳动定员及工作制度</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eastAsia"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劳动定员：项目</w:t>
            </w:r>
            <w:r>
              <w:rPr>
                <w:rFonts w:hint="eastAsia" w:cs="Times New Roman"/>
                <w:color w:val="auto"/>
                <w:kern w:val="0"/>
                <w:sz w:val="21"/>
                <w:szCs w:val="20"/>
                <w:lang w:val="en-US" w:eastAsia="zh-CN" w:bidi="ar-SA"/>
              </w:rPr>
              <w:t>新增劳动定员15人</w:t>
            </w:r>
            <w:r>
              <w:rPr>
                <w:rFonts w:hint="eastAsia" w:ascii="Times New Roman" w:hAnsi="Times New Roman" w:eastAsia="宋体" w:cs="Times New Roman"/>
                <w:color w:val="auto"/>
                <w:kern w:val="0"/>
                <w:sz w:val="21"/>
                <w:szCs w:val="20"/>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ascii="Times New Roman" w:hAnsi="Times New Roman" w:eastAsia="宋体" w:cs="Times New Roman"/>
                <w:color w:val="auto"/>
                <w:kern w:val="0"/>
                <w:sz w:val="21"/>
                <w:szCs w:val="20"/>
                <w:lang w:val="en-US" w:eastAsia="zh-CN" w:bidi="ar-SA"/>
              </w:rPr>
            </w:pPr>
            <w:r>
              <w:rPr>
                <w:rFonts w:ascii="Times New Roman" w:hAnsi="Times New Roman" w:eastAsia="宋体" w:cs="Times New Roman"/>
                <w:color w:val="auto"/>
                <w:kern w:val="0"/>
                <w:sz w:val="21"/>
                <w:szCs w:val="20"/>
                <w:lang w:val="en-US" w:eastAsia="zh-CN" w:bidi="ar-SA"/>
              </w:rPr>
              <w:t>工作制度：</w:t>
            </w:r>
            <w:r>
              <w:rPr>
                <w:rFonts w:hint="eastAsia" w:cs="Times New Roman"/>
                <w:color w:val="auto"/>
                <w:kern w:val="0"/>
                <w:sz w:val="21"/>
                <w:szCs w:val="20"/>
                <w:lang w:val="en-US" w:eastAsia="zh-CN" w:bidi="ar-SA"/>
              </w:rPr>
              <w:t>一天二</w:t>
            </w:r>
            <w:r>
              <w:rPr>
                <w:rFonts w:hint="eastAsia" w:ascii="Times New Roman" w:hAnsi="Times New Roman" w:eastAsia="宋体" w:cs="Times New Roman"/>
                <w:color w:val="auto"/>
                <w:kern w:val="0"/>
                <w:sz w:val="21"/>
                <w:szCs w:val="20"/>
                <w:lang w:val="en-US" w:eastAsia="zh-CN" w:bidi="ar-SA"/>
              </w:rPr>
              <w:t>班制</w:t>
            </w:r>
            <w:r>
              <w:rPr>
                <w:rFonts w:ascii="Times New Roman" w:hAnsi="Times New Roman" w:eastAsia="宋体" w:cs="Times New Roman"/>
                <w:color w:val="auto"/>
                <w:kern w:val="0"/>
                <w:sz w:val="21"/>
                <w:szCs w:val="20"/>
                <w:lang w:val="en-US" w:eastAsia="zh-CN" w:bidi="ar-SA"/>
              </w:rPr>
              <w:t>，</w:t>
            </w:r>
            <w:r>
              <w:rPr>
                <w:rFonts w:hint="eastAsia" w:cs="Times New Roman"/>
                <w:color w:val="auto"/>
                <w:kern w:val="0"/>
                <w:sz w:val="21"/>
                <w:szCs w:val="20"/>
                <w:lang w:val="en-US" w:eastAsia="zh-CN" w:bidi="ar-SA"/>
              </w:rPr>
              <w:t>8</w:t>
            </w:r>
            <w:r>
              <w:rPr>
                <w:rFonts w:ascii="Times New Roman" w:hAnsi="Times New Roman" w:eastAsia="宋体" w:cs="Times New Roman"/>
                <w:color w:val="auto"/>
                <w:kern w:val="0"/>
                <w:sz w:val="21"/>
                <w:szCs w:val="20"/>
                <w:lang w:val="en-US" w:eastAsia="zh-CN" w:bidi="ar-SA"/>
              </w:rPr>
              <w:t>h/班，每年工作</w:t>
            </w:r>
            <w:r>
              <w:rPr>
                <w:rFonts w:hint="eastAsia" w:cs="Times New Roman"/>
                <w:color w:val="auto"/>
                <w:kern w:val="0"/>
                <w:sz w:val="21"/>
                <w:szCs w:val="20"/>
                <w:lang w:val="en-US" w:eastAsia="zh-CN" w:bidi="ar-SA"/>
              </w:rPr>
              <w:t>260</w:t>
            </w:r>
            <w:r>
              <w:rPr>
                <w:rFonts w:ascii="Times New Roman" w:hAnsi="Times New Roman" w:eastAsia="宋体" w:cs="Times New Roman"/>
                <w:color w:val="auto"/>
                <w:kern w:val="0"/>
                <w:sz w:val="21"/>
                <w:szCs w:val="20"/>
                <w:lang w:val="en-US" w:eastAsia="zh-CN" w:bidi="ar-SA"/>
              </w:rPr>
              <w:t>天。</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ascii="Times New Roman" w:hAnsi="Times New Roman" w:eastAsia="宋体" w:cs="Times New Roman"/>
                <w:b/>
                <w:bCs/>
                <w:color w:val="auto"/>
                <w:kern w:val="0"/>
                <w:sz w:val="21"/>
                <w:szCs w:val="20"/>
                <w:lang w:val="en-US" w:eastAsia="zh-CN" w:bidi="ar-SA"/>
              </w:rPr>
            </w:pPr>
            <w:r>
              <w:rPr>
                <w:rFonts w:hint="eastAsia" w:ascii="Times New Roman" w:hAnsi="Times New Roman" w:eastAsia="宋体" w:cs="Times New Roman"/>
                <w:b/>
                <w:bCs/>
                <w:color w:val="auto"/>
                <w:kern w:val="0"/>
                <w:sz w:val="21"/>
                <w:szCs w:val="20"/>
                <w:lang w:val="en-US" w:eastAsia="zh-CN" w:bidi="ar-SA"/>
              </w:rPr>
              <w:t>7、厂区平面布置</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FF0000"/>
                <w:kern w:val="0"/>
                <w:sz w:val="21"/>
                <w:szCs w:val="20"/>
                <w:lang w:val="en-US" w:eastAsia="zh-CN" w:bidi="ar-SA"/>
              </w:rPr>
            </w:pPr>
            <w:r>
              <w:rPr>
                <w:rFonts w:hint="default" w:ascii="Times New Roman" w:hAnsi="Times New Roman" w:cs="Times New Roman"/>
                <w:color w:val="000000"/>
                <w:sz w:val="21"/>
                <w:szCs w:val="21"/>
              </w:rPr>
              <w:t>本项目选址位于</w:t>
            </w:r>
            <w:r>
              <w:rPr>
                <w:rFonts w:hint="default" w:ascii="Times New Roman" w:hAnsi="Times New Roman" w:eastAsia="宋体" w:cs="Times New Roman"/>
                <w:sz w:val="21"/>
                <w:szCs w:val="21"/>
              </w:rPr>
              <w:t>河南省新乡市新乡县七里营镇李台村南3号</w:t>
            </w:r>
            <w:r>
              <w:rPr>
                <w:rFonts w:hint="default" w:ascii="Times New Roman" w:hAnsi="Times New Roman" w:cs="Times New Roman"/>
                <w:color w:val="000000"/>
                <w:sz w:val="21"/>
                <w:szCs w:val="21"/>
              </w:rPr>
              <w:t>，利用现有厂房进行生产。根据企业提供的总平面布局图（见附图</w:t>
            </w:r>
            <w:r>
              <w:rPr>
                <w:rFonts w:hint="eastAsia" w:cs="Times New Roman"/>
                <w:color w:val="000000"/>
                <w:sz w:val="21"/>
                <w:szCs w:val="21"/>
                <w:lang w:val="en-US" w:eastAsia="zh-CN"/>
              </w:rPr>
              <w:t>5</w:t>
            </w:r>
            <w:r>
              <w:rPr>
                <w:rFonts w:hint="default" w:ascii="Times New Roman" w:hAnsi="Times New Roman" w:cs="Times New Roman"/>
                <w:color w:val="000000"/>
                <w:sz w:val="21"/>
                <w:szCs w:val="21"/>
              </w:rPr>
              <w:t>），厂区的平面布置较为合理</w:t>
            </w:r>
            <w:r>
              <w:rPr>
                <w:rFonts w:hint="default" w:ascii="Times New Roman" w:hAnsi="Times New Roman" w:cs="Times New Roman"/>
                <w:bC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823"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FF0000"/>
                <w:kern w:val="0"/>
                <w:sz w:val="21"/>
                <w:szCs w:val="21"/>
                <w:lang w:val="en-US" w:eastAsia="zh-CN" w:bidi="ar-SA"/>
              </w:rPr>
            </w:pPr>
            <w:r>
              <w:rPr>
                <w:rFonts w:hint="eastAsia" w:ascii="宋体" w:hAnsi="宋体" w:eastAsia="宋体" w:cs="宋体"/>
                <w:color w:val="auto"/>
                <w:kern w:val="0"/>
                <w:sz w:val="21"/>
                <w:szCs w:val="21"/>
                <w:lang w:val="en-US" w:eastAsia="zh-CN" w:bidi="ar-SA"/>
              </w:rPr>
              <w:t>工艺流程和产排污环节</w:t>
            </w:r>
          </w:p>
        </w:tc>
        <w:tc>
          <w:tcPr>
            <w:tcW w:w="8161" w:type="dxa"/>
            <w:noWrap w:val="0"/>
            <w:vAlign w:val="top"/>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right="0"/>
              <w:jc w:val="left"/>
              <w:textAlignment w:val="auto"/>
              <w:rPr>
                <w:rFonts w:hint="eastAsia" w:ascii="Times New Roman" w:hAnsi="Times New Roman" w:eastAsia="宋体" w:cs="Times New Roman"/>
                <w:b w:val="0"/>
                <w:bCs w:val="0"/>
                <w:color w:val="auto"/>
                <w:kern w:val="0"/>
                <w:sz w:val="21"/>
                <w:szCs w:val="20"/>
                <w:lang w:val="en-US" w:eastAsia="zh-CN" w:bidi="ar-SA"/>
              </w:rPr>
            </w:pPr>
            <w:r>
              <w:rPr>
                <w:rFonts w:hint="eastAsia" w:ascii="Times New Roman" w:hAnsi="Times New Roman" w:eastAsia="宋体" w:cs="Times New Roman"/>
                <w:b/>
                <w:bCs/>
                <w:color w:val="auto"/>
                <w:kern w:val="0"/>
                <w:sz w:val="21"/>
                <w:szCs w:val="20"/>
                <w:lang w:val="en-US" w:eastAsia="zh-CN" w:bidi="ar-SA"/>
              </w:rPr>
              <w:t>施工期：</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420" w:firstLineChars="200"/>
              <w:jc w:val="left"/>
              <w:textAlignment w:val="auto"/>
              <w:rPr>
                <w:rFonts w:hint="eastAsia" w:ascii="Times New Roman" w:hAnsi="Times New Roman" w:eastAsia="宋体" w:cs="Times New Roman"/>
                <w:b/>
                <w:bCs/>
                <w:color w:val="auto"/>
                <w:kern w:val="0"/>
                <w:sz w:val="21"/>
                <w:szCs w:val="21"/>
                <w:lang w:val="en-US" w:eastAsia="zh-CN" w:bidi="ar-SA"/>
              </w:rPr>
            </w:pPr>
            <w:r>
              <w:rPr>
                <w:rFonts w:hint="eastAsia"/>
                <w:sz w:val="21"/>
                <w:szCs w:val="21"/>
              </w:rPr>
              <w:t>根据现场调查</w:t>
            </w:r>
            <w:r>
              <w:rPr>
                <w:rFonts w:hint="eastAsia"/>
                <w:sz w:val="21"/>
                <w:szCs w:val="21"/>
                <w:lang w:val="en-US" w:eastAsia="zh-CN"/>
              </w:rPr>
              <w:t>本</w:t>
            </w:r>
            <w:r>
              <w:rPr>
                <w:rFonts w:hint="eastAsia"/>
                <w:sz w:val="21"/>
                <w:szCs w:val="21"/>
                <w:lang w:eastAsia="zh-CN"/>
              </w:rPr>
              <w:t>项目利用厂区内现有厂房，</w:t>
            </w:r>
            <w:r>
              <w:rPr>
                <w:rFonts w:hint="eastAsia"/>
                <w:sz w:val="21"/>
                <w:szCs w:val="21"/>
              </w:rPr>
              <w:t>施工期仅为生产设备及环保设施的安装和建设，无相关土建项目</w:t>
            </w:r>
            <w:r>
              <w:rPr>
                <w:rFonts w:hint="eastAsia"/>
                <w:sz w:val="21"/>
                <w:szCs w:val="21"/>
                <w:lang w:eastAsia="zh-CN"/>
              </w:rPr>
              <w:t>，</w:t>
            </w:r>
            <w:r>
              <w:rPr>
                <w:rFonts w:hint="eastAsia"/>
                <w:sz w:val="21"/>
                <w:szCs w:val="21"/>
                <w:lang w:val="en-US" w:eastAsia="zh-CN"/>
              </w:rPr>
              <w:t>施工期不再评价。</w:t>
            </w:r>
            <w:r>
              <w:rPr>
                <w:rFonts w:hint="eastAsia"/>
                <w:sz w:val="21"/>
                <w:szCs w:val="21"/>
              </w:rPr>
              <w:t>产生污染主要为设备安装噪声。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right="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营运期：</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0" w:firstLineChars="0"/>
              <w:jc w:val="left"/>
              <w:textAlignment w:val="auto"/>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工艺流程简述</w:t>
            </w:r>
          </w:p>
          <w:p>
            <w:pPr>
              <w:adjustRightInd w:val="0"/>
              <w:snapToGrid w:val="0"/>
              <w:spacing w:line="460" w:lineRule="exact"/>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生产工艺流程图如下：</w:t>
            </w:r>
          </w:p>
          <w:p>
            <w:pPr>
              <w:adjustRightInd w:val="0"/>
              <w:snapToGrid w:val="0"/>
              <w:jc w:val="both"/>
              <w:rPr>
                <w:rFonts w:hint="eastAsia" w:eastAsia="黑体"/>
                <w:color w:val="000000"/>
                <w:sz w:val="24"/>
                <w:lang w:eastAsia="zh-CN"/>
              </w:rPr>
            </w:pPr>
            <w:r>
              <w:rPr>
                <w:rFonts w:hint="eastAsia" w:eastAsia="黑体"/>
                <w:color w:val="000000"/>
                <w:sz w:val="24"/>
                <w:lang w:eastAsia="zh-CN"/>
              </w:rPr>
              <w:object>
                <v:shape id="_x0000_i1025" o:spt="75" type="#_x0000_t75" style="height:123.7pt;width:402pt;" o:ole="t" filled="f" o:preferrelative="t" stroked="f" coordsize="21600,21600">
                  <v:path/>
                  <v:fill on="f" focussize="0,0"/>
                  <v:stroke on="f"/>
                  <v:imagedata r:id="rId16" o:title=""/>
                  <o:lock v:ext="edit" aspectratio="t"/>
                  <w10:wrap type="none"/>
                  <w10:anchorlock/>
                </v:shape>
                <o:OLEObject Type="Embed" ProgID="Visio.Drawing.15" ShapeID="_x0000_i1025" DrawAspect="Content" ObjectID="_1468075725" r:id="rId15">
                  <o:LockedField>false</o:LockedField>
                </o:OLEObject>
              </w:object>
            </w:r>
          </w:p>
          <w:p>
            <w:pPr>
              <w:keepLines w:val="0"/>
              <w:pageBreakBefore w:val="0"/>
              <w:kinsoku/>
              <w:wordWrap/>
              <w:overflowPunct/>
              <w:topLinePunct w:val="0"/>
              <w:autoSpaceDE/>
              <w:autoSpaceDN/>
              <w:bidi w:val="0"/>
              <w:adjustRightInd w:val="0"/>
              <w:snapToGrid w:val="0"/>
              <w:spacing w:line="520" w:lineRule="exac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图</w:t>
            </w:r>
            <w:r>
              <w:rPr>
                <w:rFonts w:hint="eastAsia" w:ascii="Times New Roman" w:hAnsi="Times New Roman" w:eastAsia="宋体" w:cs="Times New Roman"/>
                <w:b/>
                <w:bCs/>
                <w:color w:val="000000"/>
                <w:sz w:val="21"/>
                <w:szCs w:val="21"/>
                <w:lang w:val="en-US" w:eastAsia="zh-CN"/>
              </w:rPr>
              <w:t>1</w:t>
            </w:r>
            <w:r>
              <w:rPr>
                <w:rFonts w:hint="default" w:ascii="Times New Roman" w:hAnsi="Times New Roman" w:eastAsia="宋体" w:cs="Times New Roman"/>
                <w:b/>
                <w:bCs/>
                <w:color w:val="000000"/>
                <w:sz w:val="21"/>
                <w:szCs w:val="21"/>
              </w:rPr>
              <w:t xml:space="preserve">  生产工艺及产污环节流程图</w:t>
            </w:r>
          </w:p>
          <w:p>
            <w:pPr>
              <w:keepLines w:val="0"/>
              <w:pageBreakBefore w:val="0"/>
              <w:kinsoku/>
              <w:wordWrap/>
              <w:overflowPunct/>
              <w:topLinePunct w:val="0"/>
              <w:autoSpaceDE/>
              <w:autoSpaceDN/>
              <w:bidi w:val="0"/>
              <w:adjustRightInd w:val="0"/>
              <w:snapToGrid w:val="0"/>
              <w:spacing w:line="520" w:lineRule="exact"/>
              <w:ind w:firstLine="420" w:firstLineChars="200"/>
              <w:rPr>
                <w:bCs/>
                <w:sz w:val="21"/>
                <w:szCs w:val="21"/>
              </w:rPr>
            </w:pPr>
            <w:r>
              <w:rPr>
                <w:color w:val="000000"/>
                <w:sz w:val="21"/>
                <w:szCs w:val="21"/>
              </w:rPr>
              <w:t>生产工艺流程详细说明如下：</w:t>
            </w:r>
          </w:p>
          <w:p>
            <w:pPr>
              <w:keepLines w:val="0"/>
              <w:pageBreakBefore w:val="0"/>
              <w:kinsoku/>
              <w:wordWrap/>
              <w:overflowPunct/>
              <w:topLinePunct w:val="0"/>
              <w:autoSpaceDE/>
              <w:autoSpaceDN/>
              <w:bidi w:val="0"/>
              <w:adjustRightInd w:val="0"/>
              <w:snapToGrid w:val="0"/>
              <w:spacing w:line="520" w:lineRule="exact"/>
              <w:ind w:firstLine="422" w:firstLineChars="200"/>
              <w:textAlignment w:val="baseline"/>
              <w:rPr>
                <w:rFonts w:hint="default" w:ascii="Times New Roman" w:hAnsi="Times New Roman" w:cs="Times New Roman"/>
                <w:color w:val="000000"/>
                <w:sz w:val="21"/>
                <w:szCs w:val="21"/>
              </w:rPr>
            </w:pPr>
            <w:r>
              <w:rPr>
                <w:rFonts w:hint="default" w:ascii="Times New Roman" w:hAnsi="Times New Roman" w:eastAsia="宋体" w:cs="Times New Roman"/>
                <w:b/>
                <w:bCs/>
                <w:color w:val="000000"/>
                <w:sz w:val="21"/>
                <w:szCs w:val="21"/>
              </w:rPr>
              <w:t>1、</w:t>
            </w:r>
            <w:r>
              <w:rPr>
                <w:rFonts w:hint="eastAsia" w:cs="Times New Roman"/>
                <w:b/>
                <w:bCs/>
                <w:color w:val="000000"/>
                <w:sz w:val="21"/>
                <w:szCs w:val="21"/>
                <w:lang w:val="en-US" w:eastAsia="zh-CN"/>
              </w:rPr>
              <w:t>投料</w:t>
            </w:r>
            <w:r>
              <w:rPr>
                <w:rFonts w:hint="default" w:ascii="Times New Roman" w:hAnsi="Times New Roman" w:eastAsia="宋体" w:cs="Times New Roman"/>
                <w:b/>
                <w:bCs/>
                <w:color w:val="000000"/>
                <w:sz w:val="21"/>
                <w:szCs w:val="21"/>
              </w:rPr>
              <w:t>：</w:t>
            </w:r>
            <w:r>
              <w:rPr>
                <w:rFonts w:hint="eastAsia" w:cs="Times New Roman"/>
                <w:color w:val="000000"/>
                <w:sz w:val="21"/>
                <w:szCs w:val="21"/>
                <w:lang w:val="en-US" w:eastAsia="zh-CN"/>
              </w:rPr>
              <w:t>采用提升机将腐植酸钾尾料、硅土按比例投入料斗，此过程有颗粒物废气产生，采用一套集气罩负压收集后，进入袋式除尘器处理达标后由15m高排气筒排放</w:t>
            </w:r>
            <w:r>
              <w:rPr>
                <w:rFonts w:hint="default" w:ascii="Times New Roman" w:hAnsi="Times New Roman" w:cs="Times New Roman"/>
                <w:color w:val="000000"/>
                <w:sz w:val="21"/>
                <w:szCs w:val="21"/>
              </w:rPr>
              <w:t>。</w:t>
            </w:r>
          </w:p>
          <w:p>
            <w:pPr>
              <w:keepLines w:val="0"/>
              <w:pageBreakBefore w:val="0"/>
              <w:kinsoku/>
              <w:wordWrap/>
              <w:overflowPunct/>
              <w:topLinePunct w:val="0"/>
              <w:autoSpaceDE/>
              <w:autoSpaceDN/>
              <w:bidi w:val="0"/>
              <w:adjustRightInd w:val="0"/>
              <w:snapToGrid w:val="0"/>
              <w:spacing w:line="520" w:lineRule="exact"/>
              <w:ind w:firstLine="422" w:firstLineChars="200"/>
              <w:textAlignment w:val="baseline"/>
              <w:rPr>
                <w:color w:val="000000"/>
                <w:sz w:val="21"/>
                <w:szCs w:val="21"/>
              </w:rPr>
            </w:pPr>
            <w:r>
              <w:rPr>
                <w:rFonts w:hint="default" w:ascii="Times New Roman" w:hAnsi="Times New Roman" w:eastAsia="宋体" w:cs="Times New Roman"/>
                <w:b/>
                <w:bCs/>
                <w:color w:val="000000"/>
                <w:sz w:val="21"/>
                <w:szCs w:val="21"/>
              </w:rPr>
              <w:t>2、</w:t>
            </w:r>
            <w:r>
              <w:rPr>
                <w:rFonts w:hint="eastAsia" w:cs="Times New Roman"/>
                <w:b/>
                <w:bCs/>
                <w:color w:val="000000"/>
                <w:sz w:val="21"/>
                <w:szCs w:val="21"/>
                <w:lang w:val="en-US" w:eastAsia="zh-CN"/>
              </w:rPr>
              <w:t>搅拌</w:t>
            </w:r>
            <w:r>
              <w:rPr>
                <w:rFonts w:hint="default" w:ascii="Times New Roman" w:hAnsi="Times New Roman" w:eastAsia="宋体" w:cs="Times New Roman"/>
                <w:b/>
                <w:bCs/>
                <w:color w:val="000000"/>
                <w:sz w:val="21"/>
                <w:szCs w:val="21"/>
              </w:rPr>
              <w:t>：</w:t>
            </w:r>
            <w:r>
              <w:rPr>
                <w:rFonts w:hint="eastAsia" w:ascii="Times New Roman" w:hAnsi="Times New Roman" w:eastAsia="宋体" w:cs="Times New Roman"/>
                <w:color w:val="000000"/>
                <w:sz w:val="21"/>
                <w:szCs w:val="21"/>
                <w:lang w:val="en-US" w:eastAsia="zh-CN"/>
              </w:rPr>
              <w:t>原辅料通过料斗进入密闭搅拌机，进行密闭搅拌，</w:t>
            </w:r>
            <w:r>
              <w:rPr>
                <w:rFonts w:hint="eastAsia" w:cs="Times New Roman"/>
                <w:color w:val="000000"/>
                <w:sz w:val="21"/>
                <w:szCs w:val="21"/>
                <w:lang w:val="en-US" w:eastAsia="zh-CN"/>
              </w:rPr>
              <w:t>在入口和出口处有颗粒物废气产生，在入口和出口处各安装一套集气罩负压收集后，进入袋式除尘器处理达标后由15m高排气筒排放</w:t>
            </w:r>
            <w:r>
              <w:rPr>
                <w:rFonts w:hint="default" w:ascii="Times New Roman" w:hAnsi="Times New Roman" w:cs="Times New Roman"/>
                <w:color w:val="000000"/>
                <w:sz w:val="21"/>
                <w:szCs w:val="21"/>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default" w:ascii="Times New Roman" w:hAnsi="Times New Roman" w:cs="Times New Roman"/>
                <w:color w:val="000000"/>
                <w:sz w:val="21"/>
                <w:szCs w:val="21"/>
              </w:rPr>
            </w:pPr>
            <w:r>
              <w:rPr>
                <w:rFonts w:hint="default" w:ascii="Times New Roman" w:hAnsi="Times New Roman" w:cs="Times New Roman"/>
                <w:b/>
                <w:bCs/>
                <w:color w:val="000000"/>
                <w:sz w:val="21"/>
                <w:szCs w:val="21"/>
              </w:rPr>
              <w:t>3、</w:t>
            </w:r>
            <w:r>
              <w:rPr>
                <w:rFonts w:hint="eastAsia" w:cs="Times New Roman"/>
                <w:b/>
                <w:bCs/>
                <w:color w:val="000000"/>
                <w:sz w:val="21"/>
                <w:szCs w:val="21"/>
                <w:lang w:val="en-US" w:eastAsia="zh-CN"/>
              </w:rPr>
              <w:t>液压挤压</w:t>
            </w:r>
            <w:r>
              <w:rPr>
                <w:rFonts w:hint="default" w:ascii="Times New Roman" w:hAnsi="Times New Roman" w:cs="Times New Roman"/>
                <w:b/>
                <w:bCs/>
                <w:color w:val="000000"/>
                <w:sz w:val="21"/>
                <w:szCs w:val="21"/>
              </w:rPr>
              <w:t>：</w:t>
            </w:r>
            <w:r>
              <w:rPr>
                <w:rFonts w:hint="eastAsia" w:cs="Times New Roman"/>
                <w:color w:val="000000"/>
                <w:sz w:val="21"/>
                <w:szCs w:val="21"/>
                <w:lang w:val="en-US" w:eastAsia="zh-CN"/>
              </w:rPr>
              <w:t>搅拌均匀的原辅料通过密闭皮带进入液压机进行挤压，液压机有排气孔在挤压过程中会排出颗粒物废气，采用一套集气罩负压收集后，进入袋式除尘器处理达标后由15m高排气筒排放</w:t>
            </w:r>
            <w:r>
              <w:rPr>
                <w:rFonts w:hint="default" w:ascii="Times New Roman" w:hAnsi="Times New Roman" w:cs="Times New Roman"/>
                <w:color w:val="000000"/>
                <w:sz w:val="21"/>
                <w:szCs w:val="21"/>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b/>
                <w:bCs/>
                <w:color w:val="000000"/>
                <w:sz w:val="21"/>
                <w:szCs w:val="21"/>
                <w:lang w:val="en-US" w:eastAsia="zh-CN"/>
              </w:rPr>
              <w:t>4</w:t>
            </w:r>
            <w:r>
              <w:rPr>
                <w:rFonts w:hint="default" w:ascii="Times New Roman" w:hAnsi="Times New Roman" w:cs="Times New Roman"/>
                <w:b/>
                <w:bCs/>
                <w:color w:val="000000"/>
                <w:sz w:val="21"/>
                <w:szCs w:val="21"/>
              </w:rPr>
              <w:t>、</w:t>
            </w:r>
            <w:r>
              <w:rPr>
                <w:rFonts w:hint="eastAsia" w:cs="Times New Roman"/>
                <w:b/>
                <w:bCs/>
                <w:color w:val="000000"/>
                <w:sz w:val="21"/>
                <w:szCs w:val="21"/>
                <w:lang w:val="en-US" w:eastAsia="zh-CN"/>
              </w:rPr>
              <w:t>筛分、成品</w:t>
            </w:r>
            <w:r>
              <w:rPr>
                <w:rFonts w:hint="default" w:ascii="Times New Roman" w:hAnsi="Times New Roman" w:cs="Times New Roman"/>
                <w:b/>
                <w:bCs/>
                <w:color w:val="000000"/>
                <w:sz w:val="21"/>
                <w:szCs w:val="21"/>
              </w:rPr>
              <w:t>：</w:t>
            </w:r>
            <w:r>
              <w:rPr>
                <w:rFonts w:hint="default" w:ascii="Times New Roman" w:hAnsi="Times New Roman" w:eastAsia="宋体" w:cs="Times New Roman"/>
                <w:color w:val="000000"/>
                <w:sz w:val="21"/>
                <w:szCs w:val="21"/>
                <w:lang w:val="en-US" w:eastAsia="zh-CN"/>
              </w:rPr>
              <w:t>对</w:t>
            </w:r>
            <w:r>
              <w:rPr>
                <w:rFonts w:hint="eastAsia" w:ascii="Times New Roman" w:hAnsi="Times New Roman" w:eastAsia="宋体" w:cs="Times New Roman"/>
                <w:color w:val="000000"/>
                <w:sz w:val="21"/>
                <w:szCs w:val="21"/>
                <w:lang w:val="en-US" w:eastAsia="zh-CN"/>
              </w:rPr>
              <w:t>挤压过后的产品通过密闭皮带进入筛分机将成品和粉末分离，分离成品约70%，粉末约30%，在成品出口和粉末出口各安装一套集气罩，产生的</w:t>
            </w:r>
            <w:r>
              <w:rPr>
                <w:rFonts w:hint="eastAsia" w:cs="Times New Roman"/>
                <w:color w:val="000000"/>
                <w:sz w:val="21"/>
                <w:szCs w:val="21"/>
                <w:lang w:val="en-US" w:eastAsia="zh-CN"/>
              </w:rPr>
              <w:t>颗粒物废气，采用集气罩负压收集后，进入袋式除尘器处理达标后由15m高排气筒排放</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val="en-US" w:eastAsia="zh-CN"/>
              </w:rPr>
              <w:t>分离出的粉末通过提升机进入料口回用，分离出的成品通过密闭皮带进入包装工序。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default"/>
                <w:lang w:val="en-US" w:eastAsia="zh-CN"/>
              </w:rPr>
            </w:pPr>
            <w:r>
              <w:rPr>
                <w:rFonts w:hint="eastAsia" w:ascii="Times New Roman" w:hAnsi="Times New Roman" w:eastAsia="宋体" w:cs="Times New Roman"/>
                <w:b/>
                <w:bCs/>
                <w:color w:val="000000"/>
                <w:kern w:val="2"/>
                <w:sz w:val="21"/>
                <w:szCs w:val="21"/>
                <w:lang w:val="en-US" w:eastAsia="zh-CN" w:bidi="ar-SA"/>
              </w:rPr>
              <w:t>4</w:t>
            </w:r>
            <w:r>
              <w:rPr>
                <w:rFonts w:hint="default" w:ascii="Times New Roman" w:hAnsi="Times New Roman" w:eastAsia="宋体" w:cs="Times New Roman"/>
                <w:b/>
                <w:bCs/>
                <w:color w:val="000000"/>
                <w:kern w:val="2"/>
                <w:sz w:val="21"/>
                <w:szCs w:val="21"/>
                <w:lang w:val="en-US" w:eastAsia="zh-CN" w:bidi="ar-SA"/>
              </w:rPr>
              <w:t>、</w:t>
            </w:r>
            <w:r>
              <w:rPr>
                <w:rFonts w:hint="eastAsia" w:ascii="Times New Roman" w:hAnsi="Times New Roman" w:eastAsia="宋体" w:cs="Times New Roman"/>
                <w:b/>
                <w:bCs/>
                <w:color w:val="000000"/>
                <w:kern w:val="2"/>
                <w:sz w:val="21"/>
                <w:szCs w:val="21"/>
                <w:lang w:val="en-US" w:eastAsia="zh-CN" w:bidi="ar-SA"/>
              </w:rPr>
              <w:t>包装</w:t>
            </w:r>
            <w:r>
              <w:rPr>
                <w:rFonts w:hint="default" w:ascii="Times New Roman" w:hAnsi="Times New Roman" w:eastAsia="宋体" w:cs="Times New Roman"/>
                <w:b/>
                <w:bCs/>
                <w:color w:val="000000"/>
                <w:kern w:val="2"/>
                <w:sz w:val="21"/>
                <w:szCs w:val="21"/>
                <w:lang w:val="en-US" w:eastAsia="zh-CN" w:bidi="ar-SA"/>
              </w:rPr>
              <w:t>：</w:t>
            </w:r>
            <w:r>
              <w:rPr>
                <w:rFonts w:hint="default" w:ascii="Times New Roman" w:hAnsi="Times New Roman" w:eastAsia="宋体" w:cs="Times New Roman"/>
                <w:color w:val="000000"/>
                <w:sz w:val="21"/>
                <w:szCs w:val="21"/>
                <w:lang w:val="en-US" w:eastAsia="zh-CN"/>
              </w:rPr>
              <w:t>对</w:t>
            </w:r>
            <w:r>
              <w:rPr>
                <w:rFonts w:hint="eastAsia" w:ascii="Times New Roman" w:hAnsi="Times New Roman" w:eastAsia="宋体" w:cs="Times New Roman"/>
                <w:color w:val="000000"/>
                <w:sz w:val="21"/>
                <w:szCs w:val="21"/>
                <w:lang w:val="en-US" w:eastAsia="zh-CN"/>
              </w:rPr>
              <w:t>分离过得成品进行装袋封口，成品为颗粒状（粒径≥6mm），在包装过程中不产生颗粒物废气。包装后的成品放入成品仓库。</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520" w:lineRule="exact"/>
              <w:ind w:left="0" w:right="0" w:firstLine="0" w:firstLineChars="0"/>
              <w:jc w:val="left"/>
              <w:textAlignment w:val="auto"/>
              <w:rPr>
                <w:rFonts w:ascii="Times New Roman" w:hAnsi="Times New Roman" w:eastAsia="宋体" w:cs="Times New Roman"/>
                <w:b/>
                <w:bCs/>
                <w:color w:val="auto"/>
                <w:kern w:val="0"/>
                <w:sz w:val="21"/>
                <w:szCs w:val="20"/>
                <w:lang w:val="en-US" w:eastAsia="zh-CN" w:bidi="ar-SA"/>
              </w:rPr>
            </w:pPr>
            <w:r>
              <w:rPr>
                <w:rFonts w:ascii="Times New Roman" w:hAnsi="Times New Roman" w:eastAsia="宋体" w:cs="Times New Roman"/>
                <w:b/>
                <w:bCs/>
                <w:color w:val="auto"/>
                <w:kern w:val="0"/>
                <w:sz w:val="21"/>
                <w:szCs w:val="20"/>
                <w:lang w:val="en-US" w:eastAsia="zh-CN" w:bidi="ar-SA"/>
              </w:rPr>
              <w:t>二、主要污染工序</w:t>
            </w:r>
          </w:p>
          <w:p>
            <w:pPr>
              <w:pStyle w:val="31"/>
              <w:keepLines w:val="0"/>
              <w:pageBreakBefore w:val="0"/>
              <w:kinsoku/>
              <w:wordWrap/>
              <w:overflowPunct/>
              <w:topLinePunct w:val="0"/>
              <w:autoSpaceDE/>
              <w:autoSpaceDN/>
              <w:bidi w:val="0"/>
              <w:spacing w:line="5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项目产污环节一览表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815"/>
              <w:gridCol w:w="1774"/>
              <w:gridCol w:w="1369"/>
              <w:gridCol w:w="1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污染类别</w:t>
                  </w: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产污环节</w:t>
                  </w:r>
                </w:p>
              </w:tc>
              <w:tc>
                <w:tcPr>
                  <w:tcW w:w="1103"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污染物</w:t>
                  </w:r>
                </w:p>
              </w:tc>
              <w:tc>
                <w:tcPr>
                  <w:tcW w:w="1996" w:type="pct"/>
                  <w:gridSpan w:val="2"/>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restar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废气</w:t>
                  </w: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投料</w:t>
                  </w:r>
                </w:p>
              </w:tc>
              <w:tc>
                <w:tcPr>
                  <w:tcW w:w="1103"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851"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集气罩一套</w:t>
                  </w:r>
                </w:p>
              </w:tc>
              <w:tc>
                <w:tcPr>
                  <w:tcW w:w="1145" w:type="pct"/>
                  <w:vMerge w:val="restar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bCs/>
                      <w:color w:val="auto"/>
                      <w:sz w:val="21"/>
                      <w:szCs w:val="21"/>
                      <w:highlight w:val="none"/>
                      <w:lang w:val="en-US" w:eastAsia="zh-CN"/>
                    </w:rPr>
                  </w:pPr>
                  <w:r>
                    <w:rPr>
                      <w:rFonts w:hint="eastAsia"/>
                      <w:bCs/>
                      <w:color w:val="auto"/>
                      <w:sz w:val="21"/>
                      <w:szCs w:val="21"/>
                      <w:highlight w:val="none"/>
                      <w:lang w:val="en-US" w:eastAsia="zh-CN"/>
                    </w:rPr>
                    <w:t>1套“</w:t>
                  </w:r>
                  <w:r>
                    <w:rPr>
                      <w:rFonts w:hint="eastAsia"/>
                      <w:color w:val="auto"/>
                      <w:lang w:val="en-US" w:eastAsia="zh-CN"/>
                    </w:rPr>
                    <w:t>袋式除尘器</w:t>
                  </w:r>
                  <w:r>
                    <w:rPr>
                      <w:rFonts w:hint="eastAsia"/>
                      <w:bCs/>
                      <w:color w:val="auto"/>
                      <w:sz w:val="21"/>
                      <w:szCs w:val="21"/>
                      <w:highlight w:val="none"/>
                      <w:lang w:eastAsia="zh-CN"/>
                    </w:rPr>
                    <w:t>，</w:t>
                  </w:r>
                  <w:r>
                    <w:rPr>
                      <w:rFonts w:hint="eastAsia"/>
                      <w:bCs/>
                      <w:color w:val="auto"/>
                      <w:sz w:val="21"/>
                      <w:szCs w:val="21"/>
                      <w:highlight w:val="none"/>
                      <w:lang w:val="en-US" w:eastAsia="zh-CN"/>
                    </w:rPr>
                    <w:t>处理后废气经1根15m高排气筒排放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continue"/>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eastAsiaTheme="minorEastAsia"/>
                      <w:color w:val="auto"/>
                      <w:sz w:val="21"/>
                      <w:szCs w:val="21"/>
                      <w:lang w:val="en-US" w:eastAsia="zh-CN"/>
                    </w:rPr>
                  </w:pP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搅拌</w:t>
                  </w:r>
                </w:p>
              </w:tc>
              <w:tc>
                <w:tcPr>
                  <w:tcW w:w="1103"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851" w:type="pct"/>
                  <w:noWrap w:val="0"/>
                  <w:tcMar>
                    <w:top w:w="85" w:type="dxa"/>
                    <w:bottom w:w="8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bCs/>
                      <w:color w:val="auto"/>
                      <w:sz w:val="21"/>
                      <w:szCs w:val="21"/>
                      <w:highlight w:val="none"/>
                      <w:lang w:val="en-US" w:eastAsia="zh-CN"/>
                    </w:rPr>
                  </w:pPr>
                  <w:r>
                    <w:rPr>
                      <w:rFonts w:hint="eastAsia" w:cs="Times New Roman" w:eastAsiaTheme="minorEastAsia"/>
                      <w:color w:val="auto"/>
                      <w:sz w:val="21"/>
                      <w:szCs w:val="21"/>
                      <w:highlight w:val="none"/>
                      <w:lang w:val="en-US" w:eastAsia="zh-CN"/>
                    </w:rPr>
                    <w:t>集气罩两套</w:t>
                  </w:r>
                </w:p>
              </w:tc>
              <w:tc>
                <w:tcPr>
                  <w:tcW w:w="1145" w:type="pct"/>
                  <w:vMerge w:val="continue"/>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continue"/>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eastAsiaTheme="minorEastAsia"/>
                      <w:color w:val="auto"/>
                      <w:sz w:val="21"/>
                      <w:szCs w:val="21"/>
                      <w:lang w:val="en-US" w:eastAsia="zh-CN"/>
                    </w:rPr>
                  </w:pP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液压挤压</w:t>
                  </w:r>
                </w:p>
              </w:tc>
              <w:tc>
                <w:tcPr>
                  <w:tcW w:w="1103" w:type="pct"/>
                  <w:noWrap w:val="0"/>
                  <w:tcMar>
                    <w:top w:w="85" w:type="dxa"/>
                    <w:bottom w:w="8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851" w:type="pct"/>
                  <w:noWrap w:val="0"/>
                  <w:tcMar>
                    <w:top w:w="85" w:type="dxa"/>
                    <w:bottom w:w="8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bCs/>
                      <w:color w:val="auto"/>
                      <w:sz w:val="21"/>
                      <w:szCs w:val="21"/>
                      <w:highlight w:val="none"/>
                      <w:lang w:val="en-US" w:eastAsia="zh-CN"/>
                    </w:rPr>
                  </w:pPr>
                  <w:r>
                    <w:rPr>
                      <w:rFonts w:hint="eastAsia" w:cs="Times New Roman" w:eastAsiaTheme="minorEastAsia"/>
                      <w:color w:val="auto"/>
                      <w:sz w:val="21"/>
                      <w:szCs w:val="21"/>
                      <w:highlight w:val="none"/>
                      <w:lang w:val="en-US" w:eastAsia="zh-CN"/>
                    </w:rPr>
                    <w:t>集气罩一套</w:t>
                  </w:r>
                </w:p>
              </w:tc>
              <w:tc>
                <w:tcPr>
                  <w:tcW w:w="1145" w:type="pct"/>
                  <w:vMerge w:val="continue"/>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continue"/>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筛分</w:t>
                  </w:r>
                </w:p>
              </w:tc>
              <w:tc>
                <w:tcPr>
                  <w:tcW w:w="1103" w:type="pct"/>
                  <w:noWrap w:val="0"/>
                  <w:tcMar>
                    <w:top w:w="85" w:type="dxa"/>
                    <w:bottom w:w="8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851" w:type="pct"/>
                  <w:noWrap w:val="0"/>
                  <w:tcMar>
                    <w:top w:w="85" w:type="dxa"/>
                    <w:bottom w:w="8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val="en-US" w:eastAsia="zh-CN"/>
                    </w:rPr>
                  </w:pPr>
                  <w:r>
                    <w:rPr>
                      <w:rFonts w:hint="eastAsia" w:cs="Times New Roman" w:eastAsiaTheme="minorEastAsia"/>
                      <w:color w:val="auto"/>
                      <w:sz w:val="21"/>
                      <w:szCs w:val="21"/>
                      <w:highlight w:val="none"/>
                      <w:lang w:val="en-US" w:eastAsia="zh-CN"/>
                    </w:rPr>
                    <w:t>集气罩两套</w:t>
                  </w:r>
                </w:p>
              </w:tc>
              <w:tc>
                <w:tcPr>
                  <w:tcW w:w="1145" w:type="pct"/>
                  <w:vMerge w:val="continue"/>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废水</w:t>
                  </w: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eastAsia"/>
                      <w:u w:val="none"/>
                    </w:rPr>
                    <w:t>生活污水</w:t>
                  </w:r>
                </w:p>
              </w:tc>
              <w:tc>
                <w:tcPr>
                  <w:tcW w:w="1103"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COD、SS、氨氮、TP</w:t>
                  </w:r>
                </w:p>
              </w:tc>
              <w:tc>
                <w:tcPr>
                  <w:tcW w:w="1996" w:type="pct"/>
                  <w:gridSpan w:val="2"/>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eastAsiaTheme="minorEastAsia"/>
                      <w:color w:val="auto"/>
                      <w:sz w:val="21"/>
                      <w:szCs w:val="21"/>
                      <w:lang w:val="en-US" w:eastAsia="zh-CN"/>
                    </w:rPr>
                    <w:t>依托厂区现有化粪池处理后，定期清运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噪声</w:t>
                  </w: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机械设备运行过程</w:t>
                  </w:r>
                </w:p>
              </w:tc>
              <w:tc>
                <w:tcPr>
                  <w:tcW w:w="1103"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设备噪声</w:t>
                  </w:r>
                </w:p>
              </w:tc>
              <w:tc>
                <w:tcPr>
                  <w:tcW w:w="1996" w:type="pct"/>
                  <w:gridSpan w:val="2"/>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基础减振、厂房隔声、距离衰减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restar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固废</w:t>
                  </w: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职工生活</w:t>
                  </w:r>
                </w:p>
              </w:tc>
              <w:tc>
                <w:tcPr>
                  <w:tcW w:w="1103"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生活垃圾</w:t>
                  </w:r>
                </w:p>
              </w:tc>
              <w:tc>
                <w:tcPr>
                  <w:tcW w:w="1996" w:type="pct"/>
                  <w:gridSpan w:val="2"/>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szCs w:val="21"/>
                      <w:lang w:val="en-US" w:eastAsia="zh-CN"/>
                    </w:rPr>
                    <w:t>垃圾桶定期收集，</w:t>
                  </w:r>
                  <w:r>
                    <w:rPr>
                      <w:rFonts w:hint="eastAsia"/>
                      <w:szCs w:val="21"/>
                    </w:rPr>
                    <w:t>交由环卫部门处置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continue"/>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生产固废</w:t>
                  </w:r>
                </w:p>
              </w:tc>
              <w:tc>
                <w:tcPr>
                  <w:tcW w:w="1103"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原辅料废包装袋</w:t>
                  </w:r>
                </w:p>
              </w:tc>
              <w:tc>
                <w:tcPr>
                  <w:tcW w:w="1996" w:type="pct"/>
                  <w:gridSpan w:val="2"/>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暂存一般固废间，定期出售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continue"/>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p>
              </w:tc>
              <w:tc>
                <w:tcPr>
                  <w:tcW w:w="1128"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除尘器收集粉尘</w:t>
                  </w:r>
                </w:p>
              </w:tc>
              <w:tc>
                <w:tcPr>
                  <w:tcW w:w="1103" w:type="pct"/>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除尘器收集粉尘</w:t>
                  </w:r>
                </w:p>
              </w:tc>
              <w:tc>
                <w:tcPr>
                  <w:tcW w:w="1996" w:type="pct"/>
                  <w:gridSpan w:val="2"/>
                  <w:noWrap w:val="0"/>
                  <w:tcMar>
                    <w:top w:w="85" w:type="dxa"/>
                    <w:bottom w:w="85" w:type="dxa"/>
                  </w:tcMar>
                  <w:vAlign w:val="center"/>
                </w:tcPr>
                <w:p>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暂存一般固废间，定期</w:t>
                  </w:r>
                  <w:r>
                    <w:rPr>
                      <w:rFonts w:hint="eastAsia" w:cs="Times New Roman"/>
                      <w:szCs w:val="21"/>
                      <w:lang w:val="en-US" w:eastAsia="zh-CN"/>
                    </w:rPr>
                    <w:t>回用于生产</w:t>
                  </w:r>
                </w:p>
              </w:tc>
            </w:tr>
          </w:tbl>
          <w:p>
            <w:pPr>
              <w:keepNext w:val="0"/>
              <w:keepLines w:val="0"/>
              <w:widowControl/>
              <w:suppressLineNumbers w:val="0"/>
              <w:snapToGrid w:val="0"/>
              <w:spacing w:before="0" w:beforeAutospacing="0" w:after="0" w:afterAutospacing="0" w:line="400" w:lineRule="exact"/>
              <w:ind w:left="0" w:right="0" w:firstLine="0" w:firstLineChars="0"/>
              <w:jc w:val="left"/>
              <w:rPr>
                <w:rFonts w:ascii="Times New Roman" w:hAnsi="Times New Roman" w:eastAsia="宋体" w:cs="Times New Roman"/>
                <w:color w:val="FF0000"/>
                <w:kern w:val="0"/>
                <w:sz w:val="21"/>
                <w:szCs w:val="20"/>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3" w:hRule="atLeast"/>
          <w:jc w:val="center"/>
        </w:trPr>
        <w:tc>
          <w:tcPr>
            <w:tcW w:w="823" w:type="dxa"/>
            <w:noWrap w:val="0"/>
            <w:vAlign w:val="center"/>
          </w:tcPr>
          <w:p>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bCs/>
                <w:color w:val="FF0000"/>
                <w:kern w:val="2"/>
                <w:sz w:val="21"/>
                <w:szCs w:val="21"/>
                <w:lang w:val="en-US" w:eastAsia="zh-CN" w:bidi="ar-SA"/>
              </w:rPr>
            </w:pPr>
          </w:p>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FF0000"/>
                <w:kern w:val="0"/>
                <w:sz w:val="21"/>
                <w:szCs w:val="21"/>
                <w:lang w:val="en-US" w:eastAsia="zh-CN" w:bidi="ar-SA"/>
              </w:rPr>
            </w:pPr>
            <w:r>
              <w:rPr>
                <w:rFonts w:hint="eastAsia" w:ascii="宋体" w:hAnsi="宋体" w:eastAsia="宋体" w:cs="宋体"/>
                <w:bCs/>
                <w:color w:val="auto"/>
                <w:kern w:val="2"/>
                <w:sz w:val="21"/>
                <w:szCs w:val="21"/>
                <w:lang w:val="en-US" w:eastAsia="zh-CN" w:bidi="ar-SA"/>
              </w:rPr>
              <w:t>与项目有关的原有环境污染问题</w:t>
            </w:r>
          </w:p>
        </w:tc>
        <w:tc>
          <w:tcPr>
            <w:tcW w:w="8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center"/>
              <w:textAlignment w:val="baseline"/>
              <w:rPr>
                <w:rFonts w:hint="default" w:ascii="Times New Roman" w:hAnsi="Times New Roman" w:eastAsia="宋体" w:cs="Times New Roman"/>
                <w:color w:val="FF0000"/>
                <w:kern w:val="0"/>
                <w:sz w:val="21"/>
                <w:szCs w:val="20"/>
                <w:lang w:val="en-US" w:eastAsia="zh-CN" w:bidi="ar-SA"/>
              </w:rPr>
            </w:pPr>
            <w:r>
              <w:rPr>
                <w:rFonts w:hint="eastAsia" w:ascii="宋体" w:hAnsi="宋体" w:eastAsia="宋体" w:cs="宋体"/>
                <w:bCs/>
                <w:color w:val="auto"/>
                <w:kern w:val="2"/>
                <w:sz w:val="21"/>
                <w:szCs w:val="21"/>
                <w:lang w:val="en-US" w:eastAsia="zh-CN" w:bidi="ar-SA"/>
              </w:rPr>
              <w:t>本项目为新建项目，不存在原有项目环境污染问题。</w:t>
            </w:r>
          </w:p>
        </w:tc>
      </w:tr>
    </w:tbl>
    <w:p>
      <w:pPr>
        <w:jc w:val="center"/>
        <w:rPr>
          <w:rFonts w:ascii="黑体" w:hAnsi="黑体" w:eastAsia="黑体"/>
          <w:snapToGrid w:val="0"/>
          <w:color w:val="FF000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widowControl/>
        <w:adjustRightInd w:val="0"/>
        <w:snapToGrid w:val="0"/>
        <w:spacing w:before="0" w:beforeAutospacing="0" w:after="0" w:afterAutospacing="0" w:line="14" w:lineRule="auto"/>
        <w:jc w:val="center"/>
        <w:outlineLvl w:val="0"/>
        <w:rPr>
          <w:rFonts w:hint="eastAsia" w:ascii="黑体" w:hAnsi="黑体" w:eastAsia="黑体" w:cs="Times New Roman"/>
          <w:snapToGrid w:val="0"/>
          <w:color w:val="FF0000"/>
          <w:kern w:val="0"/>
          <w:sz w:val="30"/>
          <w:szCs w:val="30"/>
          <w:lang w:val="en-US" w:eastAsia="zh-CN" w:bidi="ar-SA"/>
        </w:r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ascii="宋体" w:hAnsi="宋体" w:cs="宋体"/>
                <w:color w:val="FF0000"/>
                <w:kern w:val="0"/>
                <w:szCs w:val="21"/>
              </w:rPr>
            </w:pPr>
            <w:r>
              <w:rPr>
                <w:rFonts w:hint="eastAsia" w:ascii="宋体" w:hAnsi="宋体" w:cs="宋体"/>
                <w:color w:val="auto"/>
                <w:kern w:val="0"/>
                <w:szCs w:val="21"/>
              </w:rPr>
              <w:t>现状</w:t>
            </w:r>
          </w:p>
        </w:tc>
        <w:tc>
          <w:tcPr>
            <w:tcW w:w="81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422" w:firstLineChars="200"/>
              <w:textAlignment w:val="auto"/>
              <w:rPr>
                <w:rFonts w:hint="default" w:ascii="Times New Roman" w:hAnsi="Times New Roman" w:cs="Times New Roman"/>
                <w:b/>
                <w:sz w:val="21"/>
                <w:szCs w:val="21"/>
              </w:rPr>
            </w:pPr>
            <w:r>
              <w:rPr>
                <w:rFonts w:hint="default" w:ascii="Times New Roman" w:hAnsi="Times New Roman" w:cs="Times New Roman"/>
                <w:b/>
                <w:sz w:val="21"/>
                <w:szCs w:val="21"/>
              </w:rPr>
              <w:t>1、环境空气质量现状</w:t>
            </w:r>
          </w:p>
          <w:p>
            <w:pPr>
              <w:keepNext w:val="0"/>
              <w:keepLines w:val="0"/>
              <w:pageBreakBefore w:val="0"/>
              <w:widowControl w:val="0"/>
              <w:kinsoku/>
              <w:wordWrap/>
              <w:overflowPunct/>
              <w:topLinePunct w:val="0"/>
              <w:autoSpaceDE/>
              <w:autoSpaceDN/>
              <w:bidi w:val="0"/>
              <w:spacing w:line="5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根据大气功能区划分原则，建设项目所在地为二类功能区，环境空气质量应执行《环境空气质量标准》（GB3095-2012）二级标准。根据新乡市生态环境局发布的《新乡市202</w:t>
            </w:r>
            <w:r>
              <w:rPr>
                <w:rFonts w:hint="eastAsia" w:cs="Times New Roman"/>
                <w:sz w:val="21"/>
                <w:szCs w:val="21"/>
                <w:lang w:val="en-US" w:eastAsia="zh-CN"/>
              </w:rPr>
              <w:t>2</w:t>
            </w:r>
            <w:r>
              <w:rPr>
                <w:rFonts w:hint="default" w:ascii="Times New Roman" w:hAnsi="Times New Roman" w:cs="Times New Roman"/>
                <w:sz w:val="21"/>
                <w:szCs w:val="21"/>
              </w:rPr>
              <w:t>年环境质量年报》，区域空气质量现状数据如下表所示。</w:t>
            </w:r>
          </w:p>
          <w:p>
            <w:pPr>
              <w:pStyle w:val="31"/>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区域空气质量现状评价表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57" w:type="dxa"/>
                <w:left w:w="57" w:type="dxa"/>
                <w:bottom w:w="57" w:type="dxa"/>
                <w:right w:w="57" w:type="dxa"/>
              </w:tblCellMar>
            </w:tblPr>
            <w:tblGrid>
              <w:gridCol w:w="806"/>
              <w:gridCol w:w="1761"/>
              <w:gridCol w:w="1701"/>
              <w:gridCol w:w="1418"/>
              <w:gridCol w:w="1134"/>
              <w:gridCol w:w="1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57" w:type="dxa"/>
                  <w:left w:w="57" w:type="dxa"/>
                  <w:bottom w:w="57" w:type="dxa"/>
                  <w:right w:w="57" w:type="dxa"/>
                </w:tblCellMar>
              </w:tblPrEx>
              <w:trPr>
                <w:cantSplit/>
                <w:trHeight w:val="794" w:hRule="atLeast"/>
                <w:jc w:val="center"/>
              </w:trPr>
              <w:tc>
                <w:tcPr>
                  <w:tcW w:w="806"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污染物</w:t>
                  </w:r>
                </w:p>
              </w:tc>
              <w:tc>
                <w:tcPr>
                  <w:tcW w:w="1761"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年评价指标</w:t>
                  </w:r>
                </w:p>
              </w:tc>
              <w:tc>
                <w:tcPr>
                  <w:tcW w:w="1701"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现状浓度/</w:t>
                  </w:r>
                </w:p>
                <w:p>
                  <w:pPr>
                    <w:autoSpaceDE w:val="0"/>
                    <w:autoSpaceDN w:val="0"/>
                    <w:adjustRightInd w:val="0"/>
                    <w:snapToGrid w:val="0"/>
                    <w:contextualSpacing/>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（μg/m</w:t>
                  </w:r>
                  <w:r>
                    <w:rPr>
                      <w:rFonts w:hint="default" w:ascii="Times New Roman" w:hAnsi="Times New Roman" w:cs="Times New Roman"/>
                      <w:b/>
                      <w:color w:val="000000"/>
                      <w:sz w:val="21"/>
                      <w:szCs w:val="21"/>
                      <w:vertAlign w:val="superscript"/>
                    </w:rPr>
                    <w:t>3</w:t>
                  </w:r>
                  <w:r>
                    <w:rPr>
                      <w:rFonts w:hint="default" w:ascii="Times New Roman" w:hAnsi="Times New Roman" w:cs="Times New Roman"/>
                      <w:b/>
                      <w:color w:val="000000"/>
                      <w:sz w:val="21"/>
                      <w:szCs w:val="21"/>
                    </w:rPr>
                    <w:t>）</w:t>
                  </w:r>
                </w:p>
              </w:tc>
              <w:tc>
                <w:tcPr>
                  <w:tcW w:w="1418"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标准值/（</w:t>
                  </w:r>
                  <w:r>
                    <w:rPr>
                      <w:rFonts w:hint="default" w:ascii="Times New Roman" w:hAnsi="Times New Roman" w:cs="Times New Roman"/>
                      <w:b/>
                      <w:bCs/>
                      <w:color w:val="000000"/>
                      <w:sz w:val="21"/>
                      <w:szCs w:val="21"/>
                    </w:rPr>
                    <w:t>μ</w:t>
                  </w:r>
                  <w:r>
                    <w:rPr>
                      <w:rFonts w:hint="default" w:ascii="Times New Roman" w:hAnsi="Times New Roman" w:cs="Times New Roman"/>
                      <w:b/>
                      <w:color w:val="000000"/>
                      <w:sz w:val="21"/>
                      <w:szCs w:val="21"/>
                    </w:rPr>
                    <w:t>g/m</w:t>
                  </w:r>
                  <w:r>
                    <w:rPr>
                      <w:rFonts w:hint="default" w:ascii="Times New Roman" w:hAnsi="Times New Roman" w:cs="Times New Roman"/>
                      <w:b/>
                      <w:color w:val="000000"/>
                      <w:sz w:val="21"/>
                      <w:szCs w:val="21"/>
                      <w:vertAlign w:val="superscript"/>
                    </w:rPr>
                    <w:t>3</w:t>
                  </w:r>
                  <w:r>
                    <w:rPr>
                      <w:rFonts w:hint="default" w:ascii="Times New Roman" w:hAnsi="Times New Roman" w:cs="Times New Roman"/>
                      <w:b/>
                      <w:color w:val="000000"/>
                      <w:sz w:val="21"/>
                      <w:szCs w:val="21"/>
                    </w:rPr>
                    <w:t>）</w:t>
                  </w:r>
                </w:p>
              </w:tc>
              <w:tc>
                <w:tcPr>
                  <w:tcW w:w="1134"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占标率/%</w:t>
                  </w:r>
                </w:p>
              </w:tc>
              <w:tc>
                <w:tcPr>
                  <w:tcW w:w="1154"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57" w:type="dxa"/>
                  <w:left w:w="57" w:type="dxa"/>
                  <w:bottom w:w="57" w:type="dxa"/>
                  <w:right w:w="57" w:type="dxa"/>
                </w:tblCellMar>
              </w:tblPrEx>
              <w:trPr>
                <w:cantSplit/>
                <w:trHeight w:val="397" w:hRule="atLeast"/>
                <w:jc w:val="center"/>
              </w:trPr>
              <w:tc>
                <w:tcPr>
                  <w:tcW w:w="806"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PM</w:t>
                  </w:r>
                  <w:r>
                    <w:rPr>
                      <w:rFonts w:hint="default" w:ascii="Times New Roman" w:hAnsi="Times New Roman" w:cs="Times New Roman"/>
                      <w:color w:val="000000"/>
                      <w:sz w:val="21"/>
                      <w:szCs w:val="21"/>
                      <w:vertAlign w:val="subscript"/>
                    </w:rPr>
                    <w:t>10</w:t>
                  </w:r>
                </w:p>
              </w:tc>
              <w:tc>
                <w:tcPr>
                  <w:tcW w:w="1761" w:type="dxa"/>
                  <w:tcBorders>
                    <w:tl2br w:val="nil"/>
                    <w:tr2bl w:val="nil"/>
                  </w:tcBorders>
                  <w:tcMar>
                    <w:top w:w="57" w:type="dxa"/>
                    <w:left w:w="85" w:type="dxa"/>
                    <w:bottom w:w="57" w:type="dxa"/>
                    <w:right w:w="85" w:type="dxa"/>
                  </w:tcMar>
                  <w:vAlign w:val="center"/>
                </w:tcPr>
                <w:p>
                  <w:pPr>
                    <w:overflowPunct w:val="0"/>
                    <w:autoSpaceDE w:val="0"/>
                    <w:autoSpaceDN w:val="0"/>
                    <w:adjustRightIn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年平均质量浓度</w:t>
                  </w:r>
                </w:p>
              </w:tc>
              <w:tc>
                <w:tcPr>
                  <w:tcW w:w="1701"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89</w:t>
                  </w:r>
                </w:p>
              </w:tc>
              <w:tc>
                <w:tcPr>
                  <w:tcW w:w="1418"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sz w:val="21"/>
                      <w:szCs w:val="21"/>
                    </w:rPr>
                    <w:t>70</w:t>
                  </w:r>
                </w:p>
              </w:tc>
              <w:tc>
                <w:tcPr>
                  <w:tcW w:w="1134" w:type="dxa"/>
                  <w:tcBorders>
                    <w:tl2br w:val="nil"/>
                    <w:tr2bl w:val="nil"/>
                  </w:tcBorders>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127.14</w:t>
                  </w:r>
                </w:p>
              </w:tc>
              <w:tc>
                <w:tcPr>
                  <w:tcW w:w="1154"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57" w:type="dxa"/>
                  <w:left w:w="57" w:type="dxa"/>
                  <w:bottom w:w="57" w:type="dxa"/>
                  <w:right w:w="57" w:type="dxa"/>
                </w:tblCellMar>
              </w:tblPrEx>
              <w:trPr>
                <w:cantSplit/>
                <w:trHeight w:val="397" w:hRule="atLeast"/>
                <w:jc w:val="center"/>
              </w:trPr>
              <w:tc>
                <w:tcPr>
                  <w:tcW w:w="806"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PM</w:t>
                  </w:r>
                  <w:r>
                    <w:rPr>
                      <w:rFonts w:hint="default" w:ascii="Times New Roman" w:hAnsi="Times New Roman" w:cs="Times New Roman"/>
                      <w:color w:val="000000"/>
                      <w:sz w:val="21"/>
                      <w:szCs w:val="21"/>
                      <w:vertAlign w:val="subscript"/>
                    </w:rPr>
                    <w:t>2.5</w:t>
                  </w:r>
                </w:p>
              </w:tc>
              <w:tc>
                <w:tcPr>
                  <w:tcW w:w="1761"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年平均质量浓度</w:t>
                  </w:r>
                </w:p>
              </w:tc>
              <w:tc>
                <w:tcPr>
                  <w:tcW w:w="1701"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50</w:t>
                  </w:r>
                </w:p>
              </w:tc>
              <w:tc>
                <w:tcPr>
                  <w:tcW w:w="1418"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sz w:val="21"/>
                      <w:szCs w:val="21"/>
                    </w:rPr>
                    <w:t>35</w:t>
                  </w:r>
                </w:p>
              </w:tc>
              <w:tc>
                <w:tcPr>
                  <w:tcW w:w="1134" w:type="dxa"/>
                  <w:tcBorders>
                    <w:tl2br w:val="nil"/>
                    <w:tr2bl w:val="nil"/>
                  </w:tcBorders>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142.85</w:t>
                  </w:r>
                </w:p>
              </w:tc>
              <w:tc>
                <w:tcPr>
                  <w:tcW w:w="1154"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57" w:type="dxa"/>
                  <w:left w:w="57" w:type="dxa"/>
                  <w:bottom w:w="57" w:type="dxa"/>
                  <w:right w:w="57" w:type="dxa"/>
                </w:tblCellMar>
              </w:tblPrEx>
              <w:trPr>
                <w:cantSplit/>
                <w:trHeight w:val="397" w:hRule="atLeast"/>
                <w:jc w:val="center"/>
              </w:trPr>
              <w:tc>
                <w:tcPr>
                  <w:tcW w:w="806"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SO</w:t>
                  </w:r>
                  <w:r>
                    <w:rPr>
                      <w:rFonts w:hint="default" w:ascii="Times New Roman" w:hAnsi="Times New Roman" w:cs="Times New Roman"/>
                      <w:color w:val="000000"/>
                      <w:sz w:val="21"/>
                      <w:szCs w:val="21"/>
                      <w:vertAlign w:val="subscript"/>
                    </w:rPr>
                    <w:t>2</w:t>
                  </w:r>
                </w:p>
              </w:tc>
              <w:tc>
                <w:tcPr>
                  <w:tcW w:w="1761"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年平均质量浓度</w:t>
                  </w:r>
                </w:p>
              </w:tc>
              <w:tc>
                <w:tcPr>
                  <w:tcW w:w="1701"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10</w:t>
                  </w:r>
                </w:p>
              </w:tc>
              <w:tc>
                <w:tcPr>
                  <w:tcW w:w="1418"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sz w:val="21"/>
                      <w:szCs w:val="21"/>
                    </w:rPr>
                    <w:t>60</w:t>
                  </w:r>
                </w:p>
              </w:tc>
              <w:tc>
                <w:tcPr>
                  <w:tcW w:w="1134" w:type="dxa"/>
                  <w:tcBorders>
                    <w:tl2br w:val="nil"/>
                    <w:tr2bl w:val="nil"/>
                  </w:tcBorders>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16.67</w:t>
                  </w:r>
                </w:p>
              </w:tc>
              <w:tc>
                <w:tcPr>
                  <w:tcW w:w="1154"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57" w:type="dxa"/>
                  <w:left w:w="57" w:type="dxa"/>
                  <w:bottom w:w="57" w:type="dxa"/>
                  <w:right w:w="57" w:type="dxa"/>
                </w:tblCellMar>
              </w:tblPrEx>
              <w:trPr>
                <w:cantSplit/>
                <w:trHeight w:val="397" w:hRule="atLeast"/>
                <w:jc w:val="center"/>
              </w:trPr>
              <w:tc>
                <w:tcPr>
                  <w:tcW w:w="806"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NO</w:t>
                  </w:r>
                  <w:r>
                    <w:rPr>
                      <w:rFonts w:hint="default" w:ascii="Times New Roman" w:hAnsi="Times New Roman" w:cs="Times New Roman"/>
                      <w:color w:val="000000"/>
                      <w:sz w:val="21"/>
                      <w:szCs w:val="21"/>
                      <w:vertAlign w:val="subscript"/>
                    </w:rPr>
                    <w:t>2</w:t>
                  </w:r>
                </w:p>
              </w:tc>
              <w:tc>
                <w:tcPr>
                  <w:tcW w:w="1761"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年平均质量浓度</w:t>
                  </w:r>
                </w:p>
              </w:tc>
              <w:tc>
                <w:tcPr>
                  <w:tcW w:w="1701"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30</w:t>
                  </w:r>
                </w:p>
              </w:tc>
              <w:tc>
                <w:tcPr>
                  <w:tcW w:w="1418"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sz w:val="21"/>
                      <w:szCs w:val="21"/>
                    </w:rPr>
                    <w:t>40</w:t>
                  </w:r>
                </w:p>
              </w:tc>
              <w:tc>
                <w:tcPr>
                  <w:tcW w:w="1134" w:type="dxa"/>
                  <w:tcBorders>
                    <w:tl2br w:val="nil"/>
                    <w:tr2bl w:val="nil"/>
                  </w:tcBorders>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75</w:t>
                  </w:r>
                </w:p>
              </w:tc>
              <w:tc>
                <w:tcPr>
                  <w:tcW w:w="1154"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57" w:type="dxa"/>
                  <w:left w:w="57" w:type="dxa"/>
                  <w:bottom w:w="57" w:type="dxa"/>
                  <w:right w:w="57" w:type="dxa"/>
                </w:tblCellMar>
              </w:tblPrEx>
              <w:trPr>
                <w:cantSplit/>
                <w:trHeight w:val="397" w:hRule="atLeast"/>
                <w:jc w:val="center"/>
              </w:trPr>
              <w:tc>
                <w:tcPr>
                  <w:tcW w:w="806"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w:t>
                  </w:r>
                </w:p>
              </w:tc>
              <w:tc>
                <w:tcPr>
                  <w:tcW w:w="1761"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第95百分位浓度</w:t>
                  </w:r>
                </w:p>
              </w:tc>
              <w:tc>
                <w:tcPr>
                  <w:tcW w:w="1701"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1400</w:t>
                  </w:r>
                </w:p>
              </w:tc>
              <w:tc>
                <w:tcPr>
                  <w:tcW w:w="1418"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sz w:val="21"/>
                      <w:szCs w:val="21"/>
                    </w:rPr>
                    <w:t>4000</w:t>
                  </w:r>
                </w:p>
              </w:tc>
              <w:tc>
                <w:tcPr>
                  <w:tcW w:w="1134" w:type="dxa"/>
                  <w:tcBorders>
                    <w:tl2br w:val="nil"/>
                    <w:tr2bl w:val="nil"/>
                  </w:tcBorders>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35</w:t>
                  </w:r>
                </w:p>
              </w:tc>
              <w:tc>
                <w:tcPr>
                  <w:tcW w:w="1154"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57" w:type="dxa"/>
                  <w:left w:w="57" w:type="dxa"/>
                  <w:bottom w:w="57" w:type="dxa"/>
                  <w:right w:w="57" w:type="dxa"/>
                </w:tblCellMar>
              </w:tblPrEx>
              <w:trPr>
                <w:cantSplit/>
                <w:trHeight w:val="397" w:hRule="atLeast"/>
                <w:jc w:val="center"/>
              </w:trPr>
              <w:tc>
                <w:tcPr>
                  <w:tcW w:w="806"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O</w:t>
                  </w:r>
                  <w:r>
                    <w:rPr>
                      <w:rFonts w:hint="default" w:ascii="Times New Roman" w:hAnsi="Times New Roman" w:cs="Times New Roman"/>
                      <w:color w:val="000000"/>
                      <w:sz w:val="21"/>
                      <w:szCs w:val="21"/>
                      <w:vertAlign w:val="subscript"/>
                    </w:rPr>
                    <w:t>3</w:t>
                  </w:r>
                </w:p>
              </w:tc>
              <w:tc>
                <w:tcPr>
                  <w:tcW w:w="1761"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第90百分位浓度</w:t>
                  </w:r>
                </w:p>
              </w:tc>
              <w:tc>
                <w:tcPr>
                  <w:tcW w:w="1701"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182</w:t>
                  </w:r>
                </w:p>
              </w:tc>
              <w:tc>
                <w:tcPr>
                  <w:tcW w:w="1418" w:type="dxa"/>
                  <w:tcBorders>
                    <w:tl2br w:val="nil"/>
                    <w:tr2bl w:val="nil"/>
                  </w:tcBorders>
                  <w:tcMar>
                    <w:top w:w="57" w:type="dxa"/>
                    <w:left w:w="85" w:type="dxa"/>
                    <w:bottom w:w="57" w:type="dxa"/>
                    <w:right w:w="85"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sz w:val="21"/>
                      <w:szCs w:val="21"/>
                    </w:rPr>
                    <w:t>160</w:t>
                  </w:r>
                </w:p>
              </w:tc>
              <w:tc>
                <w:tcPr>
                  <w:tcW w:w="1134" w:type="dxa"/>
                  <w:tcBorders>
                    <w:tl2br w:val="nil"/>
                    <w:tr2bl w:val="nil"/>
                  </w:tcBorders>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eastAsia"/>
                      <w:sz w:val="21"/>
                      <w:szCs w:val="21"/>
                      <w:lang w:val="en-US" w:eastAsia="zh-CN"/>
                    </w:rPr>
                    <w:t>113.75</w:t>
                  </w:r>
                </w:p>
              </w:tc>
              <w:tc>
                <w:tcPr>
                  <w:tcW w:w="1154" w:type="dxa"/>
                  <w:tcBorders>
                    <w:tl2br w:val="nil"/>
                    <w:tr2bl w:val="nil"/>
                  </w:tcBorders>
                  <w:tcMar>
                    <w:top w:w="57" w:type="dxa"/>
                    <w:left w:w="85" w:type="dxa"/>
                    <w:bottom w:w="57" w:type="dxa"/>
                    <w:right w:w="85" w:type="dxa"/>
                  </w:tcMar>
                  <w:vAlign w:val="center"/>
                </w:tcPr>
                <w:p>
                  <w:pPr>
                    <w:autoSpaceDE w:val="0"/>
                    <w:autoSpaceDN w:val="0"/>
                    <w:adjustRightInd w:val="0"/>
                    <w:snapToGrid w:val="0"/>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超标</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由上表可知，</w:t>
            </w:r>
            <w:r>
              <w:rPr>
                <w:rFonts w:hint="default"/>
                <w:kern w:val="0"/>
                <w:sz w:val="21"/>
                <w:szCs w:val="21"/>
              </w:rPr>
              <w:t>PM</w:t>
            </w:r>
            <w:r>
              <w:rPr>
                <w:rFonts w:hint="default"/>
                <w:kern w:val="0"/>
                <w:sz w:val="21"/>
                <w:szCs w:val="21"/>
                <w:vertAlign w:val="subscript"/>
              </w:rPr>
              <w:t>10</w:t>
            </w:r>
            <w:r>
              <w:rPr>
                <w:rFonts w:hint="default"/>
                <w:kern w:val="0"/>
                <w:sz w:val="21"/>
                <w:szCs w:val="21"/>
              </w:rPr>
              <w:t>、</w:t>
            </w:r>
            <w:r>
              <w:rPr>
                <w:rFonts w:hint="default"/>
                <w:sz w:val="21"/>
                <w:szCs w:val="21"/>
              </w:rPr>
              <w:t>PM</w:t>
            </w:r>
            <w:r>
              <w:rPr>
                <w:rFonts w:hint="default"/>
                <w:sz w:val="21"/>
                <w:szCs w:val="21"/>
                <w:vertAlign w:val="subscript"/>
              </w:rPr>
              <w:t>2.5</w:t>
            </w:r>
            <w:r>
              <w:rPr>
                <w:rFonts w:hint="default"/>
                <w:sz w:val="21"/>
                <w:szCs w:val="21"/>
              </w:rPr>
              <w:t>和O</w:t>
            </w:r>
            <w:r>
              <w:rPr>
                <w:rFonts w:hint="default"/>
                <w:sz w:val="21"/>
                <w:szCs w:val="21"/>
                <w:vertAlign w:val="subscript"/>
              </w:rPr>
              <w:t>3</w:t>
            </w:r>
            <w:r>
              <w:rPr>
                <w:rFonts w:hint="default"/>
                <w:sz w:val="21"/>
                <w:szCs w:val="21"/>
              </w:rPr>
              <w:t>均</w:t>
            </w:r>
            <w:r>
              <w:rPr>
                <w:rFonts w:hint="default" w:ascii="Times New Roman" w:hAnsi="Times New Roman" w:cs="Times New Roman"/>
                <w:sz w:val="21"/>
                <w:szCs w:val="21"/>
              </w:rPr>
              <w:t>不能够满足《环境空气质量标准》（GB3095-2012）二级标准要求。根据《环境影响评价技术导则  大气环境》(HJ2.2-2018)，本项目所在区域属于未达标区。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2022年，新乡市城区环境空气可吸入颗粒物（PM</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）年均浓度值89微克/立方米，与上年相比，下降4微克/立方米，降幅4.3%；细颗粒物（PM</w:t>
            </w:r>
            <w:r>
              <w:rPr>
                <w:rFonts w:hint="default" w:ascii="Times New Roman" w:hAnsi="Times New Roman" w:eastAsia="宋体" w:cs="Times New Roman"/>
                <w:sz w:val="21"/>
                <w:szCs w:val="21"/>
                <w:vertAlign w:val="subscript"/>
              </w:rPr>
              <w:t>2.5</w:t>
            </w:r>
            <w:r>
              <w:rPr>
                <w:rFonts w:hint="default" w:ascii="Times New Roman" w:hAnsi="Times New Roman" w:eastAsia="宋体" w:cs="Times New Roman"/>
                <w:sz w:val="21"/>
                <w:szCs w:val="21"/>
              </w:rPr>
              <w:t>）年均浓度值50微克/立方米，与上年相比，上升3微克/立方米，升幅6.4%；二氧化硫（SO2）年均浓度值10微克/立方米，与上年相比，下降1微克/立方米，降幅9.1%；二氧化氮（NO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）年均浓度值30微克/立方米，与上年相比，下降2微克/立方米，降幅6.2%；一氧化碳（CO）年第95百分位数浓度1.4毫克/立方米，与上年相比，下降0.2毫克/立方米，降幅12.5%；臭氧（O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）年第90百分位数浓度182微克/立方米，与上年相比，上升9微克/立方米，升幅5.2%。优、良天数 220天</w:t>
            </w:r>
            <w:r>
              <w:rPr>
                <w:rFonts w:hint="eastAsia" w:ascii="Times New Roman" w:hAnsi="Times New Roman" w:eastAsia="宋体" w:cs="Times New Roman"/>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目前，新乡市正在实施</w:t>
            </w:r>
            <w:r>
              <w:rPr>
                <w:rFonts w:hint="default" w:hAnsi="宋体"/>
                <w:kern w:val="0"/>
                <w:sz w:val="21"/>
                <w:szCs w:val="21"/>
              </w:rPr>
              <w:t>《新乡市蓝天工程</w:t>
            </w:r>
            <w:r>
              <w:rPr>
                <w:rFonts w:hint="default" w:hAnsi="宋体"/>
                <w:color w:val="000000" w:themeColor="text1"/>
                <w:kern w:val="0"/>
                <w:sz w:val="21"/>
                <w:szCs w:val="21"/>
                <w14:textFill>
                  <w14:solidFill>
                    <w14:schemeClr w14:val="tx1"/>
                  </w14:solidFill>
                </w14:textFill>
              </w:rPr>
              <w:t>行动计划》、</w:t>
            </w:r>
            <w:r>
              <w:rPr>
                <w:rFonts w:hint="eastAsia" w:hAnsi="宋体"/>
                <w:color w:val="000000" w:themeColor="text1"/>
                <w:kern w:val="0"/>
                <w:sz w:val="21"/>
                <w:szCs w:val="21"/>
                <w14:textFill>
                  <w14:solidFill>
                    <w14:schemeClr w14:val="tx1"/>
                  </w14:solidFill>
                </w14:textFill>
              </w:rPr>
              <w:t>《</w:t>
            </w:r>
            <w:r>
              <w:rPr>
                <w:rFonts w:hint="eastAsia" w:hAnsi="宋体"/>
                <w:color w:val="000000" w:themeColor="text1"/>
                <w:kern w:val="0"/>
                <w:sz w:val="21"/>
                <w:szCs w:val="21"/>
                <w:lang w:val="en-US" w:eastAsia="zh-CN"/>
                <w14:textFill>
                  <w14:solidFill>
                    <w14:schemeClr w14:val="tx1"/>
                  </w14:solidFill>
                </w14:textFill>
              </w:rPr>
              <w:t>新乡市深入打好秋冬季重污染天气消除、夏季臭氧污染防治和柴油货车污染治理攻坚战实施方案</w:t>
            </w:r>
            <w:r>
              <w:rPr>
                <w:rFonts w:hint="eastAsia" w:hAnsi="宋体"/>
                <w:color w:val="000000" w:themeColor="text1"/>
                <w:kern w:val="0"/>
                <w:sz w:val="21"/>
                <w:szCs w:val="21"/>
                <w14:textFill>
                  <w14:solidFill>
                    <w14:schemeClr w14:val="tx1"/>
                  </w14:solidFill>
                </w14:textFill>
              </w:rPr>
              <w:t>》（新环攻坚办〔202</w:t>
            </w:r>
            <w:r>
              <w:rPr>
                <w:rFonts w:hint="eastAsia" w:hAnsi="宋体"/>
                <w:color w:val="000000" w:themeColor="text1"/>
                <w:kern w:val="0"/>
                <w:sz w:val="21"/>
                <w:szCs w:val="21"/>
                <w:lang w:val="en-US" w:eastAsia="zh-CN"/>
                <w14:textFill>
                  <w14:solidFill>
                    <w14:schemeClr w14:val="tx1"/>
                  </w14:solidFill>
                </w14:textFill>
              </w:rPr>
              <w:t>3</w:t>
            </w:r>
            <w:r>
              <w:rPr>
                <w:rFonts w:hint="eastAsia" w:hAnsi="宋体"/>
                <w:color w:val="000000" w:themeColor="text1"/>
                <w:kern w:val="0"/>
                <w:sz w:val="21"/>
                <w:szCs w:val="21"/>
                <w14:textFill>
                  <w14:solidFill>
                    <w14:schemeClr w14:val="tx1"/>
                  </w14:solidFill>
                </w14:textFill>
              </w:rPr>
              <w:t>〕</w:t>
            </w:r>
            <w:r>
              <w:rPr>
                <w:rFonts w:hint="eastAsia" w:hAnsi="宋体"/>
                <w:color w:val="000000" w:themeColor="text1"/>
                <w:kern w:val="0"/>
                <w:sz w:val="21"/>
                <w:szCs w:val="21"/>
                <w:lang w:val="en-US" w:eastAsia="zh-CN"/>
                <w14:textFill>
                  <w14:solidFill>
                    <w14:schemeClr w14:val="tx1"/>
                  </w14:solidFill>
                </w14:textFill>
              </w:rPr>
              <w:t>73</w:t>
            </w:r>
            <w:r>
              <w:rPr>
                <w:rFonts w:hint="eastAsia" w:hAnsi="宋体"/>
                <w:color w:val="000000" w:themeColor="text1"/>
                <w:kern w:val="0"/>
                <w:sz w:val="21"/>
                <w:szCs w:val="21"/>
                <w14:textFill>
                  <w14:solidFill>
                    <w14:schemeClr w14:val="tx1"/>
                  </w14:solidFill>
                </w14:textFill>
              </w:rPr>
              <w:t>号）</w:t>
            </w:r>
            <w:r>
              <w:rPr>
                <w:rFonts w:hint="default" w:hAnsi="宋体"/>
                <w:color w:val="000000" w:themeColor="text1"/>
                <w:kern w:val="0"/>
                <w:sz w:val="21"/>
                <w:szCs w:val="21"/>
                <w14:textFill>
                  <w14:solidFill>
                    <w14:schemeClr w14:val="tx1"/>
                  </w14:solidFill>
                </w14:textFill>
              </w:rPr>
              <w:t>等一系列措施</w:t>
            </w:r>
            <w:r>
              <w:rPr>
                <w:rFonts w:hint="default" w:hAnsi="宋体"/>
                <w:kern w:val="0"/>
                <w:sz w:val="21"/>
                <w:szCs w:val="21"/>
              </w:rPr>
              <w:t>，将不断改善区域大气环境质量。</w:t>
            </w:r>
            <w:r>
              <w:rPr>
                <w:rFonts w:hint="default" w:ascii="Times New Roman" w:hAnsi="Times New Roman" w:cs="Times New Roman"/>
                <w:color w:val="000000" w:themeColor="text1"/>
                <w:sz w:val="21"/>
                <w:szCs w:val="21"/>
                <w:lang w:eastAsia="zh-CN"/>
                <w14:textFill>
                  <w14:solidFill>
                    <w14:schemeClr w14:val="tx1"/>
                  </w14:solidFill>
                </w14:textFill>
              </w:rPr>
              <w:t>本项目</w:t>
            </w:r>
            <w:r>
              <w:rPr>
                <w:rFonts w:hint="eastAsia" w:cs="Times New Roman"/>
                <w:color w:val="000000" w:themeColor="text1"/>
                <w:sz w:val="21"/>
                <w:szCs w:val="21"/>
                <w:lang w:eastAsia="zh-CN"/>
                <w14:textFill>
                  <w14:solidFill>
                    <w14:schemeClr w14:val="tx1"/>
                  </w14:solidFill>
                </w14:textFill>
              </w:rPr>
              <w:t>废气经治理后达标排放，排放量较小</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不会对周围环境造成影响</w:t>
            </w:r>
            <w:r>
              <w:rPr>
                <w:rFonts w:hint="eastAsia" w:ascii="Times New Roman" w:hAnsi="Times New Roman"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20" w:lineRule="exact"/>
              <w:ind w:firstLine="422" w:firstLineChars="200"/>
              <w:textAlignment w:val="baseline"/>
              <w:rPr>
                <w:rFonts w:hint="default" w:ascii="Times New Roman" w:hAnsi="Times New Roman" w:cs="Times New Roman"/>
                <w:b/>
                <w:sz w:val="21"/>
                <w:szCs w:val="21"/>
              </w:rPr>
            </w:pPr>
            <w:r>
              <w:rPr>
                <w:rFonts w:hint="default" w:ascii="Times New Roman" w:hAnsi="Times New Roman" w:cs="Times New Roman"/>
                <w:b/>
                <w:sz w:val="21"/>
                <w:szCs w:val="21"/>
              </w:rPr>
              <w:t>2、地表水环境质量现状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textAlignment w:val="auto"/>
              <w:rPr>
                <w:rFonts w:hint="eastAsia"/>
                <w:bCs/>
                <w:iCs/>
                <w:color w:val="000000"/>
                <w:sz w:val="21"/>
                <w:szCs w:val="21"/>
                <w:highlight w:val="none"/>
              </w:rPr>
            </w:pPr>
            <w:r>
              <w:rPr>
                <w:rFonts w:hint="default" w:ascii="Times New Roman" w:hAnsi="Times New Roman" w:cs="Times New Roman"/>
                <w:color w:val="000000"/>
                <w:sz w:val="21"/>
                <w:szCs w:val="21"/>
              </w:rPr>
              <w:t>本项目</w:t>
            </w:r>
            <w:r>
              <w:rPr>
                <w:rFonts w:hint="default" w:ascii="Times New Roman" w:hAnsi="Times New Roman" w:cs="Times New Roman"/>
                <w:bCs/>
                <w:color w:val="000000"/>
                <w:sz w:val="21"/>
                <w:szCs w:val="21"/>
              </w:rPr>
              <w:t>生活污水经化粪池处理后</w:t>
            </w:r>
            <w:r>
              <w:rPr>
                <w:rFonts w:hint="eastAsia" w:cs="Times New Roman"/>
                <w:bCs/>
                <w:color w:val="000000"/>
                <w:sz w:val="21"/>
                <w:szCs w:val="21"/>
                <w:lang w:val="en-US" w:eastAsia="zh-CN"/>
              </w:rPr>
              <w:t>定期清运</w:t>
            </w:r>
            <w:r>
              <w:rPr>
                <w:rFonts w:hint="default" w:ascii="Times New Roman" w:hAnsi="Times New Roman" w:cs="Times New Roman"/>
                <w:bCs/>
                <w:color w:val="000000"/>
                <w:sz w:val="21"/>
                <w:szCs w:val="21"/>
              </w:rPr>
              <w:t>。</w:t>
            </w:r>
            <w:r>
              <w:rPr>
                <w:rFonts w:hint="default"/>
                <w:kern w:val="2"/>
                <w:sz w:val="21"/>
                <w:szCs w:val="21"/>
                <w:highlight w:val="none"/>
              </w:rPr>
              <w:t>本项目</w:t>
            </w:r>
            <w:r>
              <w:rPr>
                <w:rFonts w:hint="eastAsia"/>
                <w:kern w:val="2"/>
                <w:sz w:val="21"/>
                <w:szCs w:val="21"/>
                <w:highlight w:val="none"/>
                <w:lang w:val="en-US" w:eastAsia="zh-CN"/>
              </w:rPr>
              <w:t>距离最近地表水为</w:t>
            </w:r>
            <w:r>
              <w:rPr>
                <w:rFonts w:hint="default"/>
                <w:kern w:val="2"/>
                <w:sz w:val="21"/>
                <w:szCs w:val="21"/>
                <w:highlight w:val="none"/>
              </w:rPr>
              <w:t>东孟姜女河</w:t>
            </w:r>
            <w:r>
              <w:rPr>
                <w:rFonts w:hint="eastAsia"/>
                <w:kern w:val="2"/>
                <w:sz w:val="21"/>
                <w:szCs w:val="21"/>
                <w:highlight w:val="none"/>
                <w:lang w:eastAsia="zh-CN"/>
              </w:rPr>
              <w:t>，</w:t>
            </w:r>
            <w:r>
              <w:rPr>
                <w:rFonts w:hint="eastAsia"/>
                <w:kern w:val="2"/>
                <w:sz w:val="21"/>
                <w:szCs w:val="21"/>
                <w:highlight w:val="none"/>
                <w:lang w:val="en-US" w:eastAsia="zh-CN"/>
              </w:rPr>
              <w:t>位于本项目东面1150m</w:t>
            </w:r>
            <w:r>
              <w:rPr>
                <w:rFonts w:hint="default"/>
                <w:kern w:val="2"/>
                <w:sz w:val="21"/>
                <w:szCs w:val="21"/>
                <w:highlight w:val="none"/>
              </w:rPr>
              <w:t>。</w:t>
            </w:r>
            <w:r>
              <w:rPr>
                <w:rFonts w:hint="default"/>
                <w:color w:val="000000"/>
                <w:sz w:val="21"/>
                <w:szCs w:val="21"/>
                <w:highlight w:val="none"/>
              </w:rPr>
              <w:t>根据新乡市</w:t>
            </w:r>
            <w:r>
              <w:rPr>
                <w:rFonts w:hint="eastAsia"/>
                <w:color w:val="000000"/>
                <w:sz w:val="21"/>
                <w:szCs w:val="21"/>
                <w:highlight w:val="none"/>
              </w:rPr>
              <w:t>“十四五”及2021年地表水环境质量目标可知，</w:t>
            </w:r>
            <w:r>
              <w:rPr>
                <w:rFonts w:hint="default"/>
                <w:sz w:val="21"/>
                <w:szCs w:val="21"/>
                <w:highlight w:val="none"/>
              </w:rPr>
              <w:t>东孟姜女河</w:t>
            </w:r>
            <w:r>
              <w:rPr>
                <w:rFonts w:hint="eastAsia"/>
                <w:color w:val="000000"/>
                <w:sz w:val="21"/>
                <w:szCs w:val="21"/>
                <w:highlight w:val="none"/>
              </w:rPr>
              <w:t>水质执行《地表水环境质量标准》（</w:t>
            </w:r>
            <w:r>
              <w:rPr>
                <w:rFonts w:hint="default"/>
                <w:color w:val="000000"/>
                <w:sz w:val="21"/>
                <w:szCs w:val="21"/>
                <w:highlight w:val="none"/>
              </w:rPr>
              <w:t>GB3838-2002</w:t>
            </w:r>
            <w:r>
              <w:rPr>
                <w:rFonts w:hint="eastAsia"/>
                <w:color w:val="000000"/>
                <w:sz w:val="21"/>
                <w:szCs w:val="21"/>
                <w:highlight w:val="none"/>
              </w:rPr>
              <w:t>）</w:t>
            </w:r>
            <w:r>
              <w:rPr>
                <w:rFonts w:hint="default"/>
                <w:color w:val="000000"/>
                <w:sz w:val="21"/>
                <w:szCs w:val="21"/>
                <w:highlight w:val="none"/>
              </w:rPr>
              <w:fldChar w:fldCharType="begin"/>
            </w:r>
            <w:r>
              <w:rPr>
                <w:rFonts w:hint="default"/>
                <w:color w:val="000000"/>
                <w:sz w:val="21"/>
                <w:szCs w:val="21"/>
                <w:highlight w:val="none"/>
              </w:rPr>
              <w:instrText xml:space="preserve"> </w:instrText>
            </w:r>
            <w:r>
              <w:rPr>
                <w:rFonts w:hint="eastAsia"/>
                <w:color w:val="000000"/>
                <w:sz w:val="21"/>
                <w:szCs w:val="21"/>
                <w:highlight w:val="none"/>
              </w:rPr>
              <w:instrText xml:space="preserve">= 4 \* ROMAN</w:instrText>
            </w:r>
            <w:r>
              <w:rPr>
                <w:rFonts w:hint="default"/>
                <w:color w:val="000000"/>
                <w:sz w:val="21"/>
                <w:szCs w:val="21"/>
                <w:highlight w:val="none"/>
              </w:rPr>
              <w:instrText xml:space="preserve"> </w:instrText>
            </w:r>
            <w:r>
              <w:rPr>
                <w:rFonts w:hint="default"/>
                <w:color w:val="000000"/>
                <w:sz w:val="21"/>
                <w:szCs w:val="21"/>
                <w:highlight w:val="none"/>
              </w:rPr>
              <w:fldChar w:fldCharType="separate"/>
            </w:r>
            <w:r>
              <w:rPr>
                <w:rFonts w:hint="default"/>
                <w:color w:val="000000"/>
                <w:sz w:val="21"/>
                <w:szCs w:val="21"/>
                <w:highlight w:val="none"/>
              </w:rPr>
              <w:t>IV</w:t>
            </w:r>
            <w:r>
              <w:rPr>
                <w:rFonts w:hint="default"/>
                <w:color w:val="000000"/>
                <w:sz w:val="21"/>
                <w:szCs w:val="21"/>
                <w:highlight w:val="none"/>
              </w:rPr>
              <w:fldChar w:fldCharType="end"/>
            </w:r>
            <w:r>
              <w:rPr>
                <w:rFonts w:hint="eastAsia"/>
                <w:bCs/>
                <w:color w:val="000000"/>
                <w:sz w:val="21"/>
                <w:szCs w:val="21"/>
                <w:highlight w:val="none"/>
              </w:rPr>
              <w:t>类</w:t>
            </w:r>
            <w:r>
              <w:rPr>
                <w:rFonts w:hint="eastAsia"/>
                <w:color w:val="000000"/>
                <w:sz w:val="21"/>
                <w:szCs w:val="21"/>
                <w:highlight w:val="none"/>
              </w:rPr>
              <w:t>标准</w:t>
            </w:r>
            <w:r>
              <w:rPr>
                <w:rFonts w:hint="eastAsia"/>
                <w:bCs/>
                <w:iCs/>
                <w:color w:val="000000"/>
                <w:sz w:val="21"/>
                <w:szCs w:val="21"/>
                <w:highlight w:val="none"/>
              </w:rPr>
              <w:t>。本项目引用新乡市环境监测站对新乡县青龙路化肥厂东断面</w:t>
            </w:r>
            <w:r>
              <w:rPr>
                <w:rFonts w:hint="eastAsia"/>
                <w:color w:val="000000"/>
                <w:sz w:val="21"/>
                <w:szCs w:val="21"/>
                <w:highlight w:val="none"/>
              </w:rPr>
              <w:t>2022年3月的监测数据，</w:t>
            </w:r>
            <w:r>
              <w:rPr>
                <w:rFonts w:hint="eastAsia"/>
                <w:bCs/>
                <w:iCs/>
                <w:color w:val="000000"/>
                <w:sz w:val="21"/>
                <w:szCs w:val="21"/>
                <w:highlight w:val="none"/>
              </w:rPr>
              <w:t>新乡县青龙路化肥厂东</w:t>
            </w:r>
            <w:r>
              <w:rPr>
                <w:rFonts w:hint="eastAsia"/>
                <w:color w:val="000000"/>
                <w:sz w:val="21"/>
                <w:szCs w:val="21"/>
                <w:highlight w:val="none"/>
              </w:rPr>
              <w:t>断面监测结果见</w:t>
            </w:r>
            <w:r>
              <w:rPr>
                <w:rFonts w:hint="eastAsia"/>
                <w:color w:val="000000"/>
                <w:sz w:val="21"/>
                <w:szCs w:val="21"/>
                <w:highlight w:val="none"/>
                <w:lang w:val="en-US" w:eastAsia="zh-CN"/>
              </w:rPr>
              <w:t>下表</w:t>
            </w:r>
            <w:r>
              <w:rPr>
                <w:rFonts w:hint="eastAsia"/>
                <w:color w:val="000000"/>
                <w:sz w:val="21"/>
                <w:szCs w:val="21"/>
                <w:highlight w:val="none"/>
              </w:rPr>
              <w:t>。</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新乡县青龙路化肥厂东断面水质监测结果一览表（2022年3月）</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995"/>
              <w:gridCol w:w="1996"/>
              <w:gridCol w:w="1991"/>
              <w:gridCol w:w="199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default"/>
                      <w:b w:val="0"/>
                      <w:bCs/>
                      <w:color w:val="000000"/>
                      <w:sz w:val="21"/>
                      <w:szCs w:val="21"/>
                      <w:highlight w:val="none"/>
                    </w:rPr>
                    <w:t>监测因子</w:t>
                  </w:r>
                </w:p>
              </w:tc>
              <w:tc>
                <w:tcPr>
                  <w:tcW w:w="120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default"/>
                      <w:b w:val="0"/>
                      <w:bCs/>
                      <w:color w:val="000000"/>
                      <w:sz w:val="21"/>
                      <w:szCs w:val="21"/>
                      <w:highlight w:val="none"/>
                    </w:rPr>
                    <w:t>COD</w:t>
                  </w:r>
                </w:p>
              </w:tc>
              <w:tc>
                <w:tcPr>
                  <w:tcW w:w="120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default"/>
                      <w:b w:val="0"/>
                      <w:bCs/>
                      <w:color w:val="000000"/>
                      <w:sz w:val="21"/>
                      <w:szCs w:val="21"/>
                      <w:highlight w:val="none"/>
                    </w:rPr>
                    <w:t>NH</w:t>
                  </w:r>
                  <w:r>
                    <w:rPr>
                      <w:rFonts w:hint="default"/>
                      <w:b w:val="0"/>
                      <w:bCs/>
                      <w:color w:val="000000"/>
                      <w:sz w:val="21"/>
                      <w:szCs w:val="21"/>
                      <w:highlight w:val="none"/>
                      <w:vertAlign w:val="subscript"/>
                    </w:rPr>
                    <w:t>3</w:t>
                  </w:r>
                  <w:r>
                    <w:rPr>
                      <w:rFonts w:hint="default"/>
                      <w:b w:val="0"/>
                      <w:bCs/>
                      <w:color w:val="000000"/>
                      <w:sz w:val="21"/>
                      <w:szCs w:val="21"/>
                      <w:highlight w:val="none"/>
                    </w:rPr>
                    <w:t>-N</w:t>
                  </w:r>
                </w:p>
              </w:tc>
              <w:tc>
                <w:tcPr>
                  <w:tcW w:w="120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default"/>
                      <w:b w:val="0"/>
                      <w:bCs/>
                      <w:color w:val="000000"/>
                      <w:sz w:val="21"/>
                      <w:szCs w:val="21"/>
                      <w:highlight w:val="none"/>
                    </w:rPr>
                    <w:t>TP</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3月份监测数据</w:t>
                  </w:r>
                </w:p>
              </w:tc>
              <w:tc>
                <w:tcPr>
                  <w:tcW w:w="120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24.7</w:t>
                  </w:r>
                </w:p>
              </w:tc>
              <w:tc>
                <w:tcPr>
                  <w:tcW w:w="120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0.46</w:t>
                  </w:r>
                </w:p>
              </w:tc>
              <w:tc>
                <w:tcPr>
                  <w:tcW w:w="120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default"/>
                      <w:b w:val="0"/>
                      <w:bCs/>
                      <w:color w:val="000000"/>
                      <w:sz w:val="21"/>
                      <w:szCs w:val="21"/>
                      <w:highlight w:val="none"/>
                    </w:rPr>
                    <w:t>0.</w:t>
                  </w:r>
                  <w:r>
                    <w:rPr>
                      <w:rFonts w:hint="eastAsia"/>
                      <w:b w:val="0"/>
                      <w:bCs/>
                      <w:color w:val="000000"/>
                      <w:sz w:val="21"/>
                      <w:szCs w:val="21"/>
                      <w:highlight w:val="none"/>
                    </w:rPr>
                    <w:t>072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执行标准</w:t>
                  </w:r>
                </w:p>
              </w:tc>
              <w:tc>
                <w:tcPr>
                  <w:tcW w:w="120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30</w:t>
                  </w:r>
                </w:p>
              </w:tc>
              <w:tc>
                <w:tcPr>
                  <w:tcW w:w="120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1.5</w:t>
                  </w:r>
                </w:p>
              </w:tc>
              <w:tc>
                <w:tcPr>
                  <w:tcW w:w="120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jc w:val="center"/>
                    <w:rPr>
                      <w:rFonts w:hint="default"/>
                      <w:b w:val="0"/>
                      <w:bCs/>
                      <w:color w:val="000000"/>
                      <w:sz w:val="21"/>
                      <w:szCs w:val="21"/>
                      <w:highlight w:val="none"/>
                    </w:rPr>
                  </w:pPr>
                  <w:r>
                    <w:rPr>
                      <w:rFonts w:hint="default"/>
                      <w:b w:val="0"/>
                      <w:bCs/>
                      <w:color w:val="000000"/>
                      <w:sz w:val="21"/>
                      <w:szCs w:val="21"/>
                      <w:highlight w:val="none"/>
                    </w:rPr>
                    <w:t>0.</w:t>
                  </w:r>
                  <w:r>
                    <w:rPr>
                      <w:rFonts w:hint="eastAsia"/>
                      <w:b w:val="0"/>
                      <w:bCs/>
                      <w:color w:val="000000"/>
                      <w:sz w:val="21"/>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达标情况</w:t>
                  </w:r>
                </w:p>
              </w:tc>
              <w:tc>
                <w:tcPr>
                  <w:tcW w:w="120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达标</w:t>
                  </w:r>
                </w:p>
              </w:tc>
              <w:tc>
                <w:tcPr>
                  <w:tcW w:w="120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达标</w:t>
                  </w:r>
                </w:p>
              </w:tc>
              <w:tc>
                <w:tcPr>
                  <w:tcW w:w="120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jc w:val="center"/>
                    <w:rPr>
                      <w:rFonts w:hint="default"/>
                      <w:b w:val="0"/>
                      <w:bCs/>
                      <w:color w:val="000000"/>
                      <w:sz w:val="21"/>
                      <w:szCs w:val="21"/>
                      <w:highlight w:val="none"/>
                    </w:rPr>
                  </w:pPr>
                  <w:r>
                    <w:rPr>
                      <w:rFonts w:hint="eastAsia"/>
                      <w:b w:val="0"/>
                      <w:bCs/>
                      <w:color w:val="000000"/>
                      <w:sz w:val="21"/>
                      <w:szCs w:val="21"/>
                      <w:highlight w:val="none"/>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default"/>
                <w:bCs/>
                <w:color w:val="000000" w:themeColor="text1"/>
                <w:sz w:val="21"/>
                <w:szCs w:val="21"/>
                <w:highlight w:val="none"/>
                <w14:textFill>
                  <w14:solidFill>
                    <w14:schemeClr w14:val="tx1"/>
                  </w14:solidFill>
                </w14:textFill>
              </w:rPr>
            </w:pPr>
            <w:r>
              <w:rPr>
                <w:rFonts w:hint="default"/>
                <w:color w:val="000000"/>
                <w:sz w:val="21"/>
                <w:szCs w:val="21"/>
                <w:highlight w:val="none"/>
              </w:rPr>
              <w:t>由上表可知，</w:t>
            </w:r>
            <w:r>
              <w:rPr>
                <w:rFonts w:hint="eastAsia"/>
                <w:color w:val="000000"/>
                <w:sz w:val="21"/>
                <w:szCs w:val="21"/>
                <w:highlight w:val="none"/>
              </w:rPr>
              <w:t>2022年3月</w:t>
            </w:r>
            <w:r>
              <w:rPr>
                <w:rFonts w:hint="eastAsia"/>
                <w:bCs/>
                <w:iCs/>
                <w:color w:val="000000"/>
                <w:sz w:val="21"/>
                <w:szCs w:val="21"/>
                <w:highlight w:val="none"/>
              </w:rPr>
              <w:t>新乡县青龙路化肥厂东</w:t>
            </w:r>
            <w:r>
              <w:rPr>
                <w:rFonts w:hint="eastAsia"/>
                <w:color w:val="000000"/>
                <w:sz w:val="21"/>
                <w:szCs w:val="21"/>
                <w:highlight w:val="none"/>
              </w:rPr>
              <w:t>断面</w:t>
            </w:r>
            <w:r>
              <w:rPr>
                <w:rFonts w:hint="default"/>
                <w:color w:val="000000"/>
                <w:sz w:val="21"/>
                <w:szCs w:val="21"/>
                <w:highlight w:val="none"/>
              </w:rPr>
              <w:t>COD</w:t>
            </w:r>
            <w:r>
              <w:rPr>
                <w:rFonts w:hint="eastAsia"/>
                <w:color w:val="000000"/>
                <w:sz w:val="21"/>
                <w:szCs w:val="21"/>
                <w:highlight w:val="none"/>
              </w:rPr>
              <w:t>、</w:t>
            </w:r>
            <w:r>
              <w:rPr>
                <w:rFonts w:hint="default"/>
                <w:color w:val="000000"/>
                <w:sz w:val="21"/>
                <w:szCs w:val="21"/>
                <w:highlight w:val="none"/>
              </w:rPr>
              <w:t>NH</w:t>
            </w:r>
            <w:r>
              <w:rPr>
                <w:rFonts w:hint="default"/>
                <w:color w:val="000000"/>
                <w:sz w:val="21"/>
                <w:szCs w:val="21"/>
                <w:highlight w:val="none"/>
                <w:vertAlign w:val="subscript"/>
              </w:rPr>
              <w:t>3</w:t>
            </w:r>
            <w:r>
              <w:rPr>
                <w:rFonts w:hint="default"/>
                <w:color w:val="000000"/>
                <w:sz w:val="21"/>
                <w:szCs w:val="21"/>
                <w:highlight w:val="none"/>
              </w:rPr>
              <w:t>-N和</w:t>
            </w:r>
            <w:r>
              <w:rPr>
                <w:rFonts w:hint="eastAsia"/>
                <w:color w:val="000000"/>
                <w:sz w:val="21"/>
                <w:szCs w:val="21"/>
                <w:highlight w:val="none"/>
              </w:rPr>
              <w:t>TP</w:t>
            </w:r>
            <w:r>
              <w:rPr>
                <w:rFonts w:hint="default"/>
                <w:color w:val="000000"/>
                <w:sz w:val="21"/>
                <w:szCs w:val="21"/>
                <w:highlight w:val="none"/>
              </w:rPr>
              <w:t>达标</w:t>
            </w:r>
            <w:r>
              <w:rPr>
                <w:rFonts w:hint="eastAsia"/>
                <w:color w:val="000000"/>
                <w:sz w:val="21"/>
                <w:szCs w:val="21"/>
                <w:highlight w:val="none"/>
              </w:rPr>
              <w:t>。</w:t>
            </w:r>
            <w:r>
              <w:rPr>
                <w:rFonts w:hint="eastAsia" w:cs="宋体"/>
                <w:b w:val="0"/>
                <w:bCs w:val="0"/>
                <w:sz w:val="21"/>
                <w:szCs w:val="21"/>
                <w:highlight w:val="none"/>
                <w:u w:val="none"/>
                <w:lang w:bidi="ar"/>
              </w:rPr>
              <w:t>目前新乡市正在推进实</w:t>
            </w:r>
            <w:r>
              <w:rPr>
                <w:rFonts w:hint="eastAsia" w:cs="宋体"/>
                <w:b w:val="0"/>
                <w:bCs w:val="0"/>
                <w:color w:val="000000" w:themeColor="text1"/>
                <w:sz w:val="21"/>
                <w:szCs w:val="21"/>
                <w:highlight w:val="none"/>
                <w:u w:val="none"/>
                <w:lang w:bidi="ar"/>
                <w14:textFill>
                  <w14:solidFill>
                    <w14:schemeClr w14:val="tx1"/>
                  </w14:solidFill>
                </w14:textFill>
              </w:rPr>
              <w:t>施《新乡市环境污染防治攻坚指挥部办公室关于印发</w:t>
            </w:r>
            <w:r>
              <w:rPr>
                <w:rFonts w:hint="eastAsia" w:cs="宋体"/>
                <w:b w:val="0"/>
                <w:bCs w:val="0"/>
                <w:color w:val="000000" w:themeColor="text1"/>
                <w:sz w:val="21"/>
                <w:szCs w:val="21"/>
                <w:highlight w:val="none"/>
                <w:u w:val="none"/>
                <w:lang w:val="en-US" w:eastAsia="zh-CN" w:bidi="ar"/>
                <w14:textFill>
                  <w14:solidFill>
                    <w14:schemeClr w14:val="tx1"/>
                  </w14:solidFill>
                </w14:textFill>
              </w:rPr>
              <w:t>新乡市2023年蓝天保卫战实施方案</w:t>
            </w:r>
            <w:r>
              <w:rPr>
                <w:rFonts w:hint="eastAsia" w:cs="宋体"/>
                <w:b w:val="0"/>
                <w:bCs w:val="0"/>
                <w:color w:val="000000" w:themeColor="text1"/>
                <w:sz w:val="21"/>
                <w:szCs w:val="21"/>
                <w:highlight w:val="none"/>
                <w:u w:val="none"/>
                <w:lang w:bidi="ar"/>
                <w14:textFill>
                  <w14:solidFill>
                    <w14:schemeClr w14:val="tx1"/>
                  </w14:solidFill>
                </w14:textFill>
              </w:rPr>
              <w:t>》（新环攻坚办〔</w:t>
            </w:r>
            <w:r>
              <w:rPr>
                <w:rFonts w:hint="eastAsia" w:cs="宋体"/>
                <w:b w:val="0"/>
                <w:bCs w:val="0"/>
                <w:color w:val="000000" w:themeColor="text1"/>
                <w:sz w:val="21"/>
                <w:szCs w:val="21"/>
                <w:highlight w:val="none"/>
                <w:u w:val="none"/>
                <w:lang w:val="en-US" w:eastAsia="zh-CN" w:bidi="ar"/>
                <w14:textFill>
                  <w14:solidFill>
                    <w14:schemeClr w14:val="tx1"/>
                  </w14:solidFill>
                </w14:textFill>
              </w:rPr>
              <w:t>2023</w:t>
            </w:r>
            <w:r>
              <w:rPr>
                <w:rFonts w:hint="eastAsia" w:cs="宋体"/>
                <w:b w:val="0"/>
                <w:bCs w:val="0"/>
                <w:color w:val="000000" w:themeColor="text1"/>
                <w:sz w:val="21"/>
                <w:szCs w:val="21"/>
                <w:highlight w:val="none"/>
                <w:u w:val="none"/>
                <w:lang w:bidi="ar"/>
                <w14:textFill>
                  <w14:solidFill>
                    <w14:schemeClr w14:val="tx1"/>
                  </w14:solidFill>
                </w14:textFill>
              </w:rPr>
              <w:t>〕</w:t>
            </w:r>
            <w:r>
              <w:rPr>
                <w:rFonts w:hint="eastAsia" w:cs="宋体"/>
                <w:b w:val="0"/>
                <w:bCs w:val="0"/>
                <w:color w:val="000000" w:themeColor="text1"/>
                <w:sz w:val="21"/>
                <w:szCs w:val="21"/>
                <w:highlight w:val="none"/>
                <w:u w:val="none"/>
                <w:lang w:val="en-US" w:eastAsia="zh-CN" w:bidi="ar"/>
                <w14:textFill>
                  <w14:solidFill>
                    <w14:schemeClr w14:val="tx1"/>
                  </w14:solidFill>
                </w14:textFill>
              </w:rPr>
              <w:t>77</w:t>
            </w:r>
            <w:r>
              <w:rPr>
                <w:rFonts w:hint="eastAsia" w:cs="宋体"/>
                <w:b w:val="0"/>
                <w:bCs w:val="0"/>
                <w:color w:val="000000" w:themeColor="text1"/>
                <w:sz w:val="21"/>
                <w:szCs w:val="21"/>
                <w:highlight w:val="none"/>
                <w:u w:val="none"/>
                <w:lang w:bidi="ar"/>
                <w14:textFill>
                  <w14:solidFill>
                    <w14:schemeClr w14:val="tx1"/>
                  </w14:solidFill>
                </w14:textFill>
              </w:rPr>
              <w:t>号）</w:t>
            </w:r>
            <w:r>
              <w:rPr>
                <w:rFonts w:hint="eastAsia" w:cs="宋体"/>
                <w:b w:val="0"/>
                <w:bCs w:val="0"/>
                <w:color w:val="000000" w:themeColor="text1"/>
                <w:sz w:val="21"/>
                <w:szCs w:val="21"/>
                <w:highlight w:val="none"/>
                <w:u w:val="none"/>
                <w:lang w:eastAsia="zh-CN" w:bidi="ar"/>
                <w14:textFill>
                  <w14:solidFill>
                    <w14:schemeClr w14:val="tx1"/>
                  </w14:solidFill>
                </w14:textFill>
              </w:rPr>
              <w:t>、</w:t>
            </w:r>
            <w:r>
              <w:rPr>
                <w:rFonts w:hint="eastAsia" w:cs="宋体"/>
                <w:b w:val="0"/>
                <w:bCs w:val="0"/>
                <w:color w:val="000000" w:themeColor="text1"/>
                <w:sz w:val="21"/>
                <w:szCs w:val="21"/>
                <w:highlight w:val="none"/>
                <w:u w:val="none"/>
                <w:lang w:bidi="ar"/>
                <w14:textFill>
                  <w14:solidFill>
                    <w14:schemeClr w14:val="tx1"/>
                  </w14:solidFill>
                </w14:textFill>
              </w:rPr>
              <w:t>《新乡市环境污染防治攻坚指挥部办公室关于印发</w:t>
            </w:r>
            <w:r>
              <w:rPr>
                <w:rFonts w:hint="eastAsia" w:cs="宋体"/>
                <w:b w:val="0"/>
                <w:bCs w:val="0"/>
                <w:color w:val="000000" w:themeColor="text1"/>
                <w:sz w:val="21"/>
                <w:szCs w:val="21"/>
                <w:highlight w:val="none"/>
                <w:u w:val="none"/>
                <w:lang w:val="en-US" w:eastAsia="zh-CN" w:bidi="ar"/>
                <w14:textFill>
                  <w14:solidFill>
                    <w14:schemeClr w14:val="tx1"/>
                  </w14:solidFill>
                </w14:textFill>
              </w:rPr>
              <w:t>新乡市2023年碧水保卫战实施方案</w:t>
            </w:r>
            <w:r>
              <w:rPr>
                <w:rFonts w:hint="eastAsia" w:cs="宋体"/>
                <w:b w:val="0"/>
                <w:bCs w:val="0"/>
                <w:color w:val="000000" w:themeColor="text1"/>
                <w:sz w:val="21"/>
                <w:szCs w:val="21"/>
                <w:highlight w:val="none"/>
                <w:u w:val="none"/>
                <w:lang w:bidi="ar"/>
                <w14:textFill>
                  <w14:solidFill>
                    <w14:schemeClr w14:val="tx1"/>
                  </w14:solidFill>
                </w14:textFill>
              </w:rPr>
              <w:t>》（新环攻坚办〔</w:t>
            </w:r>
            <w:r>
              <w:rPr>
                <w:rFonts w:hint="eastAsia" w:cs="宋体"/>
                <w:b w:val="0"/>
                <w:bCs w:val="0"/>
                <w:color w:val="000000" w:themeColor="text1"/>
                <w:sz w:val="21"/>
                <w:szCs w:val="21"/>
                <w:highlight w:val="none"/>
                <w:u w:val="none"/>
                <w:lang w:val="en-US" w:eastAsia="zh-CN" w:bidi="ar"/>
                <w14:textFill>
                  <w14:solidFill>
                    <w14:schemeClr w14:val="tx1"/>
                  </w14:solidFill>
                </w14:textFill>
              </w:rPr>
              <w:t>2023</w:t>
            </w:r>
            <w:r>
              <w:rPr>
                <w:rFonts w:hint="eastAsia" w:cs="宋体"/>
                <w:b w:val="0"/>
                <w:bCs w:val="0"/>
                <w:color w:val="000000" w:themeColor="text1"/>
                <w:sz w:val="21"/>
                <w:szCs w:val="21"/>
                <w:highlight w:val="none"/>
                <w:u w:val="none"/>
                <w:lang w:bidi="ar"/>
                <w14:textFill>
                  <w14:solidFill>
                    <w14:schemeClr w14:val="tx1"/>
                  </w14:solidFill>
                </w14:textFill>
              </w:rPr>
              <w:t>〕</w:t>
            </w:r>
            <w:r>
              <w:rPr>
                <w:rFonts w:hint="eastAsia" w:cs="宋体"/>
                <w:b w:val="0"/>
                <w:bCs w:val="0"/>
                <w:color w:val="000000" w:themeColor="text1"/>
                <w:sz w:val="21"/>
                <w:szCs w:val="21"/>
                <w:highlight w:val="none"/>
                <w:u w:val="none"/>
                <w:lang w:val="en-US" w:eastAsia="zh-CN" w:bidi="ar"/>
                <w14:textFill>
                  <w14:solidFill>
                    <w14:schemeClr w14:val="tx1"/>
                  </w14:solidFill>
                </w14:textFill>
              </w:rPr>
              <w:t>66</w:t>
            </w:r>
            <w:r>
              <w:rPr>
                <w:rFonts w:hint="eastAsia" w:cs="宋体"/>
                <w:b w:val="0"/>
                <w:bCs w:val="0"/>
                <w:color w:val="000000" w:themeColor="text1"/>
                <w:sz w:val="21"/>
                <w:szCs w:val="21"/>
                <w:highlight w:val="none"/>
                <w:u w:val="none"/>
                <w:lang w:bidi="ar"/>
                <w14:textFill>
                  <w14:solidFill>
                    <w14:schemeClr w14:val="tx1"/>
                  </w14:solidFill>
                </w14:textFill>
              </w:rPr>
              <w:t>号）</w:t>
            </w:r>
            <w:r>
              <w:rPr>
                <w:rFonts w:hint="default" w:ascii="Times New Roman" w:hAnsi="Times New Roman" w:cs="Times New Roman"/>
                <w:b w:val="0"/>
                <w:bCs w:val="0"/>
                <w:color w:val="000000" w:themeColor="text1"/>
                <w:sz w:val="21"/>
                <w:szCs w:val="21"/>
                <w:highlight w:val="none"/>
                <w:u w:val="none"/>
                <w14:textFill>
                  <w14:solidFill>
                    <w14:schemeClr w14:val="tx1"/>
                  </w14:solidFill>
                </w14:textFill>
              </w:rPr>
              <w:t>等一系列措施</w:t>
            </w:r>
            <w:r>
              <w:rPr>
                <w:rFonts w:hint="eastAsia" w:cs="宋体"/>
                <w:b w:val="0"/>
                <w:bCs w:val="0"/>
                <w:color w:val="000000" w:themeColor="text1"/>
                <w:sz w:val="21"/>
                <w:szCs w:val="21"/>
                <w:highlight w:val="none"/>
                <w:u w:val="none"/>
                <w:lang w:bidi="ar"/>
                <w14:textFill>
                  <w14:solidFill>
                    <w14:schemeClr w14:val="tx1"/>
                  </w14:solidFill>
                </w14:textFill>
              </w:rPr>
              <w:t>，将继续改善新乡市水环境质量。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left"/>
              <w:textAlignment w:val="auto"/>
              <w:rPr>
                <w:rFonts w:hint="default" w:ascii="Times New Roman" w:hAnsi="宋体" w:cs="Times New Roman"/>
                <w:kern w:val="0"/>
                <w:sz w:val="21"/>
                <w:szCs w:val="21"/>
                <w:lang w:val="en-US" w:eastAsia="zh-CN"/>
              </w:rPr>
            </w:pPr>
            <w:r>
              <w:rPr>
                <w:rFonts w:hint="eastAsia" w:hAnsi="宋体" w:cs="Times New Roman"/>
                <w:kern w:val="0"/>
                <w:sz w:val="21"/>
                <w:szCs w:val="21"/>
                <w:lang w:val="en-US" w:eastAsia="zh-CN"/>
              </w:rPr>
              <w:t>本项目生活废水：本项目生活污水，依托厂区现有化粪池处理后定期清运。</w:t>
            </w:r>
          </w:p>
          <w:p>
            <w:pPr>
              <w:keepNext w:val="0"/>
              <w:keepLines w:val="0"/>
              <w:pageBreakBefore w:val="0"/>
              <w:kinsoku/>
              <w:wordWrap/>
              <w:overflowPunct/>
              <w:topLinePunct w:val="0"/>
              <w:autoSpaceDE/>
              <w:autoSpaceDN/>
              <w:bidi w:val="0"/>
              <w:spacing w:line="520" w:lineRule="exact"/>
              <w:ind w:firstLine="422" w:firstLineChars="200"/>
              <w:textAlignment w:val="auto"/>
              <w:rPr>
                <w:rFonts w:hint="default" w:ascii="Times New Roman" w:hAnsi="Times New Roman" w:cs="Times New Roman"/>
                <w:b/>
                <w:sz w:val="21"/>
                <w:szCs w:val="21"/>
              </w:rPr>
            </w:pPr>
            <w:r>
              <w:rPr>
                <w:rFonts w:hint="default" w:ascii="Times New Roman" w:hAnsi="Times New Roman" w:cs="Times New Roman"/>
                <w:b/>
                <w:sz w:val="21"/>
                <w:szCs w:val="21"/>
              </w:rPr>
              <w:t>3、声环境质量现状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auto"/>
                <w:sz w:val="21"/>
                <w:szCs w:val="21"/>
                <w:highlight w:val="none"/>
                <w:lang w:eastAsia="zh-CN"/>
              </w:rPr>
              <w:t>根据《声环境功能区划技术规范》（</w:t>
            </w:r>
            <w:r>
              <w:rPr>
                <w:rFonts w:hint="default" w:ascii="Times New Roman" w:hAnsi="Times New Roman" w:eastAsia="宋体" w:cs="Times New Roman"/>
                <w:color w:val="auto"/>
                <w:sz w:val="21"/>
                <w:szCs w:val="21"/>
                <w:highlight w:val="none"/>
                <w:lang w:val="en-US" w:eastAsia="zh-CN"/>
              </w:rPr>
              <w:t>GB/T15190-2014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建设项目所在区域为</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类区，</w:t>
            </w:r>
            <w:r>
              <w:rPr>
                <w:rFonts w:hint="default" w:ascii="Times New Roman" w:hAnsi="Times New Roman" w:eastAsia="宋体" w:cs="Times New Roman"/>
                <w:b w:val="0"/>
                <w:bCs w:val="0"/>
                <w:color w:val="auto"/>
                <w:sz w:val="21"/>
                <w:szCs w:val="21"/>
                <w:highlight w:val="none"/>
                <w:lang w:eastAsia="zh-CN"/>
              </w:rPr>
              <w:t>故</w:t>
            </w:r>
            <w:r>
              <w:rPr>
                <w:rFonts w:hint="default" w:ascii="Times New Roman" w:hAnsi="Times New Roman" w:eastAsia="宋体" w:cs="Times New Roman"/>
                <w:color w:val="auto"/>
                <w:sz w:val="21"/>
                <w:szCs w:val="21"/>
                <w:highlight w:val="none"/>
              </w:rPr>
              <w:t>厂区</w:t>
            </w:r>
            <w:r>
              <w:rPr>
                <w:rFonts w:hint="default" w:ascii="Times New Roman" w:hAnsi="Times New Roman" w:eastAsia="宋体" w:cs="Times New Roman"/>
                <w:color w:val="auto"/>
                <w:sz w:val="21"/>
                <w:szCs w:val="21"/>
                <w:highlight w:val="none"/>
                <w:lang w:val="en-US" w:eastAsia="zh-CN"/>
              </w:rPr>
              <w:t>四周</w:t>
            </w:r>
            <w:r>
              <w:rPr>
                <w:rFonts w:hint="default" w:ascii="Times New Roman" w:hAnsi="Times New Roman" w:eastAsia="宋体" w:cs="Times New Roman"/>
                <w:color w:val="auto"/>
                <w:sz w:val="21"/>
                <w:szCs w:val="21"/>
                <w:highlight w:val="none"/>
              </w:rPr>
              <w:t>边界</w:t>
            </w:r>
            <w:r>
              <w:rPr>
                <w:rFonts w:hint="default" w:ascii="Times New Roman" w:hAnsi="Times New Roman" w:eastAsia="宋体" w:cs="Times New Roman"/>
                <w:color w:val="auto"/>
                <w:sz w:val="21"/>
                <w:szCs w:val="21"/>
                <w:highlight w:val="none"/>
                <w:lang w:eastAsia="zh-CN"/>
              </w:rPr>
              <w:t>均</w:t>
            </w:r>
            <w:r>
              <w:rPr>
                <w:rFonts w:hint="default" w:ascii="Times New Roman" w:hAnsi="Times New Roman" w:eastAsia="宋体" w:cs="Times New Roman"/>
                <w:color w:val="auto"/>
                <w:sz w:val="21"/>
                <w:szCs w:val="21"/>
                <w:highlight w:val="none"/>
              </w:rPr>
              <w:t>应执行《声环境质量标准》（GB3096-2008）</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r>
              <w:rPr>
                <w:rFonts w:hint="eastAsia" w:ascii="Times New Roman" w:hAnsi="宋体" w:cs="Times New Roman"/>
                <w:kern w:val="0"/>
                <w:sz w:val="21"/>
                <w:szCs w:val="21"/>
                <w:lang w:val="en-US" w:eastAsia="zh-CN"/>
              </w:rPr>
              <w:t>；</w:t>
            </w:r>
            <w:r>
              <w:rPr>
                <w:rFonts w:hint="eastAsia" w:ascii="Times New Roman" w:hAnsi="宋体" w:cs="Times New Roman"/>
                <w:kern w:val="0"/>
                <w:sz w:val="21"/>
                <w:szCs w:val="21"/>
              </w:rPr>
              <w:t>根据《建设项目环境影响报告表编制技术指南（污染影响类）（试行）》，本项目厂界外周边</w:t>
            </w:r>
            <w:r>
              <w:rPr>
                <w:rFonts w:hint="default" w:ascii="Times New Roman" w:hAnsi="宋体" w:cs="Times New Roman"/>
                <w:kern w:val="0"/>
                <w:sz w:val="21"/>
                <w:szCs w:val="21"/>
              </w:rPr>
              <w:t>50</w:t>
            </w:r>
            <w:r>
              <w:rPr>
                <w:rFonts w:hint="eastAsia" w:ascii="Times New Roman" w:hAnsi="宋体" w:cs="Times New Roman"/>
                <w:kern w:val="0"/>
                <w:sz w:val="21"/>
                <w:szCs w:val="21"/>
              </w:rPr>
              <w:t>米范围内不存在声环境保护目标，因此不进行声环境质量现状调查</w:t>
            </w:r>
            <w:r>
              <w:rPr>
                <w:rFonts w:hint="eastAsia" w:ascii="Times New Roman" w:hAnsi="宋体" w:cs="Times New Roman"/>
                <w:kern w:val="0"/>
                <w:sz w:val="21"/>
                <w:szCs w:val="21"/>
                <w:lang w:eastAsia="zh-CN"/>
              </w:rPr>
              <w:t>。</w:t>
            </w:r>
          </w:p>
          <w:p>
            <w:pPr>
              <w:keepNext w:val="0"/>
              <w:keepLines w:val="0"/>
              <w:pageBreakBefore w:val="0"/>
              <w:kinsoku/>
              <w:wordWrap/>
              <w:overflowPunct/>
              <w:topLinePunct w:val="0"/>
              <w:autoSpaceDE/>
              <w:autoSpaceDN/>
              <w:bidi w:val="0"/>
              <w:spacing w:line="520" w:lineRule="exact"/>
              <w:ind w:firstLine="422" w:firstLineChars="200"/>
              <w:textAlignment w:val="auto"/>
              <w:rPr>
                <w:rFonts w:hint="default" w:ascii="Times New Roman" w:hAnsi="Times New Roman" w:cs="Times New Roman"/>
                <w:b/>
                <w:sz w:val="21"/>
                <w:szCs w:val="21"/>
              </w:rPr>
            </w:pPr>
            <w:r>
              <w:rPr>
                <w:rFonts w:hint="eastAsia" w:cs="Times New Roman"/>
                <w:b/>
                <w:sz w:val="21"/>
                <w:szCs w:val="21"/>
                <w:lang w:val="en-US" w:eastAsia="zh-CN"/>
              </w:rPr>
              <w:t>4</w:t>
            </w:r>
            <w:r>
              <w:rPr>
                <w:rFonts w:hint="default" w:ascii="Times New Roman" w:hAnsi="Times New Roman" w:cs="Times New Roman"/>
                <w:b/>
                <w:sz w:val="21"/>
                <w:szCs w:val="21"/>
              </w:rPr>
              <w:t>、生态环境现状</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FF0000"/>
                <w:kern w:val="0"/>
                <w:sz w:val="21"/>
                <w:szCs w:val="20"/>
                <w:lang w:val="en-US" w:eastAsia="zh-CN" w:bidi="ar-SA"/>
              </w:rPr>
            </w:pPr>
            <w:r>
              <w:rPr>
                <w:rFonts w:hint="default" w:ascii="Times New Roman" w:hAnsi="Times New Roman" w:eastAsia="宋体" w:cs="Times New Roman"/>
                <w:iCs/>
                <w:color w:val="auto"/>
                <w:sz w:val="21"/>
                <w:szCs w:val="21"/>
                <w:highlight w:val="none"/>
              </w:rPr>
              <w:t>本项目周边500m范围内</w:t>
            </w:r>
            <w:r>
              <w:rPr>
                <w:rFonts w:hint="default" w:ascii="Times New Roman" w:hAnsi="Times New Roman" w:eastAsia="宋体" w:cs="Times New Roman"/>
                <w:color w:val="auto"/>
                <w:sz w:val="21"/>
                <w:szCs w:val="21"/>
                <w:highlight w:val="none"/>
              </w:rPr>
              <w:t>无重点保护的野生动植物、风景名胜区、自然保护区及文化遗产等特殊保护目标。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FF0000"/>
                <w:kern w:val="0"/>
                <w:szCs w:val="21"/>
              </w:rPr>
            </w:pPr>
            <w:r>
              <w:rPr>
                <w:rFonts w:hint="eastAsia" w:ascii="宋体" w:hAnsi="宋体" w:cs="宋体"/>
                <w:color w:val="auto"/>
                <w:kern w:val="0"/>
                <w:szCs w:val="21"/>
              </w:rPr>
              <w:t>目标</w:t>
            </w:r>
          </w:p>
        </w:tc>
        <w:tc>
          <w:tcPr>
            <w:tcW w:w="81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eastAsia" w:ascii="Times New Roman" w:hAnsi="Times New Roman" w:cs="Times New Roman"/>
                <w:b/>
                <w:bCs/>
                <w:sz w:val="21"/>
                <w:szCs w:val="21"/>
                <w:lang w:eastAsia="zh-CN"/>
              </w:rPr>
            </w:pPr>
            <w:r>
              <w:rPr>
                <w:rFonts w:hint="default"/>
              </w:rPr>
              <w:t>根据《建设项目环境影响报告表编制技术指南（污染影响类）（试行）》，本项目厂界外500米内存在大气环境保护目标，50米范围内不存在声环境保护目标，500米范围内不存在地下水环境保护目标。本项目涉及大气环境的环境保护目标。</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厂界周围保护目标概况</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1019"/>
              <w:gridCol w:w="1019"/>
              <w:gridCol w:w="1019"/>
              <w:gridCol w:w="1019"/>
              <w:gridCol w:w="1035"/>
              <w:gridCol w:w="1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保护类别</w:t>
                  </w:r>
                </w:p>
              </w:tc>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sz w:val="21"/>
                      <w:szCs w:val="21"/>
                    </w:rPr>
                    <w:t>环境保护目标名称</w:t>
                  </w:r>
                </w:p>
              </w:tc>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sz w:val="21"/>
                      <w:szCs w:val="21"/>
                    </w:rPr>
                    <w:t>保护对象</w:t>
                  </w:r>
                </w:p>
              </w:tc>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保护内容</w:t>
                  </w:r>
                </w:p>
              </w:tc>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方向</w:t>
                  </w:r>
                </w:p>
              </w:tc>
              <w:tc>
                <w:tcPr>
                  <w:tcW w:w="65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sz w:val="21"/>
                      <w:szCs w:val="21"/>
                    </w:rPr>
                    <w:t>距离(m)</w:t>
                  </w:r>
                </w:p>
              </w:tc>
              <w:tc>
                <w:tcPr>
                  <w:tcW w:w="112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大气环境</w:t>
                  </w:r>
                </w:p>
              </w:tc>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lang w:val="en-US" w:eastAsia="zh-CN"/>
                    </w:rPr>
                    <w:t>隆基府东花园（在建）</w:t>
                  </w:r>
                </w:p>
              </w:tc>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居民住宅区</w:t>
                  </w:r>
                </w:p>
              </w:tc>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居民</w:t>
                  </w:r>
                </w:p>
              </w:tc>
              <w:tc>
                <w:tcPr>
                  <w:tcW w:w="64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lang w:val="en-US" w:eastAsia="zh-CN"/>
                    </w:rPr>
                    <w:t>西</w:t>
                  </w:r>
                </w:p>
              </w:tc>
              <w:tc>
                <w:tcPr>
                  <w:tcW w:w="65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color w:val="000000"/>
                      <w:sz w:val="21"/>
                      <w:szCs w:val="21"/>
                      <w:lang w:val="en-US" w:eastAsia="zh-CN"/>
                    </w:rPr>
                    <w:t>298</w:t>
                  </w:r>
                </w:p>
              </w:tc>
              <w:tc>
                <w:tcPr>
                  <w:tcW w:w="1124" w:type="pct"/>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000000"/>
                      <w:sz w:val="21"/>
                      <w:szCs w:val="21"/>
                    </w:rPr>
                    <w:t>《环境空气质量标准》（GB3095-2012）二级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9" w:type="dxa"/>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大气环境</w:t>
                  </w:r>
                </w:p>
              </w:tc>
              <w:tc>
                <w:tcPr>
                  <w:tcW w:w="1019" w:type="dxa"/>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东王庄村</w:t>
                  </w:r>
                </w:p>
              </w:tc>
              <w:tc>
                <w:tcPr>
                  <w:tcW w:w="1019" w:type="dxa"/>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居民住宅区</w:t>
                  </w:r>
                </w:p>
              </w:tc>
              <w:tc>
                <w:tcPr>
                  <w:tcW w:w="1019" w:type="dxa"/>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w:t>
                  </w:r>
                </w:p>
              </w:tc>
              <w:tc>
                <w:tcPr>
                  <w:tcW w:w="1019" w:type="dxa"/>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西</w:t>
                  </w:r>
                </w:p>
              </w:tc>
              <w:tc>
                <w:tcPr>
                  <w:tcW w:w="1035" w:type="dxa"/>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sz w:val="21"/>
                      <w:szCs w:val="21"/>
                      <w:lang w:val="en-US"/>
                    </w:rPr>
                  </w:pPr>
                  <w:r>
                    <w:rPr>
                      <w:rFonts w:hint="eastAsia" w:ascii="Times New Roman" w:hAnsi="Times New Roman" w:cs="Times New Roman"/>
                      <w:color w:val="000000"/>
                      <w:sz w:val="21"/>
                      <w:szCs w:val="21"/>
                      <w:lang w:val="en-US" w:eastAsia="zh-CN"/>
                    </w:rPr>
                    <w:t>281</w:t>
                  </w:r>
                </w:p>
              </w:tc>
              <w:tc>
                <w:tcPr>
                  <w:tcW w:w="1839" w:type="dxa"/>
                  <w:tcBorders>
                    <w:tl2br w:val="nil"/>
                    <w:tr2bl w:val="nil"/>
                  </w:tcBorders>
                  <w:vAlign w:val="center"/>
                </w:tcPr>
                <w:p>
                  <w:pPr>
                    <w:pStyle w:val="25"/>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《环境空气质量标准》（GB3095-2012）二级</w:t>
                  </w:r>
                </w:p>
              </w:tc>
            </w:tr>
          </w:tbl>
          <w:p>
            <w:pPr>
              <w:pStyle w:val="25"/>
              <w:keepNext w:val="0"/>
              <w:keepLines w:val="0"/>
              <w:pageBreakBefore w:val="0"/>
              <w:kinsoku/>
              <w:wordWrap/>
              <w:overflowPunct/>
              <w:topLinePunct w:val="0"/>
              <w:bidi w:val="0"/>
              <w:snapToGrid/>
              <w:spacing w:line="520" w:lineRule="exact"/>
              <w:jc w:val="center"/>
              <w:textAlignment w:val="auto"/>
              <w:rPr>
                <w:rFonts w:hint="default" w:eastAsia="宋体"/>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FF0000"/>
                <w:kern w:val="0"/>
                <w:szCs w:val="21"/>
              </w:rPr>
            </w:pPr>
            <w:r>
              <w:rPr>
                <w:rFonts w:hint="eastAsia" w:ascii="宋体" w:hAnsi="宋体" w:eastAsia="宋体" w:cs="宋体"/>
                <w:color w:val="auto"/>
                <w:kern w:val="0"/>
                <w:szCs w:val="21"/>
              </w:rPr>
              <w:t>准</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22" w:firstLineChars="200"/>
              <w:textAlignment w:val="auto"/>
              <w:rPr>
                <w:rFonts w:hint="eastAsia" w:eastAsia="宋体"/>
                <w:color w:val="auto"/>
                <w:sz w:val="21"/>
                <w:szCs w:val="21"/>
                <w:lang w:eastAsia="zh-CN"/>
              </w:rPr>
            </w:pPr>
            <w:r>
              <w:rPr>
                <w:rFonts w:hint="eastAsia" w:ascii="Times New Roman" w:hAnsi="Times New Roman" w:eastAsia="宋体" w:cs="Times New Roman"/>
                <w:b/>
                <w:bCs/>
                <w:color w:val="auto"/>
                <w:sz w:val="21"/>
                <w:szCs w:val="21"/>
              </w:rPr>
              <w:t>1</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大气</w:t>
            </w:r>
          </w:p>
          <w:p>
            <w:pPr>
              <w:keepNext w:val="0"/>
              <w:keepLines w:val="0"/>
              <w:suppressLineNumbers w:val="0"/>
              <w:tabs>
                <w:tab w:val="center" w:pos="3987"/>
              </w:tabs>
              <w:snapToGrid w:val="0"/>
              <w:spacing w:before="0" w:beforeAutospacing="0" w:after="0" w:afterAutospacing="0" w:line="520" w:lineRule="exact"/>
              <w:ind w:left="0" w:right="0" w:firstLine="420" w:firstLineChars="200"/>
              <w:rPr>
                <w:rFonts w:hint="eastAsia" w:eastAsia="宋体"/>
                <w:color w:val="auto"/>
                <w:lang w:eastAsia="zh-CN"/>
              </w:rPr>
            </w:pPr>
            <w:r>
              <w:rPr>
                <w:rFonts w:hint="default"/>
                <w:color w:val="auto"/>
              </w:rPr>
              <w:t>项目</w:t>
            </w:r>
            <w:r>
              <w:rPr>
                <w:rFonts w:hint="eastAsia" w:eastAsia="宋体"/>
                <w:color w:val="auto"/>
                <w:lang w:eastAsia="zh-CN"/>
              </w:rPr>
              <w:t>污染物排放</w:t>
            </w:r>
            <w:r>
              <w:rPr>
                <w:rFonts w:hint="default"/>
                <w:color w:val="auto"/>
              </w:rPr>
              <w:t>执行标准见下表。</w:t>
            </w:r>
            <w:r>
              <w:rPr>
                <w:rFonts w:hint="eastAsia" w:eastAsia="宋体"/>
                <w:color w:val="auto"/>
                <w:lang w:eastAsia="zh-CN"/>
              </w:rPr>
              <w:tab/>
            </w:r>
          </w:p>
          <w:p>
            <w:pPr>
              <w:pStyle w:val="31"/>
              <w:keepLines w:val="0"/>
              <w:pageBreakBefore w:val="0"/>
              <w:kinsoku/>
              <w:wordWrap/>
              <w:overflowPunct/>
              <w:topLinePunct w:val="0"/>
              <w:autoSpaceDE/>
              <w:autoSpaceDN/>
              <w:bidi w:val="0"/>
              <w:spacing w:line="5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污染物排放执行标准</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70"/>
              <w:gridCol w:w="938"/>
              <w:gridCol w:w="2150"/>
              <w:gridCol w:w="23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570" w:type="dxa"/>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标准名称</w:t>
                  </w:r>
                </w:p>
              </w:tc>
              <w:tc>
                <w:tcPr>
                  <w:tcW w:w="3088"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污染</w:t>
                  </w:r>
                  <w:r>
                    <w:rPr>
                      <w:rFonts w:hint="eastAsia"/>
                      <w:color w:val="000000"/>
                      <w:sz w:val="21"/>
                      <w:szCs w:val="21"/>
                      <w:lang w:eastAsia="zh-CN"/>
                    </w:rPr>
                    <w:t>因子</w:t>
                  </w:r>
                </w:p>
              </w:tc>
              <w:tc>
                <w:tcPr>
                  <w:tcW w:w="2306" w:type="dxa"/>
                  <w:noWrap w:val="0"/>
                  <w:vAlign w:val="center"/>
                </w:tcPr>
                <w:p>
                  <w:pPr>
                    <w:keepNext w:val="0"/>
                    <w:keepLines w:val="0"/>
                    <w:suppressLineNumbers w:val="0"/>
                    <w:spacing w:before="0" w:beforeAutospacing="0" w:after="0" w:afterAutospacing="0"/>
                    <w:ind w:left="0" w:right="0"/>
                    <w:jc w:val="center"/>
                    <w:rPr>
                      <w:rFonts w:hint="eastAsia" w:eastAsia="宋体"/>
                      <w:color w:val="000000"/>
                      <w:sz w:val="21"/>
                      <w:szCs w:val="21"/>
                      <w:lang w:eastAsia="zh-CN"/>
                    </w:rPr>
                  </w:pPr>
                  <w:r>
                    <w:rPr>
                      <w:rFonts w:hint="eastAsia"/>
                      <w:color w:val="000000"/>
                      <w:sz w:val="21"/>
                      <w:szCs w:val="21"/>
                      <w:lang w:eastAsia="zh-CN"/>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570"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《大气污染物综合排放标准》（GB16297-1996）表2二级标准</w:t>
                  </w:r>
                </w:p>
              </w:tc>
              <w:tc>
                <w:tcPr>
                  <w:tcW w:w="938"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颗粒物</w:t>
                  </w:r>
                </w:p>
              </w:tc>
              <w:tc>
                <w:tcPr>
                  <w:tcW w:w="2150" w:type="dxa"/>
                  <w:noWrap w:val="0"/>
                  <w:vAlign w:val="center"/>
                </w:tcPr>
                <w:p>
                  <w:pPr>
                    <w:keepNext w:val="0"/>
                    <w:keepLines w:val="0"/>
                    <w:suppressLineNumbers w:val="0"/>
                    <w:spacing w:before="0" w:beforeAutospacing="0" w:after="0" w:afterAutospacing="0"/>
                    <w:ind w:left="0" w:right="0"/>
                    <w:jc w:val="center"/>
                    <w:rPr>
                      <w:rFonts w:hint="eastAsia" w:eastAsia="宋体"/>
                      <w:color w:val="000000"/>
                      <w:sz w:val="21"/>
                      <w:szCs w:val="21"/>
                      <w:lang w:eastAsia="zh-CN"/>
                    </w:rPr>
                  </w:pPr>
                  <w:r>
                    <w:rPr>
                      <w:rFonts w:hint="eastAsia"/>
                      <w:color w:val="000000"/>
                      <w:sz w:val="21"/>
                      <w:szCs w:val="21"/>
                      <w:lang w:eastAsia="zh-CN"/>
                    </w:rPr>
                    <w:t>有组织</w:t>
                  </w:r>
                </w:p>
              </w:tc>
              <w:tc>
                <w:tcPr>
                  <w:tcW w:w="2306" w:type="dxa"/>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120mg/m</w:t>
                  </w:r>
                  <w:r>
                    <w:rPr>
                      <w:rFonts w:hint="default"/>
                      <w:color w:val="000000"/>
                      <w:sz w:val="21"/>
                      <w:szCs w:val="21"/>
                      <w:vertAlign w:val="superscript"/>
                    </w:rPr>
                    <w:t>3</w:t>
                  </w:r>
                  <w:r>
                    <w:rPr>
                      <w:rFonts w:hint="eastAsia"/>
                      <w:color w:val="000000"/>
                      <w:sz w:val="21"/>
                      <w:szCs w:val="21"/>
                      <w:vertAlign w:val="baseline"/>
                      <w:lang w:eastAsia="zh-CN"/>
                    </w:rPr>
                    <w:t>（</w:t>
                  </w:r>
                  <w:r>
                    <w:rPr>
                      <w:rFonts w:hint="eastAsia"/>
                      <w:color w:val="000000"/>
                      <w:sz w:val="21"/>
                      <w:szCs w:val="21"/>
                      <w:vertAlign w:val="baseline"/>
                      <w:lang w:val="en-US" w:eastAsia="zh-CN"/>
                    </w:rPr>
                    <w:t>3.5</w:t>
                  </w:r>
                  <w:r>
                    <w:rPr>
                      <w:rFonts w:hint="eastAsia"/>
                      <w:color w:val="000000"/>
                      <w:sz w:val="21"/>
                      <w:szCs w:val="21"/>
                      <w:vertAlign w:val="baseline"/>
                    </w:rPr>
                    <w:t>kg/h（</w:t>
                  </w:r>
                  <w:r>
                    <w:rPr>
                      <w:rFonts w:hint="eastAsia"/>
                      <w:color w:val="000000"/>
                      <w:sz w:val="21"/>
                      <w:szCs w:val="21"/>
                      <w:vertAlign w:val="baseline"/>
                      <w:lang w:val="en-US" w:eastAsia="zh-CN"/>
                    </w:rPr>
                    <w:t>15</w:t>
                  </w:r>
                  <w:r>
                    <w:rPr>
                      <w:rFonts w:hint="eastAsia"/>
                      <w:color w:val="000000"/>
                      <w:sz w:val="21"/>
                      <w:szCs w:val="21"/>
                      <w:vertAlign w:val="baseline"/>
                    </w:rPr>
                    <w:t>m</w:t>
                  </w:r>
                  <w:r>
                    <w:rPr>
                      <w:rFonts w:hint="eastAsia"/>
                      <w:color w:val="000000"/>
                      <w:sz w:val="21"/>
                      <w:szCs w:val="21"/>
                      <w:vertAlign w:val="baseline"/>
                      <w:lang w:eastAsia="zh-CN"/>
                    </w:rPr>
                    <w:t>排气筒</w:t>
                  </w:r>
                  <w:r>
                    <w:rPr>
                      <w:rFonts w:hint="eastAsia"/>
                      <w:color w:val="000000"/>
                      <w:sz w:val="21"/>
                      <w:szCs w:val="21"/>
                      <w:vertAlign w:val="baseline"/>
                    </w:rPr>
                    <w:t>）</w:t>
                  </w:r>
                  <w:r>
                    <w:rPr>
                      <w:rFonts w:hint="eastAsia"/>
                      <w:color w:val="000000"/>
                      <w:sz w:val="21"/>
                      <w:szCs w:val="21"/>
                      <w:vertAlign w:val="baseli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570"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938"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2150" w:type="dxa"/>
                  <w:noWrap w:val="0"/>
                  <w:vAlign w:val="center"/>
                </w:tcPr>
                <w:p>
                  <w:pPr>
                    <w:keepNext w:val="0"/>
                    <w:keepLines w:val="0"/>
                    <w:suppressLineNumbers w:val="0"/>
                    <w:spacing w:before="0" w:beforeAutospacing="0" w:after="0" w:afterAutospacing="0"/>
                    <w:ind w:left="0" w:right="0"/>
                    <w:jc w:val="center"/>
                    <w:rPr>
                      <w:rFonts w:hint="eastAsia" w:eastAsia="宋体"/>
                      <w:color w:val="000000"/>
                      <w:sz w:val="21"/>
                      <w:szCs w:val="21"/>
                      <w:lang w:eastAsia="zh-CN"/>
                    </w:rPr>
                  </w:pPr>
                  <w:r>
                    <w:rPr>
                      <w:rFonts w:hint="eastAsia"/>
                      <w:color w:val="000000"/>
                      <w:sz w:val="21"/>
                      <w:szCs w:val="21"/>
                      <w:lang w:eastAsia="zh-CN"/>
                    </w:rPr>
                    <w:t>无组织</w:t>
                  </w:r>
                </w:p>
              </w:tc>
              <w:tc>
                <w:tcPr>
                  <w:tcW w:w="2306" w:type="dxa"/>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sz w:val="21"/>
                      <w:szCs w:val="21"/>
                    </w:rPr>
                    <w:t>1.0mg/m</w:t>
                  </w:r>
                  <w:r>
                    <w:rPr>
                      <w:rFonts w:hint="default"/>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70"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eastAsia"/>
                      <w:color w:val="000000"/>
                      <w:sz w:val="21"/>
                      <w:szCs w:val="21"/>
                    </w:rPr>
                    <w:t>《新乡市生态环境局关于进一步规范工业颗粒物排放限值的通知》其他所有涉气工业企业</w:t>
                  </w:r>
                </w:p>
              </w:tc>
              <w:tc>
                <w:tcPr>
                  <w:tcW w:w="938" w:type="dxa"/>
                  <w:vMerge w:val="restart"/>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color w:val="000000"/>
                      <w:sz w:val="21"/>
                      <w:szCs w:val="21"/>
                    </w:rPr>
                    <w:t>颗粒物</w:t>
                  </w:r>
                </w:p>
              </w:tc>
              <w:tc>
                <w:tcPr>
                  <w:tcW w:w="2150" w:type="dxa"/>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color w:val="000000"/>
                      <w:sz w:val="21"/>
                      <w:szCs w:val="21"/>
                      <w:lang w:eastAsia="zh-CN"/>
                    </w:rPr>
                    <w:t>有组织</w:t>
                  </w:r>
                </w:p>
              </w:tc>
              <w:tc>
                <w:tcPr>
                  <w:tcW w:w="2306" w:type="dxa"/>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color w:val="000000"/>
                      <w:sz w:val="21"/>
                      <w:szCs w:val="21"/>
                    </w:rPr>
                    <w:t>10</w:t>
                  </w:r>
                  <w:r>
                    <w:rPr>
                      <w:rFonts w:hint="default"/>
                      <w:color w:val="000000"/>
                      <w:sz w:val="21"/>
                      <w:szCs w:val="21"/>
                    </w:rPr>
                    <w:t>mg/m</w:t>
                  </w:r>
                  <w:r>
                    <w:rPr>
                      <w:rFonts w:hint="default"/>
                      <w:color w:val="00000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70"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938"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2150" w:type="dxa"/>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color w:val="000000"/>
                      <w:sz w:val="21"/>
                      <w:szCs w:val="21"/>
                      <w:lang w:eastAsia="zh-CN"/>
                    </w:rPr>
                    <w:t>无组织</w:t>
                  </w:r>
                </w:p>
              </w:tc>
              <w:tc>
                <w:tcPr>
                  <w:tcW w:w="2306" w:type="dxa"/>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sz w:val="21"/>
                      <w:szCs w:val="21"/>
                    </w:rPr>
                    <w:t>0.5</w:t>
                  </w:r>
                  <w:r>
                    <w:rPr>
                      <w:rFonts w:hint="default"/>
                      <w:sz w:val="21"/>
                      <w:szCs w:val="21"/>
                    </w:rPr>
                    <w:t>mg/m</w:t>
                  </w:r>
                  <w:r>
                    <w:rPr>
                      <w:rFonts w:hint="default"/>
                      <w:sz w:val="21"/>
                      <w:szCs w:val="21"/>
                      <w:vertAlign w:val="superscript"/>
                    </w:rPr>
                    <w:t>3</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22" w:firstLineChars="20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2、废水</w:t>
            </w:r>
          </w:p>
          <w:p>
            <w:pPr>
              <w:keepNext w:val="0"/>
              <w:keepLines w:val="0"/>
              <w:suppressLineNumbers w:val="0"/>
              <w:tabs>
                <w:tab w:val="center" w:pos="3987"/>
              </w:tabs>
              <w:snapToGrid w:val="0"/>
              <w:spacing w:before="0" w:beforeAutospacing="0" w:after="0" w:afterAutospacing="0" w:line="520" w:lineRule="exact"/>
              <w:ind w:left="0" w:right="0"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本项目</w:t>
            </w:r>
            <w:r>
              <w:rPr>
                <w:rFonts w:hint="eastAsia" w:cs="Times New Roman"/>
                <w:color w:val="auto"/>
                <w:lang w:val="en-US" w:eastAsia="zh-CN"/>
              </w:rPr>
              <w:t>无生产废水，</w:t>
            </w:r>
            <w:r>
              <w:rPr>
                <w:rFonts w:hint="eastAsia" w:ascii="Times New Roman" w:hAnsi="Times New Roman" w:eastAsia="宋体" w:cs="Times New Roman"/>
                <w:color w:val="auto"/>
                <w:lang w:val="en-US" w:eastAsia="zh-CN"/>
              </w:rPr>
              <w:t>生活废水依托厂区现有化粪池处理后定期清运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22" w:firstLineChars="20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3、噪声</w:t>
            </w:r>
          </w:p>
          <w:p>
            <w:pPr>
              <w:keepNext w:val="0"/>
              <w:keepLines w:val="0"/>
              <w:suppressLineNumbers w:val="0"/>
              <w:tabs>
                <w:tab w:val="center" w:pos="3987"/>
              </w:tabs>
              <w:snapToGrid w:val="0"/>
              <w:spacing w:before="0" w:beforeAutospacing="0" w:after="0" w:afterAutospacing="0" w:line="520" w:lineRule="exact"/>
              <w:ind w:left="0" w:right="0"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本项目位于</w:t>
            </w:r>
            <w:r>
              <w:rPr>
                <w:rFonts w:hint="default" w:ascii="Times New Roman" w:hAnsi="Times New Roman" w:eastAsia="宋体" w:cs="Times New Roman"/>
                <w:sz w:val="21"/>
                <w:szCs w:val="21"/>
              </w:rPr>
              <w:t>河南省新乡市新乡县七里营镇李台村南3号</w:t>
            </w:r>
            <w:r>
              <w:rPr>
                <w:rFonts w:hint="eastAsia" w:ascii="Times New Roman" w:hAnsi="Times New Roman" w:eastAsia="宋体" w:cs="Times New Roman"/>
                <w:color w:val="auto"/>
                <w:lang w:val="en-US" w:eastAsia="zh-CN"/>
              </w:rPr>
              <w:t>，根据环境噪声划分规定，建设项目所在地属2类区，</w:t>
            </w:r>
            <w:r>
              <w:rPr>
                <w:rFonts w:hint="default" w:ascii="Times New Roman" w:hAnsi="Times New Roman" w:eastAsia="宋体" w:cs="Times New Roman"/>
                <w:color w:val="auto"/>
                <w:lang w:val="en-US" w:eastAsia="zh-CN"/>
              </w:rPr>
              <w:t>运营期各厂界噪声执行《工业企业厂界环境噪声排放标准》（GB12348-2008）</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类标准，</w:t>
            </w:r>
            <w:r>
              <w:rPr>
                <w:rFonts w:hint="eastAsia" w:ascii="Times New Roman" w:hAnsi="Times New Roman" w:eastAsia="宋体" w:cs="Times New Roman"/>
                <w:color w:val="auto"/>
                <w:lang w:val="en-US" w:eastAsia="zh-CN"/>
              </w:rPr>
              <w:t>详见下表</w:t>
            </w:r>
            <w:r>
              <w:rPr>
                <w:rFonts w:hint="default" w:ascii="Times New Roman" w:hAnsi="Times New Roman" w:eastAsia="宋体" w:cs="Times New Roman"/>
                <w:color w:val="auto"/>
                <w:lang w:val="en-US" w:eastAsia="zh-CN"/>
              </w:rPr>
              <w:t>。</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工业企业厂界环境噪声排放</w:t>
            </w:r>
            <w:r>
              <w:rPr>
                <w:rFonts w:hint="eastAsia" w:ascii="Times New Roman" w:hAnsi="Times New Roman" w:eastAsia="宋体" w:cs="Times New Roman"/>
                <w:lang w:val="en-US" w:eastAsia="zh-CN"/>
              </w:rPr>
              <w:t>标准  单位：dB(A)</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80"/>
              <w:gridCol w:w="1996"/>
              <w:gridCol w:w="1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noWrap w:val="0"/>
                  <w:tcMar>
                    <w:top w:w="85" w:type="dxa"/>
                    <w:bottom w:w="85" w:type="dxa"/>
                  </w:tcMar>
                  <w:vAlign w:val="center"/>
                </w:tcPr>
                <w:p>
                  <w:pPr>
                    <w:pStyle w:val="5"/>
                    <w:keepNext w:val="0"/>
                    <w:keepLines w:val="0"/>
                    <w:suppressLineNumbers w:val="0"/>
                    <w:snapToGrid w:val="0"/>
                    <w:spacing w:before="0" w:beforeAutospacing="0" w:after="0" w:afterAutospacing="0"/>
                    <w:ind w:left="0" w:right="0"/>
                    <w:jc w:val="center"/>
                    <w:rPr>
                      <w:rFonts w:hint="default" w:ascii="Times New Roman" w:hAnsi="Times New Roman" w:eastAsia="宋体"/>
                      <w:b/>
                      <w:bCs w:val="0"/>
                      <w:sz w:val="21"/>
                      <w:szCs w:val="21"/>
                      <w:lang w:eastAsia="zh-CN"/>
                    </w:rPr>
                  </w:pPr>
                  <w:r>
                    <w:rPr>
                      <w:rFonts w:hint="eastAsia" w:ascii="Times New Roman" w:hAnsi="Times New Roman" w:eastAsia="宋体"/>
                      <w:b/>
                      <w:bCs w:val="0"/>
                      <w:sz w:val="21"/>
                      <w:szCs w:val="21"/>
                      <w:lang w:eastAsia="zh-CN"/>
                    </w:rPr>
                    <w:t>标准来源</w:t>
                  </w:r>
                  <w:r>
                    <w:rPr>
                      <w:rFonts w:hint="default" w:ascii="Times New Roman" w:hAnsi="Times New Roman" w:eastAsia="宋体"/>
                      <w:b/>
                      <w:bCs w:val="0"/>
                      <w:sz w:val="21"/>
                      <w:szCs w:val="21"/>
                      <w:lang w:eastAsia="zh-CN"/>
                    </w:rPr>
                    <w:t>及级别</w:t>
                  </w:r>
                </w:p>
              </w:tc>
              <w:tc>
                <w:tcPr>
                  <w:tcW w:w="4109" w:type="dxa"/>
                  <w:gridSpan w:val="2"/>
                  <w:noWrap w:val="0"/>
                  <w:tcMar>
                    <w:top w:w="85" w:type="dxa"/>
                    <w:bottom w:w="85" w:type="dxa"/>
                  </w:tcMar>
                  <w:vAlign w:val="center"/>
                </w:tcPr>
                <w:p>
                  <w:pPr>
                    <w:pStyle w:val="5"/>
                    <w:keepNext w:val="0"/>
                    <w:keepLines w:val="0"/>
                    <w:suppressLineNumbers w:val="0"/>
                    <w:snapToGrid w:val="0"/>
                    <w:spacing w:before="0" w:beforeAutospacing="0" w:after="0" w:afterAutospacing="0"/>
                    <w:ind w:left="0" w:right="0"/>
                    <w:jc w:val="center"/>
                    <w:rPr>
                      <w:rFonts w:hint="default" w:ascii="Times New Roman" w:hAnsi="Times New Roman" w:eastAsia="宋体"/>
                      <w:b/>
                      <w:bCs w:val="0"/>
                      <w:sz w:val="21"/>
                      <w:szCs w:val="21"/>
                      <w:lang w:eastAsia="zh-CN"/>
                    </w:rPr>
                  </w:pPr>
                  <w:r>
                    <w:rPr>
                      <w:rFonts w:hint="default" w:ascii="Times New Roman" w:hAnsi="Times New Roman" w:eastAsia="宋体"/>
                      <w:b/>
                      <w:bCs w:val="0"/>
                      <w:sz w:val="21"/>
                      <w:szCs w:val="21"/>
                      <w:lang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vMerge w:val="restart"/>
                  <w:noWrap w:val="0"/>
                  <w:tcMar>
                    <w:top w:w="85" w:type="dxa"/>
                    <w:bottom w:w="85" w:type="dxa"/>
                  </w:tcMar>
                  <w:vAlign w:val="center"/>
                </w:tcPr>
                <w:p>
                  <w:pPr>
                    <w:pStyle w:val="5"/>
                    <w:keepNext w:val="0"/>
                    <w:keepLines w:val="0"/>
                    <w:suppressLineNumbers w:val="0"/>
                    <w:snapToGrid w:val="0"/>
                    <w:spacing w:before="0" w:beforeAutospacing="0" w:after="0" w:afterAutospacing="0"/>
                    <w:ind w:left="0" w:right="0"/>
                    <w:jc w:val="center"/>
                    <w:rPr>
                      <w:rFonts w:hint="default"/>
                      <w:lang w:eastAsia="zh-CN"/>
                    </w:rPr>
                  </w:pPr>
                  <w:r>
                    <w:rPr>
                      <w:rFonts w:hint="default" w:ascii="Times New Roman" w:hAnsi="Times New Roman" w:eastAsia="宋体"/>
                      <w:b w:val="0"/>
                      <w:sz w:val="21"/>
                      <w:szCs w:val="21"/>
                      <w:lang w:eastAsia="zh-CN"/>
                    </w:rPr>
                    <w:t>《</w:t>
                  </w:r>
                  <w:r>
                    <w:rPr>
                      <w:rFonts w:hint="eastAsia" w:ascii="Times New Roman" w:hAnsi="Times New Roman" w:eastAsia="宋体"/>
                      <w:b w:val="0"/>
                      <w:sz w:val="21"/>
                      <w:szCs w:val="21"/>
                      <w:lang w:eastAsia="zh-CN"/>
                    </w:rPr>
                    <w:t>工业企业厂界环境噪声排放标准</w:t>
                  </w:r>
                  <w:r>
                    <w:rPr>
                      <w:rFonts w:hint="default" w:ascii="Times New Roman" w:hAnsi="Times New Roman" w:eastAsia="宋体"/>
                      <w:b w:val="0"/>
                      <w:sz w:val="21"/>
                      <w:szCs w:val="21"/>
                      <w:lang w:eastAsia="zh-CN"/>
                    </w:rPr>
                    <w:t>》（GB</w:t>
                  </w:r>
                  <w:r>
                    <w:rPr>
                      <w:rFonts w:hint="eastAsia" w:ascii="Times New Roman" w:hAnsi="Times New Roman" w:eastAsia="宋体"/>
                      <w:b w:val="0"/>
                      <w:sz w:val="21"/>
                      <w:szCs w:val="21"/>
                      <w:lang w:eastAsia="zh-CN"/>
                    </w:rPr>
                    <w:t>12348</w:t>
                  </w:r>
                  <w:r>
                    <w:rPr>
                      <w:rFonts w:hint="default" w:ascii="Times New Roman" w:hAnsi="Times New Roman" w:eastAsia="宋体"/>
                      <w:b w:val="0"/>
                      <w:sz w:val="21"/>
                      <w:szCs w:val="21"/>
                      <w:lang w:eastAsia="zh-CN"/>
                    </w:rPr>
                    <w:t>-2008）</w:t>
                  </w:r>
                  <w:r>
                    <w:rPr>
                      <w:rFonts w:hint="eastAsia"/>
                      <w:b w:val="0"/>
                      <w:sz w:val="21"/>
                      <w:szCs w:val="21"/>
                      <w:lang w:val="en-US" w:eastAsia="zh-CN"/>
                    </w:rPr>
                    <w:t>2</w:t>
                  </w:r>
                  <w:r>
                    <w:rPr>
                      <w:rFonts w:hint="default" w:ascii="Times New Roman" w:hAnsi="Times New Roman" w:eastAsia="宋体"/>
                      <w:b w:val="0"/>
                      <w:sz w:val="21"/>
                      <w:szCs w:val="21"/>
                      <w:lang w:eastAsia="zh-CN"/>
                    </w:rPr>
                    <w:t>类标准</w:t>
                  </w:r>
                </w:p>
              </w:tc>
              <w:tc>
                <w:tcPr>
                  <w:tcW w:w="2054" w:type="dxa"/>
                  <w:noWrap w:val="0"/>
                  <w:tcMar>
                    <w:top w:w="85" w:type="dxa"/>
                    <w:bottom w:w="85" w:type="dxa"/>
                  </w:tcMar>
                  <w:vAlign w:val="center"/>
                </w:tcPr>
                <w:p>
                  <w:pPr>
                    <w:pStyle w:val="5"/>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昼间</w:t>
                  </w:r>
                </w:p>
              </w:tc>
              <w:tc>
                <w:tcPr>
                  <w:tcW w:w="2055" w:type="dxa"/>
                  <w:noWrap w:val="0"/>
                  <w:tcMar>
                    <w:top w:w="85" w:type="dxa"/>
                    <w:bottom w:w="85" w:type="dxa"/>
                  </w:tcMar>
                  <w:vAlign w:val="center"/>
                </w:tcPr>
                <w:p>
                  <w:pPr>
                    <w:pStyle w:val="5"/>
                    <w:keepNext w:val="0"/>
                    <w:keepLines w:val="0"/>
                    <w:suppressLineNumbers w:val="0"/>
                    <w:snapToGrid w:val="0"/>
                    <w:spacing w:before="0" w:beforeAutospacing="0" w:after="0" w:afterAutospacing="0"/>
                    <w:ind w:left="0" w:right="0"/>
                    <w:jc w:val="center"/>
                    <w:rPr>
                      <w:rFonts w:hint="default" w:ascii="Times New Roman" w:hAnsi="Times New Roman" w:eastAsia="宋体"/>
                      <w:b w:val="0"/>
                      <w:sz w:val="21"/>
                      <w:szCs w:val="21"/>
                      <w:lang w:val="en-US" w:eastAsia="zh-CN"/>
                    </w:rPr>
                  </w:pPr>
                  <w:r>
                    <w:rPr>
                      <w:rFonts w:hint="eastAsia"/>
                      <w:b w:val="0"/>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vMerge w:val="continue"/>
                  <w:noWrap w:val="0"/>
                  <w:tcMar>
                    <w:top w:w="85" w:type="dxa"/>
                    <w:bottom w:w="85" w:type="dxa"/>
                  </w:tcMar>
                  <w:vAlign w:val="center"/>
                </w:tcPr>
                <w:p>
                  <w:pPr>
                    <w:pStyle w:val="5"/>
                    <w:keepNext w:val="0"/>
                    <w:keepLines w:val="0"/>
                    <w:suppressLineNumbers w:val="0"/>
                    <w:snapToGrid w:val="0"/>
                    <w:spacing w:before="0" w:beforeAutospacing="0" w:after="0" w:afterAutospacing="0"/>
                    <w:ind w:left="0" w:right="0"/>
                    <w:jc w:val="center"/>
                    <w:rPr>
                      <w:rFonts w:hint="default"/>
                      <w:lang w:eastAsia="zh-CN"/>
                    </w:rPr>
                  </w:pPr>
                </w:p>
              </w:tc>
              <w:tc>
                <w:tcPr>
                  <w:tcW w:w="2054" w:type="dxa"/>
                  <w:noWrap w:val="0"/>
                  <w:tcMar>
                    <w:top w:w="85" w:type="dxa"/>
                    <w:bottom w:w="85" w:type="dxa"/>
                  </w:tcMar>
                  <w:vAlign w:val="center"/>
                </w:tcPr>
                <w:p>
                  <w:pPr>
                    <w:pStyle w:val="5"/>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夜间</w:t>
                  </w:r>
                </w:p>
              </w:tc>
              <w:tc>
                <w:tcPr>
                  <w:tcW w:w="2055" w:type="dxa"/>
                  <w:noWrap w:val="0"/>
                  <w:tcMar>
                    <w:top w:w="85" w:type="dxa"/>
                    <w:bottom w:w="85" w:type="dxa"/>
                  </w:tcMar>
                  <w:vAlign w:val="center"/>
                </w:tcPr>
                <w:p>
                  <w:pPr>
                    <w:pStyle w:val="5"/>
                    <w:keepNext w:val="0"/>
                    <w:keepLines w:val="0"/>
                    <w:suppressLineNumbers w:val="0"/>
                    <w:snapToGrid w:val="0"/>
                    <w:spacing w:before="0" w:beforeAutospacing="0" w:after="0" w:afterAutospacing="0"/>
                    <w:ind w:left="0" w:right="0"/>
                    <w:jc w:val="center"/>
                    <w:rPr>
                      <w:rFonts w:hint="default" w:ascii="Times New Roman" w:hAnsi="Times New Roman" w:eastAsia="宋体"/>
                      <w:b w:val="0"/>
                      <w:sz w:val="21"/>
                      <w:szCs w:val="21"/>
                      <w:lang w:val="en-US" w:eastAsia="zh-CN"/>
                    </w:rPr>
                  </w:pPr>
                  <w:r>
                    <w:rPr>
                      <w:rFonts w:hint="eastAsia"/>
                      <w:b w:val="0"/>
                      <w:sz w:val="21"/>
                      <w:szCs w:val="21"/>
                      <w:lang w:val="en-US" w:eastAsia="zh-CN"/>
                    </w:rPr>
                    <w:t>50</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22" w:firstLineChars="20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固废</w:t>
            </w:r>
          </w:p>
          <w:p>
            <w:pPr>
              <w:keepNext w:val="0"/>
              <w:keepLines w:val="0"/>
              <w:pageBreakBefore w:val="0"/>
              <w:widowControl w:val="0"/>
              <w:suppressLineNumbers w:val="0"/>
              <w:tabs>
                <w:tab w:val="center" w:pos="3987"/>
              </w:tabs>
              <w:kinsoku/>
              <w:wordWrap/>
              <w:overflowPunct/>
              <w:topLinePunct w:val="0"/>
              <w:autoSpaceDE/>
              <w:autoSpaceDN/>
              <w:bidi w:val="0"/>
              <w:adjustRightInd/>
              <w:snapToGrid w:val="0"/>
              <w:spacing w:before="0" w:beforeAutospacing="0" w:after="0" w:afterAutospacing="0" w:line="520" w:lineRule="exact"/>
              <w:ind w:left="0" w:right="0" w:firstLine="420" w:firstLineChars="200"/>
              <w:textAlignment w:val="auto"/>
              <w:rPr>
                <w:rFonts w:hint="eastAsia" w:cs="Times New Roman"/>
                <w:color w:val="FF0000"/>
                <w:lang w:eastAsia="zh-CN"/>
              </w:rPr>
            </w:pPr>
            <w:r>
              <w:rPr>
                <w:rFonts w:hint="default" w:ascii="Times New Roman" w:hAnsi="Times New Roman" w:eastAsia="宋体" w:cs="Times New Roman"/>
                <w:color w:val="auto"/>
                <w:lang w:val="en-US" w:eastAsia="zh-CN"/>
              </w:rPr>
              <w:t>一般固废</w:t>
            </w:r>
            <w:r>
              <w:rPr>
                <w:rFonts w:hint="eastAsia" w:ascii="Times New Roman" w:hAnsi="Times New Roman" w:eastAsia="宋体" w:cs="Times New Roman"/>
                <w:color w:val="auto"/>
                <w:lang w:val="en-US" w:eastAsia="zh-CN"/>
              </w:rPr>
              <w:t>的</w:t>
            </w:r>
            <w:r>
              <w:rPr>
                <w:rFonts w:hint="default" w:ascii="Times New Roman" w:hAnsi="Times New Roman" w:eastAsia="宋体" w:cs="Times New Roman"/>
                <w:color w:val="auto"/>
                <w:lang w:val="en-US" w:eastAsia="zh-CN"/>
              </w:rPr>
              <w:t>贮存</w:t>
            </w:r>
            <w:r>
              <w:rPr>
                <w:rFonts w:hint="eastAsia" w:ascii="Times New Roman" w:hAnsi="Times New Roman" w:eastAsia="宋体" w:cs="Times New Roman"/>
                <w:color w:val="auto"/>
                <w:lang w:val="en-US" w:eastAsia="zh-CN"/>
              </w:rPr>
              <w:t>和</w:t>
            </w:r>
            <w:r>
              <w:rPr>
                <w:rFonts w:hint="default" w:ascii="Times New Roman" w:hAnsi="Times New Roman" w:eastAsia="宋体" w:cs="Times New Roman"/>
                <w:color w:val="auto"/>
                <w:lang w:val="en-US" w:eastAsia="zh-CN"/>
              </w:rPr>
              <w:t>处置执行《一般工业固体废物贮存和填埋场污染控制标准》（GB18599-2020）</w:t>
            </w:r>
            <w:r>
              <w:rPr>
                <w:rFonts w:hint="eastAsia" w:ascii="Times New Roman" w:hAnsi="Times New Roman" w:eastAsia="宋体" w:cs="Times New Roman"/>
                <w:color w:val="auto"/>
                <w:lang w:val="en-US" w:eastAsia="zh-CN"/>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color w:val="auto"/>
                <w:kern w:val="0"/>
                <w:szCs w:val="21"/>
              </w:rPr>
            </w:pPr>
            <w:r>
              <w:rPr>
                <w:color w:val="auto"/>
                <w:kern w:val="0"/>
                <w:szCs w:val="21"/>
              </w:rPr>
              <w:t>总量</w:t>
            </w:r>
          </w:p>
          <w:p>
            <w:pPr>
              <w:keepNext w:val="0"/>
              <w:keepLines w:val="0"/>
              <w:suppressLineNumbers w:val="0"/>
              <w:adjustRightInd w:val="0"/>
              <w:snapToGrid w:val="0"/>
              <w:spacing w:before="0" w:beforeAutospacing="0" w:after="0" w:afterAutospacing="0"/>
              <w:ind w:left="0" w:right="0"/>
              <w:jc w:val="center"/>
              <w:rPr>
                <w:color w:val="auto"/>
                <w:kern w:val="0"/>
                <w:szCs w:val="21"/>
              </w:rPr>
            </w:pPr>
            <w:r>
              <w:rPr>
                <w:color w:val="auto"/>
                <w:kern w:val="0"/>
                <w:szCs w:val="21"/>
              </w:rPr>
              <w:t>控制</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kern w:val="0"/>
                <w:szCs w:val="21"/>
              </w:rPr>
            </w:pPr>
            <w:r>
              <w:rPr>
                <w:color w:val="auto"/>
                <w:kern w:val="0"/>
                <w:szCs w:val="21"/>
              </w:rPr>
              <w:t>指标</w:t>
            </w:r>
          </w:p>
        </w:tc>
        <w:tc>
          <w:tcPr>
            <w:tcW w:w="8190" w:type="dxa"/>
            <w:noWrap w:val="0"/>
            <w:vAlign w:val="center"/>
          </w:tcPr>
          <w:p>
            <w:pPr>
              <w:keepNext w:val="0"/>
              <w:keepLines w:val="0"/>
              <w:suppressLineNumbers w:val="0"/>
              <w:tabs>
                <w:tab w:val="center" w:pos="3987"/>
              </w:tabs>
              <w:snapToGrid w:val="0"/>
              <w:spacing w:before="0" w:beforeAutospacing="0" w:after="0" w:afterAutospacing="0" w:line="520" w:lineRule="exact"/>
              <w:ind w:left="0" w:right="0" w:firstLine="420" w:firstLineChars="200"/>
              <w:rPr>
                <w:rFonts w:hint="default" w:ascii="Times New Roman" w:hAnsi="Times New Roman" w:eastAsia="宋体" w:cs="Times New Roman"/>
                <w:color w:val="auto"/>
              </w:rPr>
            </w:pPr>
            <w:bookmarkStart w:id="1" w:name="_Hlk85531543"/>
            <w:r>
              <w:rPr>
                <w:rFonts w:hint="default"/>
                <w:color w:val="auto"/>
              </w:rPr>
              <w:t>根据《新乡市生态环境局关于转发&lt;河南省生态环境厅关于印发建设项目主要污染物排放总量指标管理工作内部规程的通知&gt;的通知》，建设项目环境影响评价文件中应明</w:t>
            </w:r>
            <w:r>
              <w:rPr>
                <w:rFonts w:hint="default" w:ascii="Times New Roman" w:hAnsi="Times New Roman" w:eastAsia="宋体" w:cs="Times New Roman"/>
                <w:color w:val="auto"/>
              </w:rPr>
              <w:t>确建设项目主要污染物排放总量及替代方案。</w:t>
            </w:r>
          </w:p>
          <w:bookmarkEnd w:id="1"/>
          <w:p>
            <w:pPr>
              <w:keepNext w:val="0"/>
              <w:keepLines w:val="0"/>
              <w:suppressLineNumbers w:val="0"/>
              <w:tabs>
                <w:tab w:val="center" w:pos="3987"/>
              </w:tabs>
              <w:snapToGrid w:val="0"/>
              <w:spacing w:before="0" w:beforeAutospacing="0" w:after="0" w:afterAutospacing="0" w:line="520" w:lineRule="exact"/>
              <w:ind w:left="0" w:right="0"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本项目属于</w:t>
            </w:r>
            <w:r>
              <w:rPr>
                <w:rFonts w:hint="eastAsia" w:ascii="Times New Roman" w:hAnsi="Times New Roman" w:eastAsia="宋体" w:cs="Times New Roman"/>
                <w:color w:val="auto"/>
                <w:lang w:eastAsia="zh-CN"/>
              </w:rPr>
              <w:t>新</w:t>
            </w:r>
            <w:r>
              <w:rPr>
                <w:rFonts w:hint="eastAsia" w:ascii="Times New Roman" w:hAnsi="Times New Roman" w:eastAsia="宋体" w:cs="Times New Roman"/>
                <w:color w:val="auto"/>
              </w:rPr>
              <w:t>建项目，</w:t>
            </w:r>
            <w:r>
              <w:rPr>
                <w:rFonts w:hint="eastAsia" w:ascii="Times New Roman" w:hAnsi="Times New Roman" w:eastAsia="宋体" w:cs="Times New Roman"/>
                <w:color w:val="auto"/>
                <w:lang w:val="en-US" w:eastAsia="zh-CN"/>
              </w:rPr>
              <w:t>本项目污染物排放量为</w:t>
            </w:r>
            <w:r>
              <w:rPr>
                <w:rFonts w:hint="eastAsia" w:ascii="Times New Roman" w:hAnsi="Times New Roman" w:eastAsia="宋体" w:cs="Times New Roman"/>
                <w:color w:val="auto"/>
                <w:highlight w:val="none"/>
                <w:lang w:val="en-US" w:eastAsia="zh-CN"/>
              </w:rPr>
              <w:t>颗粒物</w:t>
            </w:r>
            <w:r>
              <w:rPr>
                <w:rFonts w:hint="eastAsia" w:cs="Times New Roman"/>
                <w:color w:val="auto"/>
                <w:highlight w:val="none"/>
                <w:lang w:val="en-US" w:eastAsia="zh-CN"/>
              </w:rPr>
              <w:t>0.0853</w:t>
            </w:r>
            <w:r>
              <w:rPr>
                <w:rFonts w:hint="eastAsia" w:ascii="Times New Roman" w:hAnsi="Times New Roman" w:eastAsia="宋体" w:cs="Times New Roman"/>
                <w:color w:val="auto"/>
                <w:highlight w:val="none"/>
                <w:lang w:val="en-US" w:eastAsia="zh-CN"/>
              </w:rPr>
              <w:t>t/a。本</w:t>
            </w:r>
            <w:r>
              <w:rPr>
                <w:rFonts w:hint="default" w:ascii="Times New Roman" w:hAnsi="Times New Roman" w:eastAsia="宋体" w:cs="Times New Roman"/>
                <w:color w:val="auto"/>
                <w:highlight w:val="none"/>
                <w:lang w:val="en-US" w:eastAsia="zh-CN"/>
              </w:rPr>
              <w:t>项目</w:t>
            </w:r>
            <w:r>
              <w:rPr>
                <w:rFonts w:hint="eastAsia" w:ascii="Times New Roman" w:hAnsi="Times New Roman" w:eastAsia="宋体" w:cs="Times New Roman"/>
                <w:color w:val="auto"/>
                <w:highlight w:val="none"/>
                <w:lang w:val="en-US" w:eastAsia="zh-CN"/>
              </w:rPr>
              <w:t>污染物</w:t>
            </w:r>
            <w:r>
              <w:rPr>
                <w:rFonts w:hint="default" w:ascii="Times New Roman" w:hAnsi="Times New Roman" w:eastAsia="宋体" w:cs="Times New Roman"/>
                <w:color w:val="auto"/>
                <w:highlight w:val="none"/>
                <w:lang w:val="en-US" w:eastAsia="zh-CN"/>
              </w:rPr>
              <w:t>需进</w:t>
            </w:r>
            <w:r>
              <w:rPr>
                <w:rFonts w:hint="default" w:cs="Times New Roman"/>
                <w:color w:val="auto"/>
                <w:highlight w:val="none"/>
                <w:lang w:val="en-US" w:eastAsia="zh-CN"/>
              </w:rPr>
              <w:t>行倍量替代，</w:t>
            </w:r>
            <w:r>
              <w:rPr>
                <w:rFonts w:hint="eastAsia" w:cs="Times New Roman"/>
                <w:color w:val="auto"/>
                <w:highlight w:val="none"/>
                <w:lang w:val="en-US" w:eastAsia="zh-CN"/>
              </w:rPr>
              <w:t>本</w:t>
            </w:r>
            <w:r>
              <w:rPr>
                <w:rFonts w:hint="default" w:cs="Times New Roman"/>
                <w:color w:val="auto"/>
                <w:highlight w:val="none"/>
                <w:lang w:val="en-US" w:eastAsia="zh-CN"/>
              </w:rPr>
              <w:t>项目所需替代量为</w:t>
            </w:r>
            <w:r>
              <w:rPr>
                <w:rFonts w:hint="eastAsia" w:cs="Times New Roman"/>
                <w:color w:val="auto"/>
                <w:highlight w:val="none"/>
                <w:lang w:val="en-US" w:eastAsia="zh-CN"/>
              </w:rPr>
              <w:t>颗粒物0.1706t/a。颗粒物来自河南省新乡天泰水泥有限公司无组织排放治理产生的减排量剩余量2.18148t。</w:t>
            </w:r>
          </w:p>
          <w:p>
            <w:pPr>
              <w:keepNext w:val="0"/>
              <w:keepLines w:val="0"/>
              <w:suppressLineNumbers w:val="0"/>
              <w:tabs>
                <w:tab w:val="center" w:pos="3987"/>
              </w:tabs>
              <w:snapToGrid w:val="0"/>
              <w:spacing w:before="0" w:beforeAutospacing="0" w:after="0" w:afterAutospacing="0" w:line="520" w:lineRule="exact"/>
              <w:ind w:left="0" w:right="0" w:firstLine="420" w:firstLineChars="200"/>
              <w:rPr>
                <w:rFonts w:hint="eastAsia" w:ascii="Times New Roman" w:hAnsi="Times New Roman" w:eastAsia="宋体" w:cs="Times New Roman"/>
                <w:color w:val="auto"/>
                <w:lang w:val="en-US" w:eastAsia="zh-CN"/>
              </w:rPr>
            </w:pPr>
          </w:p>
          <w:p>
            <w:pPr>
              <w:pStyle w:val="3"/>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520" w:lineRule="exact"/>
              <w:ind w:left="0" w:leftChars="0" w:right="0" w:firstLine="0" w:firstLineChars="0"/>
              <w:jc w:val="both"/>
              <w:textAlignment w:val="auto"/>
              <w:rPr>
                <w:rFonts w:hint="eastAsia" w:eastAsia="宋体" w:cs="Times New Roman"/>
                <w:b w:val="0"/>
                <w:bCs w:val="0"/>
                <w:color w:val="auto"/>
                <w:kern w:val="2"/>
                <w:sz w:val="21"/>
                <w:szCs w:val="21"/>
                <w:highlight w:val="none"/>
                <w:lang w:val="en-US" w:eastAsia="zh-CN" w:bidi="ar-SA"/>
              </w:rPr>
            </w:pPr>
          </w:p>
          <w:p>
            <w:pPr>
              <w:pStyle w:val="25"/>
              <w:rPr>
                <w:rFonts w:hint="eastAsia" w:cs="Times New Roman"/>
                <w:b w:val="0"/>
                <w:bCs w:val="0"/>
                <w:color w:val="auto"/>
                <w:kern w:val="2"/>
                <w:sz w:val="21"/>
                <w:szCs w:val="21"/>
                <w:highlight w:val="none"/>
                <w:lang w:val="en-US" w:eastAsia="zh-CN" w:bidi="ar-SA"/>
              </w:rPr>
            </w:pPr>
          </w:p>
          <w:p>
            <w:pPr>
              <w:pStyle w:val="25"/>
              <w:rPr>
                <w:rFonts w:hint="eastAsia" w:cs="Times New Roman"/>
                <w:b w:val="0"/>
                <w:bCs w:val="0"/>
                <w:color w:val="auto"/>
                <w:kern w:val="2"/>
                <w:sz w:val="21"/>
                <w:szCs w:val="21"/>
                <w:highlight w:val="none"/>
                <w:lang w:val="en-US" w:eastAsia="zh-CN" w:bidi="ar-SA"/>
              </w:rPr>
            </w:pPr>
          </w:p>
          <w:p>
            <w:pPr>
              <w:pStyle w:val="25"/>
              <w:rPr>
                <w:rFonts w:hint="eastAsia" w:cs="Times New Roman"/>
                <w:b w:val="0"/>
                <w:bCs w:val="0"/>
                <w:color w:val="auto"/>
                <w:kern w:val="2"/>
                <w:sz w:val="21"/>
                <w:szCs w:val="21"/>
                <w:highlight w:val="none"/>
                <w:lang w:val="en-US" w:eastAsia="zh-CN" w:bidi="ar-SA"/>
              </w:rPr>
            </w:pPr>
          </w:p>
          <w:p>
            <w:pPr>
              <w:pStyle w:val="25"/>
              <w:rPr>
                <w:rFonts w:hint="eastAsia" w:cs="Times New Roman"/>
                <w:b w:val="0"/>
                <w:bCs w:val="0"/>
                <w:color w:val="auto"/>
                <w:kern w:val="2"/>
                <w:sz w:val="21"/>
                <w:szCs w:val="21"/>
                <w:highlight w:val="none"/>
                <w:lang w:val="en-US" w:eastAsia="zh-CN" w:bidi="ar-SA"/>
              </w:rPr>
            </w:pPr>
          </w:p>
          <w:p>
            <w:pPr>
              <w:pStyle w:val="25"/>
              <w:rPr>
                <w:rFonts w:hint="default" w:eastAsia="宋体" w:cs="Times New Roman"/>
                <w:b w:val="0"/>
                <w:bCs w:val="0"/>
                <w:color w:val="auto"/>
                <w:kern w:val="2"/>
                <w:sz w:val="21"/>
                <w:szCs w:val="21"/>
                <w:highlight w:val="none"/>
                <w:lang w:val="en-US" w:eastAsia="zh-CN" w:bidi="ar-SA"/>
              </w:rPr>
            </w:pPr>
          </w:p>
          <w:p>
            <w:pPr>
              <w:pStyle w:val="25"/>
              <w:rPr>
                <w:rFonts w:hint="eastAsia" w:eastAsia="宋体" w:cs="Times New Roman"/>
                <w:b w:val="0"/>
                <w:bCs w:val="0"/>
                <w:color w:val="auto"/>
                <w:kern w:val="2"/>
                <w:sz w:val="21"/>
                <w:szCs w:val="21"/>
                <w:highlight w:val="none"/>
                <w:lang w:val="en-US" w:eastAsia="zh-CN" w:bidi="ar-SA"/>
              </w:rPr>
            </w:pPr>
          </w:p>
          <w:p>
            <w:pPr>
              <w:pStyle w:val="25"/>
              <w:rPr>
                <w:rFonts w:hint="eastAsia" w:eastAsia="宋体" w:cs="Times New Roman"/>
                <w:b w:val="0"/>
                <w:bCs w:val="0"/>
                <w:color w:val="auto"/>
                <w:kern w:val="2"/>
                <w:sz w:val="21"/>
                <w:szCs w:val="21"/>
                <w:highlight w:val="none"/>
                <w:lang w:val="en-US" w:eastAsia="zh-CN" w:bidi="ar-SA"/>
              </w:rPr>
            </w:pPr>
          </w:p>
          <w:p>
            <w:pPr>
              <w:pStyle w:val="25"/>
              <w:rPr>
                <w:rFonts w:hint="eastAsia" w:eastAsia="宋体" w:cs="Times New Roman"/>
                <w:b w:val="0"/>
                <w:bCs w:val="0"/>
                <w:color w:val="auto"/>
                <w:kern w:val="2"/>
                <w:sz w:val="21"/>
                <w:szCs w:val="21"/>
                <w:highlight w:val="none"/>
                <w:lang w:val="en-US" w:eastAsia="zh-CN" w:bidi="ar-SA"/>
              </w:rPr>
            </w:pPr>
          </w:p>
          <w:p>
            <w:pPr>
              <w:pStyle w:val="25"/>
              <w:rPr>
                <w:rFonts w:hint="eastAsia" w:eastAsia="宋体" w:cs="Times New Roman"/>
                <w:b w:val="0"/>
                <w:bCs w:val="0"/>
                <w:color w:val="auto"/>
                <w:kern w:val="2"/>
                <w:sz w:val="21"/>
                <w:szCs w:val="21"/>
                <w:highlight w:val="none"/>
                <w:lang w:val="en-US" w:eastAsia="zh-CN" w:bidi="ar-SA"/>
              </w:rPr>
            </w:pPr>
          </w:p>
          <w:p>
            <w:pPr>
              <w:pStyle w:val="3"/>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520" w:lineRule="exact"/>
              <w:ind w:left="0" w:leftChars="0" w:right="0" w:firstLine="0" w:firstLineChars="0"/>
              <w:jc w:val="both"/>
              <w:textAlignment w:val="auto"/>
              <w:rPr>
                <w:rFonts w:hint="eastAsia" w:eastAsia="宋体" w:cs="Times New Roman"/>
                <w:b w:val="0"/>
                <w:bCs w:val="0"/>
                <w:color w:val="auto"/>
                <w:kern w:val="2"/>
                <w:sz w:val="21"/>
                <w:szCs w:val="21"/>
                <w:highlight w:val="yellow"/>
                <w:lang w:val="en-US" w:eastAsia="zh-CN" w:bidi="ar-SA"/>
              </w:rPr>
            </w:pPr>
          </w:p>
          <w:p>
            <w:pPr>
              <w:keepNext w:val="0"/>
              <w:keepLines w:val="0"/>
              <w:suppressLineNumbers w:val="0"/>
              <w:spacing w:before="0" w:beforeAutospacing="0" w:after="0" w:afterAutospacing="0"/>
              <w:ind w:left="0" w:right="0"/>
              <w:rPr>
                <w:rFonts w:ascii="Times New Roman" w:hAnsi="Times New Roman" w:cs="Times New Roman"/>
                <w:color w:val="FF0000"/>
              </w:rPr>
            </w:pPr>
          </w:p>
        </w:tc>
      </w:tr>
    </w:tbl>
    <w:p>
      <w:pPr>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p>
    <w:p>
      <w:pPr>
        <w:pStyle w:val="16"/>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1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9" w:hRule="atLeast"/>
          <w:jc w:val="center"/>
        </w:trPr>
        <w:tc>
          <w:tcPr>
            <w:tcW w:w="746" w:type="dxa"/>
            <w:noWrap w:val="0"/>
            <w:tcMar>
              <w:left w:w="28" w:type="dxa"/>
              <w:right w:w="28" w:type="dxa"/>
            </w:tcMar>
            <w:vAlign w:val="center"/>
          </w:tcPr>
          <w:p>
            <w:pPr>
              <w:pStyle w:val="16"/>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lang w:val="en-US" w:eastAsia="zh-CN"/>
              </w:rPr>
            </w:pPr>
            <w:r>
              <w:rPr>
                <w:rFonts w:hint="eastAsia" w:cs="宋体"/>
                <w:color w:val="auto"/>
                <w:kern w:val="2"/>
                <w:sz w:val="21"/>
                <w:szCs w:val="21"/>
                <w:lang w:val="en-US" w:eastAsia="zh-CN"/>
              </w:rPr>
              <w:t>施工</w:t>
            </w:r>
          </w:p>
          <w:p>
            <w:pPr>
              <w:pStyle w:val="16"/>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lang w:val="en-US" w:eastAsia="zh-CN"/>
              </w:rPr>
            </w:pPr>
            <w:r>
              <w:rPr>
                <w:rFonts w:hint="eastAsia" w:cs="宋体"/>
                <w:color w:val="auto"/>
                <w:kern w:val="2"/>
                <w:sz w:val="21"/>
                <w:szCs w:val="21"/>
                <w:lang w:val="en-US" w:eastAsia="zh-CN"/>
              </w:rPr>
              <w:t>期环</w:t>
            </w:r>
          </w:p>
          <w:p>
            <w:pPr>
              <w:pStyle w:val="16"/>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lang w:val="en-US" w:eastAsia="zh-CN"/>
              </w:rPr>
            </w:pPr>
            <w:r>
              <w:rPr>
                <w:rFonts w:hint="eastAsia" w:cs="宋体"/>
                <w:color w:val="auto"/>
                <w:kern w:val="2"/>
                <w:sz w:val="21"/>
                <w:szCs w:val="21"/>
                <w:lang w:val="en-US" w:eastAsia="zh-CN"/>
              </w:rPr>
              <w:t>境保</w:t>
            </w:r>
          </w:p>
          <w:p>
            <w:pPr>
              <w:pStyle w:val="16"/>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lang w:val="en-US" w:eastAsia="zh-CN"/>
              </w:rPr>
            </w:pPr>
            <w:r>
              <w:rPr>
                <w:rFonts w:hint="eastAsia" w:cs="宋体"/>
                <w:color w:val="auto"/>
                <w:kern w:val="2"/>
                <w:sz w:val="21"/>
                <w:szCs w:val="21"/>
                <w:lang w:val="en-US" w:eastAsia="zh-CN"/>
              </w:rPr>
              <w:t>护措</w:t>
            </w:r>
          </w:p>
          <w:p>
            <w:pPr>
              <w:pStyle w:val="16"/>
              <w:keepNext w:val="0"/>
              <w:keepLines w:val="0"/>
              <w:suppressLineNumbers w:val="0"/>
              <w:adjustRightInd w:val="0"/>
              <w:snapToGrid w:val="0"/>
              <w:spacing w:before="0" w:beforeAutospacing="0" w:after="0" w:afterAutospacing="0"/>
              <w:ind w:left="0" w:right="0"/>
              <w:jc w:val="center"/>
              <w:rPr>
                <w:rFonts w:hint="eastAsia" w:cs="宋体"/>
                <w:bCs/>
                <w:color w:val="FF0000"/>
                <w:kern w:val="2"/>
                <w:sz w:val="21"/>
                <w:szCs w:val="21"/>
                <w:lang w:val="en-US" w:eastAsia="zh-CN"/>
              </w:rPr>
            </w:pPr>
            <w:r>
              <w:rPr>
                <w:rFonts w:hint="eastAsia" w:cs="宋体"/>
                <w:color w:val="auto"/>
                <w:kern w:val="2"/>
                <w:sz w:val="21"/>
                <w:szCs w:val="21"/>
                <w:lang w:val="en-US" w:eastAsia="zh-CN"/>
              </w:rPr>
              <w:t>施</w:t>
            </w:r>
          </w:p>
        </w:tc>
        <w:tc>
          <w:tcPr>
            <w:tcW w:w="8162" w:type="dxa"/>
            <w:noWrap w:val="0"/>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eastAsia" w:eastAsia="宋体"/>
                <w:color w:val="FF0000"/>
                <w:lang w:eastAsia="zh-CN"/>
              </w:rPr>
            </w:pPr>
            <w:r>
              <w:rPr>
                <w:rFonts w:hint="eastAsia" w:ascii="Times New Roman" w:hAnsi="Times New Roman" w:eastAsia="宋体" w:cs="Times New Roman"/>
                <w:color w:val="auto"/>
                <w:kern w:val="2"/>
                <w:sz w:val="21"/>
                <w:szCs w:val="24"/>
                <w:lang w:val="en-US" w:eastAsia="zh-CN" w:bidi="ar-SA"/>
              </w:rPr>
              <w:t>本项目采用现有厂房进</w:t>
            </w:r>
            <w:r>
              <w:rPr>
                <w:rFonts w:hint="eastAsia" w:ascii="Times New Roman" w:hAnsi="Times New Roman" w:cs="Times New Roman"/>
                <w:color w:val="auto"/>
                <w:kern w:val="2"/>
                <w:sz w:val="21"/>
                <w:szCs w:val="24"/>
                <w:lang w:val="en-US" w:eastAsia="zh-CN" w:bidi="ar-SA"/>
              </w:rPr>
              <w:t>行</w:t>
            </w:r>
            <w:r>
              <w:rPr>
                <w:rFonts w:hint="eastAsia" w:ascii="Times New Roman" w:hAnsi="Times New Roman" w:eastAsia="宋体" w:cs="Times New Roman"/>
                <w:color w:val="auto"/>
                <w:kern w:val="2"/>
                <w:sz w:val="21"/>
                <w:szCs w:val="24"/>
                <w:lang w:val="en-US" w:eastAsia="zh-CN" w:bidi="ar-SA"/>
              </w:rPr>
              <w:t>项建设，只需进行设备安装无需施工建设</w:t>
            </w:r>
            <w:r>
              <w:rPr>
                <w:rFonts w:hint="eastAsia" w:ascii="Times New Roman" w:hAnsi="Times New Roman" w:cs="Times New Roman"/>
                <w:color w:val="auto"/>
                <w:kern w:val="2"/>
                <w:sz w:val="21"/>
                <w:szCs w:val="24"/>
                <w:lang w:val="en-US" w:eastAsia="zh-CN" w:bidi="ar-SA"/>
              </w:rPr>
              <w:t>，施工期不再评价</w:t>
            </w:r>
            <w:r>
              <w:rPr>
                <w:rFonts w:hint="eastAsia" w:ascii="Times New Roman" w:hAnsi="Times New Roman" w:eastAsia="宋体" w:cs="Times New Roman"/>
                <w:color w:val="auto"/>
                <w:kern w:val="2"/>
                <w:sz w:val="21"/>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保护</w:t>
            </w:r>
          </w:p>
          <w:p>
            <w:pPr>
              <w:pStyle w:val="16"/>
              <w:keepNext w:val="0"/>
              <w:keepLines w:val="0"/>
              <w:suppressLineNumbers w:val="0"/>
              <w:adjustRightInd w:val="0"/>
              <w:snapToGrid w:val="0"/>
              <w:spacing w:before="0" w:beforeAutospacing="0" w:after="0" w:afterAutospacing="0"/>
              <w:ind w:left="0" w:right="0"/>
              <w:jc w:val="center"/>
              <w:rPr>
                <w:rFonts w:hint="eastAsia" w:cs="宋体"/>
                <w:color w:val="FF0000"/>
                <w:kern w:val="2"/>
                <w:sz w:val="21"/>
                <w:szCs w:val="21"/>
                <w:lang w:val="en-US" w:eastAsia="zh-CN"/>
              </w:rPr>
            </w:pPr>
            <w:r>
              <w:rPr>
                <w:rFonts w:hint="eastAsia" w:ascii="Times New Roman" w:hAnsi="Times New Roman" w:eastAsia="宋体" w:cs="Times New Roman"/>
                <w:kern w:val="2"/>
                <w:sz w:val="21"/>
                <w:szCs w:val="24"/>
                <w:lang w:val="en-US" w:eastAsia="zh-CN" w:bidi="ar-SA"/>
              </w:rPr>
              <w:t>措施</w:t>
            </w:r>
          </w:p>
        </w:tc>
        <w:tc>
          <w:tcPr>
            <w:tcW w:w="81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b/>
                <w:bCs/>
                <w:color w:val="auto"/>
              </w:rPr>
            </w:pPr>
            <w:r>
              <w:rPr>
                <w:rFonts w:hint="eastAsia" w:eastAsia="宋体"/>
                <w:b/>
                <w:bCs/>
                <w:color w:val="auto"/>
                <w:lang w:eastAsia="zh-CN"/>
              </w:rPr>
              <w:t>一</w:t>
            </w:r>
            <w:r>
              <w:rPr>
                <w:rFonts w:hint="eastAsia"/>
                <w:b/>
                <w:bCs/>
                <w:color w:val="auto"/>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本项目运营期间对环境主要影响表现在废气、噪声、固体废物等方面，具体分析如下：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rightChars="0"/>
              <w:textAlignment w:val="auto"/>
              <w:rPr>
                <w:rFonts w:hint="default" w:ascii="Times New Roman" w:hAnsi="Times New Roman"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cs="Times New Roman"/>
                <w:color w:val="auto"/>
              </w:rPr>
              <w:t>废气源强分析：</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420" w:firstLineChars="200"/>
              <w:textAlignment w:val="auto"/>
              <w:rPr>
                <w:rFonts w:hint="eastAsia" w:cs="Times New Roman"/>
                <w:kern w:val="0"/>
                <w:sz w:val="21"/>
                <w:szCs w:val="21"/>
                <w:u w:val="none"/>
                <w:lang w:eastAsia="zh-CN"/>
              </w:rPr>
            </w:pPr>
            <w:r>
              <w:rPr>
                <w:rFonts w:hint="eastAsia" w:cs="Times New Roman"/>
                <w:kern w:val="0"/>
                <w:sz w:val="21"/>
                <w:szCs w:val="21"/>
                <w:u w:val="none"/>
                <w:lang w:eastAsia="zh-CN"/>
              </w:rPr>
              <w:t>（</w:t>
            </w:r>
            <w:r>
              <w:rPr>
                <w:rFonts w:hint="eastAsia" w:cs="Times New Roman"/>
                <w:kern w:val="0"/>
                <w:sz w:val="21"/>
                <w:szCs w:val="21"/>
                <w:u w:val="none"/>
                <w:lang w:val="en-US" w:eastAsia="zh-CN"/>
              </w:rPr>
              <w:t>1</w:t>
            </w:r>
            <w:r>
              <w:rPr>
                <w:rFonts w:hint="eastAsia" w:cs="Times New Roman"/>
                <w:kern w:val="0"/>
                <w:sz w:val="21"/>
                <w:szCs w:val="21"/>
                <w:u w:val="none"/>
                <w:lang w:eastAsia="zh-CN"/>
              </w:rPr>
              <w:t>）</w:t>
            </w:r>
            <w:r>
              <w:rPr>
                <w:rFonts w:hint="default" w:ascii="Times New Roman" w:hAnsi="Times New Roman" w:cs="Times New Roman"/>
                <w:kern w:val="0"/>
                <w:sz w:val="21"/>
                <w:szCs w:val="21"/>
                <w:u w:val="none"/>
              </w:rPr>
              <w:t>本项目产生的废气</w:t>
            </w:r>
            <w:r>
              <w:rPr>
                <w:rFonts w:hint="eastAsia" w:cs="Times New Roman"/>
                <w:kern w:val="0"/>
                <w:sz w:val="21"/>
                <w:szCs w:val="21"/>
                <w:u w:val="none"/>
                <w:lang w:val="en-US" w:eastAsia="zh-CN"/>
              </w:rPr>
              <w:t>工序</w:t>
            </w:r>
            <w:r>
              <w:rPr>
                <w:rFonts w:hint="default" w:ascii="Times New Roman" w:hAnsi="Times New Roman" w:cs="Times New Roman"/>
                <w:kern w:val="0"/>
                <w:sz w:val="21"/>
                <w:szCs w:val="21"/>
                <w:u w:val="none"/>
              </w:rPr>
              <w:t>为</w:t>
            </w:r>
            <w:r>
              <w:rPr>
                <w:rFonts w:hint="eastAsia" w:cs="Times New Roman"/>
                <w:kern w:val="0"/>
                <w:sz w:val="21"/>
                <w:szCs w:val="21"/>
                <w:u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投料、搅拌、挤压、筛分产生废气共用“一套袋式除尘器+15m高排气筒”处理达标后排放，集气罩的收集效率为90%，袋式除尘器处理效率为99%</w:t>
            </w:r>
            <w:r>
              <w:rPr>
                <w:rFonts w:hint="eastAsia" w:cs="Times New Roman"/>
                <w:color w:val="auto"/>
                <w:sz w:val="21"/>
                <w:szCs w:val="21"/>
                <w:lang w:val="en-US" w:eastAsia="zh-CN"/>
              </w:rPr>
              <w:t>，风量15000m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w:t>
            </w:r>
            <w:r>
              <w:rPr>
                <w:rFonts w:hint="eastAsia" w:ascii="Times New Roman" w:hAnsi="Times New Roman" w:eastAsia="宋体" w:cs="Times New Roman"/>
                <w:color w:val="auto"/>
                <w:sz w:val="21"/>
                <w:szCs w:val="21"/>
                <w:lang w:val="en-US" w:eastAsia="zh-CN"/>
              </w:rPr>
              <w:t>。本项目两班制生产，一班8小时，年工作260天，年工作时间为4160小时。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cs="Times New Roman"/>
                <w:color w:val="000000"/>
                <w:sz w:val="21"/>
                <w:szCs w:val="21"/>
              </w:rPr>
            </w:pPr>
            <w:r>
              <w:rPr>
                <w:rFonts w:hint="eastAsia" w:cs="Times New Roman"/>
                <w:kern w:val="0"/>
                <w:sz w:val="21"/>
                <w:szCs w:val="21"/>
                <w:u w:val="none"/>
                <w:lang w:val="en-US" w:eastAsia="zh-CN"/>
              </w:rPr>
              <w:t>①投料工序：投料过程中</w:t>
            </w:r>
            <w:r>
              <w:rPr>
                <w:rFonts w:hint="eastAsia" w:ascii="Times New Roman" w:hAnsi="Times New Roman" w:cs="Times New Roman"/>
                <w:kern w:val="0"/>
                <w:sz w:val="21"/>
                <w:szCs w:val="21"/>
                <w:u w:val="none"/>
                <w:lang w:eastAsia="zh-CN"/>
              </w:rPr>
              <w:t>产生的</w:t>
            </w:r>
            <w:r>
              <w:rPr>
                <w:rFonts w:hint="eastAsia" w:cs="Times New Roman"/>
                <w:kern w:val="0"/>
                <w:sz w:val="21"/>
                <w:szCs w:val="21"/>
                <w:u w:val="none"/>
                <w:lang w:val="en-US" w:eastAsia="zh-CN"/>
              </w:rPr>
              <w:t>含有颗粒物废气</w:t>
            </w:r>
            <w:r>
              <w:rPr>
                <w:rFonts w:hint="default" w:ascii="Times New Roman" w:hAnsi="Times New Roman" w:cs="Times New Roman"/>
                <w:color w:val="000000"/>
                <w:kern w:val="0"/>
                <w:sz w:val="21"/>
                <w:szCs w:val="21"/>
                <w:u w:val="none"/>
                <w:lang w:bidi="ar"/>
              </w:rPr>
              <w:t>。</w:t>
            </w:r>
            <w:r>
              <w:rPr>
                <w:rFonts w:hint="eastAsia" w:ascii="Times New Roman" w:hAnsi="Times New Roman" w:eastAsia="宋体" w:cs="Times New Roman"/>
                <w:color w:val="auto"/>
                <w:sz w:val="21"/>
                <w:szCs w:val="21"/>
                <w:lang w:val="en-US" w:eastAsia="zh-CN"/>
              </w:rPr>
              <w:t>项目在原辅料入料斗过程中会有颗粒物产生，产污系数参照《逸散性工业粉尘控制技术》中的数据：</w:t>
            </w:r>
            <w:r>
              <w:rPr>
                <w:rFonts w:hint="eastAsia" w:cs="Times New Roman"/>
                <w:color w:val="auto"/>
                <w:sz w:val="21"/>
                <w:szCs w:val="21"/>
                <w:lang w:val="en-US" w:eastAsia="zh-CN"/>
              </w:rPr>
              <w:t>物</w:t>
            </w:r>
            <w:r>
              <w:rPr>
                <w:rFonts w:hint="eastAsia" w:ascii="Times New Roman" w:hAnsi="Times New Roman" w:eastAsia="宋体" w:cs="Times New Roman"/>
                <w:color w:val="auto"/>
                <w:sz w:val="21"/>
                <w:szCs w:val="21"/>
                <w:lang w:val="en-US" w:eastAsia="zh-CN"/>
              </w:rPr>
              <w:t>料卸料、转运产污系数按0.015kg/t-物料计，原辅料投料量约为5000t/a，通过筛分工序回收30%原辅料粉末，则总的投料量为6500t/a，则投料颗粒物产生量为0.0975t/a。通过</w:t>
            </w:r>
            <w:r>
              <w:rPr>
                <w:rFonts w:hint="eastAsia" w:cs="Times New Roman"/>
                <w:color w:val="000000"/>
                <w:sz w:val="21"/>
                <w:szCs w:val="21"/>
                <w:lang w:val="en-US" w:eastAsia="zh-CN"/>
              </w:rPr>
              <w:t>集气罩负压收集后，有组织产生量为</w:t>
            </w: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878t/a，产生速率0.0211kg/h</w:t>
            </w:r>
            <w:r>
              <w:rPr>
                <w:rFonts w:hint="default" w:ascii="Times New Roman" w:hAnsi="Times New Roman" w:cs="Times New Roman"/>
                <w:color w:val="000000"/>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无组织产生量0.0097t/a，产生速率0.0023kg/h。未收集的部分会自然沉降，本项目为全封闭车间，沉降效率90%，无组织排放量0.001t/a，排放速率0.0002kg/h。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cs="Times New Roman"/>
                <w:color w:val="000000"/>
                <w:sz w:val="21"/>
                <w:szCs w:val="21"/>
              </w:rPr>
            </w:pPr>
            <w:r>
              <w:rPr>
                <w:rFonts w:hint="eastAsia"/>
                <w:lang w:val="en-US" w:eastAsia="zh-CN"/>
              </w:rPr>
              <w:t>②搅拌工序：搅拌为密闭搅拌，搅拌过程不产生废气，</w:t>
            </w:r>
            <w:r>
              <w:rPr>
                <w:rFonts w:hint="eastAsia" w:cs="Times New Roman"/>
                <w:color w:val="000000"/>
                <w:sz w:val="21"/>
                <w:szCs w:val="21"/>
                <w:lang w:val="en-US" w:eastAsia="zh-CN"/>
              </w:rPr>
              <w:t>在搅拌入口和出口处有颗粒物废气产生，</w:t>
            </w:r>
            <w:r>
              <w:rPr>
                <w:rFonts w:hint="eastAsia" w:ascii="Times New Roman" w:hAnsi="Times New Roman" w:eastAsia="宋体" w:cs="Times New Roman"/>
                <w:color w:val="auto"/>
                <w:sz w:val="21"/>
                <w:szCs w:val="21"/>
                <w:lang w:val="en-US" w:eastAsia="zh-CN"/>
              </w:rPr>
              <w:t>产污系数参照《逸散性工业粉尘控制技术》中的数据：</w:t>
            </w:r>
            <w:r>
              <w:rPr>
                <w:rFonts w:hint="eastAsia" w:cs="Times New Roman"/>
                <w:color w:val="auto"/>
                <w:sz w:val="21"/>
                <w:szCs w:val="21"/>
                <w:lang w:val="en-US" w:eastAsia="zh-CN"/>
              </w:rPr>
              <w:t>物</w:t>
            </w:r>
            <w:r>
              <w:rPr>
                <w:rFonts w:hint="eastAsia" w:ascii="Times New Roman" w:hAnsi="Times New Roman" w:eastAsia="宋体" w:cs="Times New Roman"/>
                <w:color w:val="auto"/>
                <w:sz w:val="21"/>
                <w:szCs w:val="21"/>
                <w:lang w:val="en-US" w:eastAsia="zh-CN"/>
              </w:rPr>
              <w:t>料卸料、转运产污系数按0.015kg/t-物料计，原辅料投料量约为5000t/a，通过筛分工序回收30%原辅料粉末，则总的</w:t>
            </w:r>
            <w:r>
              <w:rPr>
                <w:rFonts w:hint="eastAsia" w:cs="Times New Roman"/>
                <w:color w:val="auto"/>
                <w:sz w:val="21"/>
                <w:szCs w:val="21"/>
                <w:lang w:val="en-US" w:eastAsia="zh-CN"/>
              </w:rPr>
              <w:t>物料</w:t>
            </w:r>
            <w:r>
              <w:rPr>
                <w:rFonts w:hint="eastAsia" w:ascii="Times New Roman" w:hAnsi="Times New Roman" w:eastAsia="宋体" w:cs="Times New Roman"/>
                <w:color w:val="auto"/>
                <w:sz w:val="21"/>
                <w:szCs w:val="21"/>
                <w:lang w:val="en-US" w:eastAsia="zh-CN"/>
              </w:rPr>
              <w:t>为6500t/a，则搅拌入口和出口颗粒物</w:t>
            </w:r>
            <w:r>
              <w:rPr>
                <w:rFonts w:hint="eastAsia" w:cs="Times New Roman"/>
                <w:color w:val="auto"/>
                <w:sz w:val="21"/>
                <w:szCs w:val="21"/>
                <w:lang w:val="en-US" w:eastAsia="zh-CN"/>
              </w:rPr>
              <w:t>总的</w:t>
            </w:r>
            <w:r>
              <w:rPr>
                <w:rFonts w:hint="eastAsia" w:ascii="Times New Roman" w:hAnsi="Times New Roman" w:eastAsia="宋体" w:cs="Times New Roman"/>
                <w:color w:val="auto"/>
                <w:sz w:val="21"/>
                <w:szCs w:val="21"/>
                <w:lang w:val="en-US" w:eastAsia="zh-CN"/>
              </w:rPr>
              <w:t>产生量为0.195t/a。</w:t>
            </w:r>
            <w:r>
              <w:rPr>
                <w:rFonts w:hint="eastAsia" w:cs="Times New Roman"/>
                <w:color w:val="000000"/>
                <w:sz w:val="21"/>
                <w:szCs w:val="21"/>
                <w:lang w:val="en-US" w:eastAsia="zh-CN"/>
              </w:rPr>
              <w:t>集气罩负压收集后，有组织产生量为</w:t>
            </w:r>
            <w:r>
              <w:rPr>
                <w:rFonts w:hint="eastAsia" w:ascii="Times New Roman" w:hAnsi="Times New Roman" w:eastAsia="宋体" w:cs="Times New Roman"/>
                <w:color w:val="auto"/>
                <w:sz w:val="21"/>
                <w:szCs w:val="21"/>
                <w:lang w:val="en-US" w:eastAsia="zh-CN"/>
              </w:rPr>
              <w:t>0.1755t/a，产生速率0.0422kg/h</w:t>
            </w:r>
            <w:r>
              <w:rPr>
                <w:rFonts w:hint="default" w:ascii="Times New Roman" w:hAnsi="Times New Roman" w:cs="Times New Roman"/>
                <w:color w:val="000000"/>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无组织产生量0.0195t/a，产生速率0.0047kg/h。未收集的部分会自然沉降，本项目为全封闭车间，沉降效率90%，无组织排放量0.002t/a，排放速率0.0005kg/h。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cs="Times New Roman"/>
                <w:color w:val="000000"/>
                <w:sz w:val="21"/>
                <w:szCs w:val="21"/>
              </w:rPr>
            </w:pPr>
            <w:r>
              <w:rPr>
                <w:rFonts w:hint="eastAsia" w:ascii="Times New Roman" w:hAnsi="Times New Roman" w:eastAsia="宋体" w:cs="Times New Roman"/>
                <w:color w:val="000000"/>
                <w:sz w:val="21"/>
                <w:szCs w:val="21"/>
                <w:lang w:val="en-US" w:eastAsia="zh-CN"/>
              </w:rPr>
              <w:t>③挤压工序：</w:t>
            </w:r>
            <w:r>
              <w:rPr>
                <w:rFonts w:hint="eastAsia" w:cs="Times New Roman"/>
                <w:color w:val="000000"/>
                <w:sz w:val="21"/>
                <w:szCs w:val="21"/>
                <w:lang w:val="en-US" w:eastAsia="zh-CN"/>
              </w:rPr>
              <w:t>液压机有排气孔在挤压过程中会排出颗粒物废气，本</w:t>
            </w:r>
            <w:r>
              <w:rPr>
                <w:rFonts w:hint="eastAsia" w:cs="Times New Roman"/>
                <w:color w:val="auto"/>
                <w:sz w:val="21"/>
                <w:szCs w:val="21"/>
                <w:lang w:val="en-US" w:eastAsia="zh-CN"/>
              </w:rPr>
              <w:t>项目类比</w:t>
            </w:r>
            <w:r>
              <w:rPr>
                <w:rFonts w:hint="eastAsia" w:ascii="Times New Roman" w:hAnsi="Times New Roman" w:eastAsia="宋体" w:cs="Times New Roman"/>
                <w:color w:val="auto"/>
                <w:sz w:val="21"/>
                <w:szCs w:val="21"/>
                <w:lang w:val="en-US" w:eastAsia="zh-CN"/>
              </w:rPr>
              <w:t>《山东云农化肥有限公司禹城分公司掺混肥、挤压颗粒、水溶肥生产项目（一期）竣工环境保护验收监测报告》中的数据</w:t>
            </w:r>
            <w:r>
              <w:rPr>
                <w:rFonts w:hint="eastAsia" w:cs="Times New Roman"/>
                <w:color w:val="auto"/>
                <w:sz w:val="21"/>
                <w:szCs w:val="21"/>
                <w:lang w:val="en-US" w:eastAsia="zh-CN"/>
              </w:rPr>
              <w:t>，</w:t>
            </w:r>
            <w:r>
              <w:rPr>
                <w:rFonts w:hint="eastAsia"/>
                <w:lang w:val="en-US" w:eastAsia="zh-CN"/>
              </w:rPr>
              <w:t>项目产品都为颗粒肥料，原料都为粉料，挤压工艺一致，具有可类比性</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挤压颗粒成品产量3600t/d，颗粒物的产生速率为0.322</w:t>
            </w:r>
            <w:r>
              <w:rPr>
                <w:rFonts w:hint="eastAsia" w:ascii="Times New Roman" w:hAnsi="Times New Roman" w:eastAsia="宋体" w:cs="Times New Roman"/>
                <w:color w:val="auto"/>
                <w:sz w:val="21"/>
                <w:szCs w:val="21"/>
                <w:lang w:val="en-US" w:eastAsia="zh-CN"/>
              </w:rPr>
              <w:t>kg/h，年工作时间2400h，挤压工序颗粒物产量0.7728t/a</w:t>
            </w:r>
            <w:r>
              <w:rPr>
                <w:rFonts w:hint="eastAsia" w:cs="Times New Roman"/>
                <w:color w:val="auto"/>
                <w:sz w:val="21"/>
                <w:szCs w:val="21"/>
                <w:lang w:val="en-US" w:eastAsia="zh-CN"/>
              </w:rPr>
              <w:t>。本项目挤压颗粒成品产量5000t/d，则根据折算</w:t>
            </w:r>
            <w:r>
              <w:rPr>
                <w:rFonts w:hint="eastAsia" w:ascii="Times New Roman" w:hAnsi="Times New Roman" w:eastAsia="宋体" w:cs="Times New Roman"/>
                <w:color w:val="auto"/>
                <w:sz w:val="21"/>
                <w:szCs w:val="21"/>
                <w:lang w:val="en-US" w:eastAsia="zh-CN"/>
              </w:rPr>
              <w:t>挤压工序颗粒物产量1.0733t/a。</w:t>
            </w:r>
            <w:r>
              <w:rPr>
                <w:rFonts w:hint="eastAsia" w:cs="Times New Roman"/>
                <w:color w:val="000000"/>
                <w:sz w:val="21"/>
                <w:szCs w:val="21"/>
                <w:lang w:val="en-US" w:eastAsia="zh-CN"/>
              </w:rPr>
              <w:t>集气罩负压收集后，有组织产生量为</w:t>
            </w:r>
            <w:r>
              <w:rPr>
                <w:rFonts w:hint="eastAsia" w:cs="Times New Roman"/>
                <w:color w:val="auto"/>
                <w:sz w:val="21"/>
                <w:szCs w:val="21"/>
                <w:lang w:val="en-US" w:eastAsia="zh-CN"/>
              </w:rPr>
              <w:t>0.966</w:t>
            </w:r>
            <w:r>
              <w:rPr>
                <w:rFonts w:hint="eastAsia" w:ascii="Times New Roman" w:hAnsi="Times New Roman" w:eastAsia="宋体" w:cs="Times New Roman"/>
                <w:color w:val="auto"/>
                <w:sz w:val="21"/>
                <w:szCs w:val="21"/>
                <w:lang w:val="en-US" w:eastAsia="zh-CN"/>
              </w:rPr>
              <w:t>t/a，产生速率</w:t>
            </w:r>
            <w:r>
              <w:rPr>
                <w:rFonts w:hint="eastAsia" w:cs="Times New Roman"/>
                <w:color w:val="auto"/>
                <w:sz w:val="21"/>
                <w:szCs w:val="21"/>
                <w:lang w:val="en-US" w:eastAsia="zh-CN"/>
              </w:rPr>
              <w:t>0.2322</w:t>
            </w:r>
            <w:r>
              <w:rPr>
                <w:rFonts w:hint="eastAsia" w:ascii="Times New Roman" w:hAnsi="Times New Roman" w:eastAsia="宋体" w:cs="Times New Roman"/>
                <w:color w:val="auto"/>
                <w:sz w:val="21"/>
                <w:szCs w:val="21"/>
                <w:lang w:val="en-US" w:eastAsia="zh-CN"/>
              </w:rPr>
              <w:t>kg/h</w:t>
            </w:r>
            <w:r>
              <w:rPr>
                <w:rFonts w:hint="default" w:ascii="Times New Roman" w:hAnsi="Times New Roman" w:cs="Times New Roman"/>
                <w:color w:val="000000"/>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auto"/>
                <w:sz w:val="21"/>
                <w:szCs w:val="21"/>
                <w:lang w:val="en-US" w:eastAsia="zh-CN"/>
              </w:rPr>
              <w:t>无组织产生量</w:t>
            </w:r>
            <w:r>
              <w:rPr>
                <w:rFonts w:hint="eastAsia" w:cs="Times New Roman"/>
                <w:color w:val="auto"/>
                <w:sz w:val="21"/>
                <w:szCs w:val="21"/>
                <w:lang w:val="en-US" w:eastAsia="zh-CN"/>
              </w:rPr>
              <w:t>0.1073</w:t>
            </w:r>
            <w:r>
              <w:rPr>
                <w:rFonts w:hint="eastAsia" w:ascii="Times New Roman" w:hAnsi="Times New Roman" w:eastAsia="宋体" w:cs="Times New Roman"/>
                <w:color w:val="auto"/>
                <w:sz w:val="21"/>
                <w:szCs w:val="21"/>
                <w:lang w:val="en-US" w:eastAsia="zh-CN"/>
              </w:rPr>
              <w:t>t/a，产生速率0.0</w:t>
            </w:r>
            <w:r>
              <w:rPr>
                <w:rFonts w:hint="eastAsia" w:cs="Times New Roman"/>
                <w:color w:val="auto"/>
                <w:sz w:val="21"/>
                <w:szCs w:val="21"/>
                <w:lang w:val="en-US" w:eastAsia="zh-CN"/>
              </w:rPr>
              <w:t>258</w:t>
            </w:r>
            <w:r>
              <w:rPr>
                <w:rFonts w:hint="eastAsia" w:ascii="Times New Roman" w:hAnsi="Times New Roman" w:eastAsia="宋体" w:cs="Times New Roman"/>
                <w:color w:val="auto"/>
                <w:sz w:val="21"/>
                <w:szCs w:val="21"/>
                <w:lang w:val="en-US" w:eastAsia="zh-CN"/>
              </w:rPr>
              <w:t>kg/h。未收集的部分会自然沉降，本项目为全封闭车间，沉降效率90%，无组织排放量0.0</w:t>
            </w:r>
            <w:r>
              <w:rPr>
                <w:rFonts w:hint="eastAsia" w:cs="Times New Roman"/>
                <w:color w:val="auto"/>
                <w:sz w:val="21"/>
                <w:szCs w:val="21"/>
                <w:lang w:val="en-US" w:eastAsia="zh-CN"/>
              </w:rPr>
              <w:t>107</w:t>
            </w:r>
            <w:r>
              <w:rPr>
                <w:rFonts w:hint="eastAsia" w:ascii="Times New Roman" w:hAnsi="Times New Roman" w:eastAsia="宋体" w:cs="Times New Roman"/>
                <w:color w:val="auto"/>
                <w:sz w:val="21"/>
                <w:szCs w:val="21"/>
                <w:lang w:val="en-US" w:eastAsia="zh-CN"/>
              </w:rPr>
              <w:t>t/a，排放速率0.00</w:t>
            </w:r>
            <w:r>
              <w:rPr>
                <w:rFonts w:hint="eastAsia" w:cs="Times New Roman"/>
                <w:color w:val="auto"/>
                <w:sz w:val="21"/>
                <w:szCs w:val="21"/>
                <w:lang w:val="en-US" w:eastAsia="zh-CN"/>
              </w:rPr>
              <w:t>26</w:t>
            </w:r>
            <w:r>
              <w:rPr>
                <w:rFonts w:hint="eastAsia" w:ascii="Times New Roman" w:hAnsi="Times New Roman" w:eastAsia="宋体" w:cs="Times New Roman"/>
                <w:color w:val="auto"/>
                <w:sz w:val="21"/>
                <w:szCs w:val="21"/>
                <w:lang w:val="en-US" w:eastAsia="zh-CN"/>
              </w:rPr>
              <w:t>kg/h</w:t>
            </w:r>
            <w:r>
              <w:rPr>
                <w:rFonts w:hint="default" w:ascii="Times New Roman" w:hAnsi="Times New Roman" w:cs="Times New Roman"/>
                <w:color w:val="000000"/>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cs="Times New Roman"/>
                <w:color w:val="000000"/>
                <w:sz w:val="21"/>
                <w:szCs w:val="21"/>
              </w:rPr>
            </w:pPr>
            <w:r>
              <w:rPr>
                <w:rFonts w:hint="eastAsia"/>
                <w:color w:val="auto"/>
                <w:lang w:val="en-US" w:eastAsia="zh-CN"/>
              </w:rPr>
              <w:t>④筛分工序：通过筛分后</w:t>
            </w:r>
            <w:r>
              <w:rPr>
                <w:rFonts w:hint="eastAsia" w:ascii="Times New Roman" w:hAnsi="Times New Roman" w:eastAsia="宋体" w:cs="Times New Roman"/>
                <w:color w:val="000000"/>
                <w:sz w:val="21"/>
                <w:szCs w:val="21"/>
                <w:lang w:val="en-US" w:eastAsia="zh-CN"/>
              </w:rPr>
              <w:t>在</w:t>
            </w:r>
            <w:r>
              <w:rPr>
                <w:rFonts w:hint="eastAsia" w:cs="Times New Roman"/>
                <w:color w:val="000000"/>
                <w:sz w:val="21"/>
                <w:szCs w:val="21"/>
                <w:lang w:val="en-US" w:eastAsia="zh-CN"/>
              </w:rPr>
              <w:t>出口会产生废气</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筛分工序</w:t>
            </w:r>
            <w:r>
              <w:rPr>
                <w:rFonts w:hint="eastAsia" w:ascii="Times New Roman" w:hAnsi="Times New Roman" w:eastAsia="宋体" w:cs="Times New Roman"/>
                <w:color w:val="auto"/>
                <w:sz w:val="21"/>
                <w:szCs w:val="21"/>
                <w:lang w:val="en-US" w:eastAsia="zh-CN"/>
              </w:rPr>
              <w:t>产污系数参照《逸散性工业粉尘控制技术》中的数据：</w:t>
            </w:r>
            <w:r>
              <w:rPr>
                <w:rFonts w:hint="eastAsia" w:cs="Times New Roman"/>
                <w:color w:val="auto"/>
                <w:sz w:val="21"/>
                <w:szCs w:val="21"/>
                <w:lang w:val="en-US" w:eastAsia="zh-CN"/>
              </w:rPr>
              <w:t>过筛</w:t>
            </w:r>
            <w:r>
              <w:rPr>
                <w:rFonts w:hint="eastAsia" w:ascii="Times New Roman" w:hAnsi="Times New Roman" w:eastAsia="宋体" w:cs="Times New Roman"/>
                <w:color w:val="auto"/>
                <w:sz w:val="21"/>
                <w:szCs w:val="21"/>
                <w:lang w:val="en-US" w:eastAsia="zh-CN"/>
              </w:rPr>
              <w:t>产污系数按</w:t>
            </w:r>
            <w:r>
              <w:rPr>
                <w:rFonts w:hint="eastAsia" w:cs="Times New Roman"/>
                <w:color w:val="auto"/>
                <w:sz w:val="21"/>
                <w:szCs w:val="21"/>
                <w:lang w:val="en-US" w:eastAsia="zh-CN"/>
              </w:rPr>
              <w:t>（0.08~0.48）</w:t>
            </w:r>
            <w:r>
              <w:rPr>
                <w:rFonts w:hint="eastAsia" w:ascii="Times New Roman" w:hAnsi="Times New Roman" w:eastAsia="宋体" w:cs="Times New Roman"/>
                <w:color w:val="auto"/>
                <w:sz w:val="21"/>
                <w:szCs w:val="21"/>
                <w:lang w:val="en-US" w:eastAsia="zh-CN"/>
              </w:rPr>
              <w:t>kg/t-物料计</w:t>
            </w:r>
            <w:r>
              <w:rPr>
                <w:rFonts w:hint="eastAsia" w:cs="Times New Roman"/>
                <w:color w:val="000000"/>
                <w:sz w:val="21"/>
                <w:szCs w:val="21"/>
                <w:lang w:val="en-US" w:eastAsia="zh-CN"/>
              </w:rPr>
              <w:t>，按照过筛总物料量</w:t>
            </w:r>
            <w:r>
              <w:rPr>
                <w:rFonts w:hint="eastAsia" w:ascii="Times New Roman" w:hAnsi="Times New Roman" w:eastAsia="宋体" w:cs="Times New Roman"/>
                <w:color w:val="auto"/>
                <w:sz w:val="21"/>
                <w:szCs w:val="21"/>
                <w:lang w:val="en-US" w:eastAsia="zh-CN"/>
              </w:rPr>
              <w:t>约为</w:t>
            </w:r>
            <w:r>
              <w:rPr>
                <w:rFonts w:hint="eastAsia" w:cs="Times New Roman"/>
                <w:color w:val="auto"/>
                <w:sz w:val="21"/>
                <w:szCs w:val="21"/>
                <w:lang w:val="en-US" w:eastAsia="zh-CN"/>
              </w:rPr>
              <w:t>65</w:t>
            </w:r>
            <w:r>
              <w:rPr>
                <w:rFonts w:hint="eastAsia" w:ascii="Times New Roman" w:hAnsi="Times New Roman" w:eastAsia="宋体" w:cs="Times New Roman"/>
                <w:color w:val="auto"/>
                <w:sz w:val="21"/>
                <w:szCs w:val="21"/>
                <w:lang w:val="en-US" w:eastAsia="zh-CN"/>
              </w:rPr>
              <w:t>00t/a，则</w:t>
            </w:r>
            <w:r>
              <w:rPr>
                <w:rFonts w:hint="eastAsia" w:cs="Times New Roman"/>
                <w:color w:val="auto"/>
                <w:sz w:val="21"/>
                <w:szCs w:val="21"/>
                <w:lang w:val="en-US" w:eastAsia="zh-CN"/>
              </w:rPr>
              <w:t>筛分</w:t>
            </w:r>
            <w:r>
              <w:rPr>
                <w:rFonts w:hint="eastAsia" w:ascii="Times New Roman" w:hAnsi="Times New Roman" w:eastAsia="宋体" w:cs="Times New Roman"/>
                <w:color w:val="auto"/>
                <w:sz w:val="21"/>
                <w:szCs w:val="21"/>
                <w:lang w:val="en-US" w:eastAsia="zh-CN"/>
              </w:rPr>
              <w:t>颗粒物</w:t>
            </w:r>
            <w:r>
              <w:rPr>
                <w:rFonts w:hint="eastAsia" w:cs="Times New Roman"/>
                <w:color w:val="auto"/>
                <w:sz w:val="21"/>
                <w:szCs w:val="21"/>
                <w:lang w:val="en-US" w:eastAsia="zh-CN"/>
              </w:rPr>
              <w:t>按照最不利因素0.48</w:t>
            </w:r>
            <w:r>
              <w:rPr>
                <w:rFonts w:hint="eastAsia" w:ascii="Times New Roman" w:hAnsi="Times New Roman" w:eastAsia="宋体" w:cs="Times New Roman"/>
                <w:color w:val="auto"/>
                <w:sz w:val="21"/>
                <w:szCs w:val="21"/>
                <w:lang w:val="en-US" w:eastAsia="zh-CN"/>
              </w:rPr>
              <w:t>kg/t-物料计</w:t>
            </w:r>
            <w:r>
              <w:rPr>
                <w:rFonts w:hint="eastAsia" w:cs="Times New Roman"/>
                <w:color w:val="auto"/>
                <w:sz w:val="21"/>
                <w:szCs w:val="21"/>
                <w:lang w:val="en-US" w:eastAsia="zh-CN"/>
              </w:rPr>
              <w:t>算，筛分颗粒物</w:t>
            </w:r>
            <w:r>
              <w:rPr>
                <w:rFonts w:hint="eastAsia" w:ascii="Times New Roman" w:hAnsi="Times New Roman" w:eastAsia="宋体" w:cs="Times New Roman"/>
                <w:color w:val="auto"/>
                <w:sz w:val="21"/>
                <w:szCs w:val="21"/>
                <w:lang w:val="en-US" w:eastAsia="zh-CN"/>
              </w:rPr>
              <w:t>产生量为</w:t>
            </w:r>
            <w:r>
              <w:rPr>
                <w:rFonts w:hint="eastAsia" w:cs="Times New Roman"/>
                <w:color w:val="auto"/>
                <w:sz w:val="21"/>
                <w:szCs w:val="21"/>
                <w:lang w:val="en-US" w:eastAsia="zh-CN"/>
              </w:rPr>
              <w:t>3.12</w:t>
            </w:r>
            <w:r>
              <w:rPr>
                <w:rFonts w:hint="eastAsia" w:ascii="Times New Roman" w:hAnsi="Times New Roman" w:eastAsia="宋体" w:cs="Times New Roman"/>
                <w:color w:val="auto"/>
                <w:sz w:val="21"/>
                <w:szCs w:val="21"/>
                <w:lang w:val="en-US" w:eastAsia="zh-CN"/>
              </w:rPr>
              <w:t>t/a。</w:t>
            </w:r>
            <w:r>
              <w:rPr>
                <w:rFonts w:hint="eastAsia" w:cs="Times New Roman"/>
                <w:color w:val="000000"/>
                <w:sz w:val="21"/>
                <w:szCs w:val="21"/>
                <w:lang w:val="en-US" w:eastAsia="zh-CN"/>
              </w:rPr>
              <w:t>集气罩负压收集后，有组织产生量为</w:t>
            </w:r>
            <w:r>
              <w:rPr>
                <w:rFonts w:hint="eastAsia" w:cs="Times New Roman"/>
                <w:color w:val="auto"/>
                <w:sz w:val="21"/>
                <w:szCs w:val="21"/>
                <w:lang w:val="en-US" w:eastAsia="zh-CN"/>
              </w:rPr>
              <w:t>2.808</w:t>
            </w:r>
            <w:r>
              <w:rPr>
                <w:rFonts w:hint="eastAsia" w:ascii="Times New Roman" w:hAnsi="Times New Roman" w:eastAsia="宋体" w:cs="Times New Roman"/>
                <w:color w:val="auto"/>
                <w:sz w:val="21"/>
                <w:szCs w:val="21"/>
                <w:lang w:val="en-US" w:eastAsia="zh-CN"/>
              </w:rPr>
              <w:t>t/a，产生速率0.</w:t>
            </w:r>
            <w:r>
              <w:rPr>
                <w:rFonts w:hint="eastAsia" w:cs="Times New Roman"/>
                <w:color w:val="auto"/>
                <w:sz w:val="21"/>
                <w:szCs w:val="21"/>
                <w:lang w:val="en-US" w:eastAsia="zh-CN"/>
              </w:rPr>
              <w:t>675</w:t>
            </w:r>
            <w:r>
              <w:rPr>
                <w:rFonts w:hint="eastAsia" w:ascii="Times New Roman" w:hAnsi="Times New Roman" w:eastAsia="宋体" w:cs="Times New Roman"/>
                <w:color w:val="auto"/>
                <w:sz w:val="21"/>
                <w:szCs w:val="21"/>
                <w:lang w:val="en-US" w:eastAsia="zh-CN"/>
              </w:rPr>
              <w:t>kg/h</w:t>
            </w:r>
            <w:r>
              <w:rPr>
                <w:rFonts w:hint="default" w:ascii="Times New Roman" w:hAnsi="Times New Roman" w:cs="Times New Roman"/>
                <w:color w:val="000000"/>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无组织产生量</w:t>
            </w:r>
            <w:r>
              <w:rPr>
                <w:rFonts w:hint="eastAsia" w:cs="Times New Roman"/>
                <w:color w:val="auto"/>
                <w:sz w:val="21"/>
                <w:szCs w:val="21"/>
                <w:lang w:val="en-US" w:eastAsia="zh-CN"/>
              </w:rPr>
              <w:t>0.312</w:t>
            </w:r>
            <w:r>
              <w:rPr>
                <w:rFonts w:hint="eastAsia" w:ascii="Times New Roman" w:hAnsi="Times New Roman" w:eastAsia="宋体" w:cs="Times New Roman"/>
                <w:color w:val="auto"/>
                <w:sz w:val="21"/>
                <w:szCs w:val="21"/>
                <w:lang w:val="en-US" w:eastAsia="zh-CN"/>
              </w:rPr>
              <w:t>t/a，产生速率0.0</w:t>
            </w:r>
            <w:r>
              <w:rPr>
                <w:rFonts w:hint="eastAsia" w:cs="Times New Roman"/>
                <w:color w:val="auto"/>
                <w:sz w:val="21"/>
                <w:szCs w:val="21"/>
                <w:lang w:val="en-US" w:eastAsia="zh-CN"/>
              </w:rPr>
              <w:t>75</w:t>
            </w:r>
            <w:r>
              <w:rPr>
                <w:rFonts w:hint="eastAsia" w:ascii="Times New Roman" w:hAnsi="Times New Roman" w:eastAsia="宋体" w:cs="Times New Roman"/>
                <w:color w:val="auto"/>
                <w:sz w:val="21"/>
                <w:szCs w:val="21"/>
                <w:lang w:val="en-US" w:eastAsia="zh-CN"/>
              </w:rPr>
              <w:t>kg/h。未收集的部分会自然沉降，本项目为全封闭车间，沉降效率90%，无组织排放量0.</w:t>
            </w:r>
            <w:r>
              <w:rPr>
                <w:rFonts w:hint="eastAsia" w:cs="Times New Roman"/>
                <w:color w:val="auto"/>
                <w:sz w:val="21"/>
                <w:szCs w:val="21"/>
                <w:lang w:val="en-US" w:eastAsia="zh-CN"/>
              </w:rPr>
              <w:t>0312</w:t>
            </w:r>
            <w:r>
              <w:rPr>
                <w:rFonts w:hint="eastAsia" w:ascii="Times New Roman" w:hAnsi="Times New Roman" w:eastAsia="宋体" w:cs="Times New Roman"/>
                <w:color w:val="auto"/>
                <w:sz w:val="21"/>
                <w:szCs w:val="21"/>
                <w:lang w:val="en-US" w:eastAsia="zh-CN"/>
              </w:rPr>
              <w:t>t/a，排放速率0.00</w:t>
            </w:r>
            <w:r>
              <w:rPr>
                <w:rFonts w:hint="eastAsia" w:cs="Times New Roman"/>
                <w:color w:val="auto"/>
                <w:sz w:val="21"/>
                <w:szCs w:val="21"/>
                <w:lang w:val="en-US" w:eastAsia="zh-CN"/>
              </w:rPr>
              <w:t>75</w:t>
            </w:r>
            <w:r>
              <w:rPr>
                <w:rFonts w:hint="eastAsia" w:ascii="Times New Roman" w:hAnsi="Times New Roman" w:eastAsia="宋体" w:cs="Times New Roman"/>
                <w:color w:val="auto"/>
                <w:sz w:val="21"/>
                <w:szCs w:val="21"/>
                <w:lang w:val="en-US" w:eastAsia="zh-CN"/>
              </w:rPr>
              <w:t>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lang w:val="en-US" w:eastAsia="zh-CN"/>
              </w:rPr>
            </w:pPr>
            <w:r>
              <w:rPr>
                <w:rFonts w:hint="eastAsia"/>
                <w:lang w:val="en-US" w:eastAsia="zh-CN"/>
              </w:rPr>
              <w:t>废气污染源情况见下表。</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生产过程废气产生情况一览表</w:t>
            </w:r>
          </w:p>
          <w:tbl>
            <w:tblPr>
              <w:tblStyle w:val="18"/>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369"/>
              <w:gridCol w:w="323"/>
              <w:gridCol w:w="599"/>
              <w:gridCol w:w="598"/>
              <w:gridCol w:w="545"/>
              <w:gridCol w:w="601"/>
              <w:gridCol w:w="609"/>
              <w:gridCol w:w="1183"/>
              <w:gridCol w:w="550"/>
              <w:gridCol w:w="704"/>
              <w:gridCol w:w="601"/>
              <w:gridCol w:w="711"/>
              <w:gridCol w:w="55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vMerge w:val="restart"/>
                  <w:tcBorders>
                    <w:tl2br w:val="nil"/>
                    <w:tr2bl w:val="nil"/>
                  </w:tcBorders>
                  <w:noWrap w:val="0"/>
                  <w:vAlign w:val="center"/>
                </w:tcPr>
                <w:p>
                  <w:pPr>
                    <w:adjustRightInd w:val="0"/>
                    <w:snapToGrid w:val="0"/>
                    <w:jc w:val="center"/>
                    <w:rPr>
                      <w:rFonts w:hint="default"/>
                      <w:b/>
                      <w:bCs/>
                      <w:color w:val="auto"/>
                    </w:rPr>
                  </w:pPr>
                  <w:r>
                    <w:rPr>
                      <w:rFonts w:hint="default"/>
                      <w:b/>
                      <w:bCs/>
                      <w:color w:val="auto"/>
                    </w:rPr>
                    <w:t>污染源</w:t>
                  </w:r>
                </w:p>
              </w:tc>
              <w:tc>
                <w:tcPr>
                  <w:tcW w:w="203" w:type="pct"/>
                  <w:vMerge w:val="restart"/>
                  <w:tcBorders>
                    <w:tl2br w:val="nil"/>
                    <w:tr2bl w:val="nil"/>
                  </w:tcBorders>
                  <w:noWrap w:val="0"/>
                  <w:vAlign w:val="center"/>
                </w:tcPr>
                <w:p>
                  <w:pPr>
                    <w:adjustRightInd w:val="0"/>
                    <w:snapToGrid w:val="0"/>
                    <w:jc w:val="center"/>
                    <w:rPr>
                      <w:rFonts w:hint="default"/>
                      <w:b/>
                      <w:bCs/>
                      <w:color w:val="auto"/>
                    </w:rPr>
                  </w:pPr>
                  <w:r>
                    <w:rPr>
                      <w:rFonts w:hint="default"/>
                      <w:b/>
                      <w:bCs/>
                      <w:color w:val="auto"/>
                    </w:rPr>
                    <w:t>排放</w:t>
                  </w:r>
                </w:p>
                <w:p>
                  <w:pPr>
                    <w:adjustRightInd w:val="0"/>
                    <w:snapToGrid w:val="0"/>
                    <w:jc w:val="center"/>
                    <w:rPr>
                      <w:rFonts w:hint="default"/>
                      <w:b/>
                      <w:bCs/>
                      <w:color w:val="auto"/>
                    </w:rPr>
                  </w:pPr>
                  <w:r>
                    <w:rPr>
                      <w:rFonts w:hint="default"/>
                      <w:b/>
                      <w:bCs/>
                      <w:color w:val="auto"/>
                    </w:rPr>
                    <w:t>形式</w:t>
                  </w:r>
                </w:p>
              </w:tc>
              <w:tc>
                <w:tcPr>
                  <w:tcW w:w="377" w:type="pct"/>
                  <w:vMerge w:val="restart"/>
                  <w:tcBorders>
                    <w:tl2br w:val="nil"/>
                    <w:tr2bl w:val="nil"/>
                  </w:tcBorders>
                  <w:noWrap w:val="0"/>
                  <w:vAlign w:val="center"/>
                </w:tcPr>
                <w:p>
                  <w:pPr>
                    <w:adjustRightInd w:val="0"/>
                    <w:snapToGrid w:val="0"/>
                    <w:jc w:val="center"/>
                    <w:rPr>
                      <w:rFonts w:hint="default"/>
                      <w:b/>
                      <w:bCs/>
                      <w:color w:val="auto"/>
                    </w:rPr>
                  </w:pPr>
                  <w:r>
                    <w:rPr>
                      <w:rFonts w:hint="default"/>
                      <w:b/>
                      <w:bCs/>
                      <w:color w:val="auto"/>
                    </w:rPr>
                    <w:t>污染</w:t>
                  </w:r>
                </w:p>
                <w:p>
                  <w:pPr>
                    <w:adjustRightInd w:val="0"/>
                    <w:snapToGrid w:val="0"/>
                    <w:jc w:val="center"/>
                    <w:rPr>
                      <w:rFonts w:hint="default"/>
                      <w:b/>
                      <w:bCs/>
                      <w:color w:val="auto"/>
                    </w:rPr>
                  </w:pPr>
                  <w:r>
                    <w:rPr>
                      <w:rFonts w:hint="default"/>
                      <w:b/>
                      <w:bCs/>
                      <w:color w:val="auto"/>
                    </w:rPr>
                    <w:t>因子</w:t>
                  </w:r>
                </w:p>
              </w:tc>
              <w:tc>
                <w:tcPr>
                  <w:tcW w:w="1481" w:type="pct"/>
                  <w:gridSpan w:val="4"/>
                  <w:tcBorders>
                    <w:tl2br w:val="nil"/>
                    <w:tr2bl w:val="nil"/>
                  </w:tcBorders>
                  <w:noWrap w:val="0"/>
                  <w:vAlign w:val="center"/>
                </w:tcPr>
                <w:p>
                  <w:pPr>
                    <w:adjustRightInd w:val="0"/>
                    <w:snapToGrid w:val="0"/>
                    <w:jc w:val="center"/>
                    <w:rPr>
                      <w:rFonts w:hint="default"/>
                      <w:b/>
                      <w:bCs/>
                      <w:color w:val="auto"/>
                    </w:rPr>
                  </w:pPr>
                  <w:r>
                    <w:rPr>
                      <w:rFonts w:hint="default"/>
                      <w:b/>
                      <w:bCs/>
                      <w:color w:val="auto"/>
                    </w:rPr>
                    <w:t>产生情况</w:t>
                  </w:r>
                </w:p>
              </w:tc>
              <w:tc>
                <w:tcPr>
                  <w:tcW w:w="744" w:type="pct"/>
                  <w:vMerge w:val="restart"/>
                  <w:tcBorders>
                    <w:tl2br w:val="nil"/>
                    <w:tr2bl w:val="nil"/>
                  </w:tcBorders>
                  <w:noWrap w:val="0"/>
                  <w:vAlign w:val="center"/>
                </w:tcPr>
                <w:p>
                  <w:pPr>
                    <w:adjustRightInd w:val="0"/>
                    <w:snapToGrid w:val="0"/>
                    <w:jc w:val="center"/>
                    <w:rPr>
                      <w:rFonts w:hint="default"/>
                      <w:b/>
                      <w:bCs/>
                      <w:color w:val="auto"/>
                    </w:rPr>
                  </w:pPr>
                  <w:r>
                    <w:rPr>
                      <w:rFonts w:hint="default"/>
                      <w:b/>
                      <w:bCs/>
                      <w:color w:val="auto"/>
                    </w:rPr>
                    <w:t>治理</w:t>
                  </w:r>
                </w:p>
                <w:p>
                  <w:pPr>
                    <w:adjustRightInd w:val="0"/>
                    <w:snapToGrid w:val="0"/>
                    <w:jc w:val="center"/>
                    <w:rPr>
                      <w:rFonts w:hint="default"/>
                      <w:b/>
                      <w:bCs/>
                      <w:color w:val="auto"/>
                    </w:rPr>
                  </w:pPr>
                  <w:r>
                    <w:rPr>
                      <w:rFonts w:hint="default"/>
                      <w:b/>
                      <w:bCs/>
                      <w:color w:val="auto"/>
                    </w:rPr>
                    <w:t>措施</w:t>
                  </w:r>
                </w:p>
              </w:tc>
              <w:tc>
                <w:tcPr>
                  <w:tcW w:w="346" w:type="pct"/>
                  <w:vMerge w:val="restart"/>
                  <w:tcBorders>
                    <w:tl2br w:val="nil"/>
                    <w:tr2bl w:val="nil"/>
                  </w:tcBorders>
                  <w:noWrap w:val="0"/>
                  <w:vAlign w:val="center"/>
                </w:tcPr>
                <w:p>
                  <w:pPr>
                    <w:adjustRightInd w:val="0"/>
                    <w:snapToGrid w:val="0"/>
                    <w:jc w:val="center"/>
                    <w:rPr>
                      <w:rFonts w:hint="default"/>
                      <w:b/>
                      <w:bCs/>
                      <w:color w:val="auto"/>
                    </w:rPr>
                  </w:pPr>
                  <w:r>
                    <w:rPr>
                      <w:rFonts w:hint="default"/>
                      <w:b/>
                      <w:bCs/>
                      <w:color w:val="auto"/>
                    </w:rPr>
                    <w:t>去除效率</w:t>
                  </w:r>
                </w:p>
              </w:tc>
              <w:tc>
                <w:tcPr>
                  <w:tcW w:w="1269" w:type="pct"/>
                  <w:gridSpan w:val="3"/>
                  <w:tcBorders>
                    <w:tl2br w:val="nil"/>
                    <w:tr2bl w:val="nil"/>
                  </w:tcBorders>
                  <w:noWrap w:val="0"/>
                  <w:vAlign w:val="center"/>
                </w:tcPr>
                <w:p>
                  <w:pPr>
                    <w:adjustRightInd w:val="0"/>
                    <w:snapToGrid w:val="0"/>
                    <w:jc w:val="center"/>
                    <w:rPr>
                      <w:rFonts w:hint="default"/>
                      <w:b/>
                      <w:bCs/>
                      <w:color w:val="auto"/>
                    </w:rPr>
                  </w:pPr>
                  <w:r>
                    <w:rPr>
                      <w:rFonts w:hint="default"/>
                      <w:b/>
                      <w:bCs/>
                      <w:color w:val="auto"/>
                    </w:rPr>
                    <w:t>排放情况</w:t>
                  </w:r>
                </w:p>
              </w:tc>
              <w:tc>
                <w:tcPr>
                  <w:tcW w:w="346" w:type="pct"/>
                  <w:vMerge w:val="restart"/>
                  <w:tcBorders>
                    <w:tl2br w:val="nil"/>
                    <w:tr2bl w:val="nil"/>
                  </w:tcBorders>
                  <w:noWrap w:val="0"/>
                  <w:vAlign w:val="center"/>
                </w:tcPr>
                <w:p>
                  <w:pPr>
                    <w:adjustRightInd w:val="0"/>
                    <w:snapToGrid w:val="0"/>
                    <w:jc w:val="center"/>
                    <w:rPr>
                      <w:rFonts w:hint="default" w:eastAsia="宋体"/>
                      <w:b/>
                      <w:bCs/>
                      <w:color w:val="auto"/>
                      <w:lang w:val="en-US" w:eastAsia="zh-CN"/>
                    </w:rPr>
                  </w:pPr>
                  <w:r>
                    <w:rPr>
                      <w:rFonts w:hint="eastAsia"/>
                      <w:b/>
                      <w:bCs/>
                      <w:color w:val="auto"/>
                      <w:lang w:eastAsia="zh-CN"/>
                    </w:rPr>
                    <w:t>排放时间（</w:t>
                  </w:r>
                  <w:r>
                    <w:rPr>
                      <w:rFonts w:hint="eastAsia"/>
                      <w:b/>
                      <w:bCs/>
                      <w:color w:val="auto"/>
                      <w:lang w:val="en-US" w:eastAsia="zh-CN"/>
                    </w:rPr>
                    <w:t>h）</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vMerge w:val="continue"/>
                  <w:tcBorders>
                    <w:tl2br w:val="nil"/>
                    <w:tr2bl w:val="nil"/>
                  </w:tcBorders>
                  <w:noWrap w:val="0"/>
                  <w:vAlign w:val="center"/>
                </w:tcPr>
                <w:p>
                  <w:pPr>
                    <w:adjustRightInd w:val="0"/>
                    <w:snapToGrid w:val="0"/>
                    <w:jc w:val="center"/>
                    <w:rPr>
                      <w:rFonts w:hint="default"/>
                      <w:b/>
                      <w:bCs/>
                      <w:color w:val="auto"/>
                    </w:rPr>
                  </w:pPr>
                </w:p>
              </w:tc>
              <w:tc>
                <w:tcPr>
                  <w:tcW w:w="203" w:type="pct"/>
                  <w:vMerge w:val="continue"/>
                  <w:tcBorders>
                    <w:tl2br w:val="nil"/>
                    <w:tr2bl w:val="nil"/>
                  </w:tcBorders>
                  <w:noWrap w:val="0"/>
                  <w:vAlign w:val="center"/>
                </w:tcPr>
                <w:p>
                  <w:pPr>
                    <w:adjustRightInd w:val="0"/>
                    <w:snapToGrid w:val="0"/>
                    <w:jc w:val="center"/>
                    <w:rPr>
                      <w:rFonts w:hint="default"/>
                      <w:b/>
                      <w:bCs/>
                      <w:color w:val="auto"/>
                    </w:rPr>
                  </w:pPr>
                </w:p>
              </w:tc>
              <w:tc>
                <w:tcPr>
                  <w:tcW w:w="377" w:type="pct"/>
                  <w:vMerge w:val="continue"/>
                  <w:tcBorders>
                    <w:tl2br w:val="nil"/>
                    <w:tr2bl w:val="nil"/>
                  </w:tcBorders>
                  <w:noWrap w:val="0"/>
                  <w:vAlign w:val="center"/>
                </w:tcPr>
                <w:p>
                  <w:pPr>
                    <w:adjustRightInd w:val="0"/>
                    <w:snapToGrid w:val="0"/>
                    <w:jc w:val="center"/>
                    <w:rPr>
                      <w:rFonts w:hint="default"/>
                      <w:b/>
                      <w:bCs/>
                      <w:color w:val="auto"/>
                    </w:rPr>
                  </w:pPr>
                </w:p>
              </w:tc>
              <w:tc>
                <w:tcPr>
                  <w:tcW w:w="376" w:type="pct"/>
                  <w:tcBorders>
                    <w:tl2br w:val="nil"/>
                    <w:tr2bl w:val="nil"/>
                  </w:tcBorders>
                  <w:noWrap w:val="0"/>
                  <w:vAlign w:val="center"/>
                </w:tcPr>
                <w:p>
                  <w:pPr>
                    <w:adjustRightInd w:val="0"/>
                    <w:snapToGrid w:val="0"/>
                    <w:jc w:val="center"/>
                    <w:rPr>
                      <w:rFonts w:hint="default"/>
                      <w:b/>
                      <w:bCs/>
                      <w:color w:val="auto"/>
                    </w:rPr>
                  </w:pPr>
                  <w:r>
                    <w:rPr>
                      <w:rFonts w:hint="default"/>
                      <w:b/>
                      <w:bCs/>
                      <w:color w:val="auto"/>
                    </w:rPr>
                    <w:t>产生量</w:t>
                  </w:r>
                </w:p>
                <w:p>
                  <w:pPr>
                    <w:adjustRightInd w:val="0"/>
                    <w:snapToGrid w:val="0"/>
                    <w:jc w:val="center"/>
                    <w:rPr>
                      <w:rFonts w:hint="default"/>
                      <w:b/>
                      <w:bCs/>
                      <w:color w:val="auto"/>
                    </w:rPr>
                  </w:pPr>
                  <w:r>
                    <w:rPr>
                      <w:rFonts w:hint="default"/>
                      <w:b/>
                      <w:bCs/>
                      <w:color w:val="auto"/>
                    </w:rPr>
                    <w:t>t/a</w:t>
                  </w:r>
                </w:p>
              </w:tc>
              <w:tc>
                <w:tcPr>
                  <w:tcW w:w="343" w:type="pct"/>
                  <w:tcBorders>
                    <w:tl2br w:val="nil"/>
                    <w:tr2bl w:val="nil"/>
                  </w:tcBorders>
                  <w:noWrap w:val="0"/>
                  <w:vAlign w:val="center"/>
                </w:tcPr>
                <w:p>
                  <w:pPr>
                    <w:adjustRightInd w:val="0"/>
                    <w:snapToGrid w:val="0"/>
                    <w:jc w:val="center"/>
                    <w:rPr>
                      <w:rFonts w:hint="default" w:eastAsia="宋体"/>
                      <w:b/>
                      <w:bCs/>
                      <w:color w:val="auto"/>
                      <w:vertAlign w:val="baseline"/>
                      <w:lang w:val="en-US" w:eastAsia="zh-CN"/>
                    </w:rPr>
                  </w:pPr>
                  <w:r>
                    <w:rPr>
                      <w:rFonts w:hint="eastAsia"/>
                      <w:b/>
                      <w:bCs/>
                      <w:color w:val="auto"/>
                      <w:lang w:eastAsia="zh-CN"/>
                    </w:rPr>
                    <w:t>废气量</w:t>
                  </w:r>
                  <w:r>
                    <w:rPr>
                      <w:rFonts w:hint="default"/>
                      <w:b/>
                      <w:bCs/>
                      <w:color w:val="auto"/>
                    </w:rPr>
                    <w:t>m</w:t>
                  </w:r>
                  <w:r>
                    <w:rPr>
                      <w:rFonts w:hint="default"/>
                      <w:b/>
                      <w:bCs/>
                      <w:color w:val="auto"/>
                      <w:vertAlign w:val="superscript"/>
                    </w:rPr>
                    <w:t>3</w:t>
                  </w:r>
                  <w:r>
                    <w:rPr>
                      <w:rFonts w:hint="eastAsia"/>
                      <w:b/>
                      <w:bCs/>
                      <w:color w:val="auto"/>
                      <w:vertAlign w:val="baseline"/>
                      <w:lang w:val="en-US" w:eastAsia="zh-CN"/>
                    </w:rPr>
                    <w:t>/h</w:t>
                  </w:r>
                </w:p>
              </w:tc>
              <w:tc>
                <w:tcPr>
                  <w:tcW w:w="378" w:type="pct"/>
                  <w:tcBorders>
                    <w:tl2br w:val="nil"/>
                    <w:tr2bl w:val="nil"/>
                  </w:tcBorders>
                  <w:noWrap w:val="0"/>
                  <w:vAlign w:val="center"/>
                </w:tcPr>
                <w:p>
                  <w:pPr>
                    <w:adjustRightInd w:val="0"/>
                    <w:snapToGrid w:val="0"/>
                    <w:jc w:val="center"/>
                    <w:rPr>
                      <w:rFonts w:hint="default"/>
                      <w:b/>
                      <w:bCs/>
                      <w:color w:val="auto"/>
                    </w:rPr>
                  </w:pPr>
                  <w:r>
                    <w:rPr>
                      <w:rFonts w:hint="default"/>
                      <w:b/>
                      <w:bCs/>
                      <w:color w:val="auto"/>
                    </w:rPr>
                    <w:t>产生浓度</w:t>
                  </w:r>
                </w:p>
                <w:p>
                  <w:pPr>
                    <w:adjustRightInd w:val="0"/>
                    <w:snapToGrid w:val="0"/>
                    <w:jc w:val="center"/>
                    <w:rPr>
                      <w:rFonts w:hint="default"/>
                      <w:b/>
                      <w:bCs/>
                      <w:color w:val="auto"/>
                    </w:rPr>
                  </w:pPr>
                  <w:r>
                    <w:rPr>
                      <w:rFonts w:hint="default"/>
                      <w:b/>
                      <w:bCs/>
                      <w:color w:val="auto"/>
                    </w:rPr>
                    <w:t>mg/m</w:t>
                  </w:r>
                  <w:r>
                    <w:rPr>
                      <w:rFonts w:hint="default"/>
                      <w:b/>
                      <w:bCs/>
                      <w:color w:val="auto"/>
                      <w:vertAlign w:val="superscript"/>
                    </w:rPr>
                    <w:t>3</w:t>
                  </w:r>
                </w:p>
              </w:tc>
              <w:tc>
                <w:tcPr>
                  <w:tcW w:w="383" w:type="pct"/>
                  <w:tcBorders>
                    <w:tl2br w:val="nil"/>
                    <w:tr2bl w:val="nil"/>
                  </w:tcBorders>
                  <w:noWrap w:val="0"/>
                  <w:vAlign w:val="center"/>
                </w:tcPr>
                <w:p>
                  <w:pPr>
                    <w:adjustRightInd w:val="0"/>
                    <w:snapToGrid w:val="0"/>
                    <w:jc w:val="center"/>
                    <w:rPr>
                      <w:rFonts w:hint="default"/>
                      <w:b/>
                      <w:bCs/>
                      <w:color w:val="auto"/>
                    </w:rPr>
                  </w:pPr>
                  <w:r>
                    <w:rPr>
                      <w:rFonts w:hint="default"/>
                      <w:b/>
                      <w:bCs/>
                      <w:color w:val="auto"/>
                    </w:rPr>
                    <w:t>产生速率</w:t>
                  </w:r>
                </w:p>
                <w:p>
                  <w:pPr>
                    <w:adjustRightInd w:val="0"/>
                    <w:snapToGrid w:val="0"/>
                    <w:jc w:val="center"/>
                    <w:rPr>
                      <w:rFonts w:hint="default"/>
                      <w:b/>
                      <w:bCs/>
                      <w:color w:val="auto"/>
                    </w:rPr>
                  </w:pPr>
                  <w:r>
                    <w:rPr>
                      <w:rFonts w:hint="default"/>
                      <w:b/>
                      <w:bCs/>
                      <w:color w:val="auto"/>
                    </w:rPr>
                    <w:t>kg/h</w:t>
                  </w:r>
                </w:p>
              </w:tc>
              <w:tc>
                <w:tcPr>
                  <w:tcW w:w="744" w:type="pct"/>
                  <w:vMerge w:val="continue"/>
                  <w:tcBorders>
                    <w:tl2br w:val="nil"/>
                    <w:tr2bl w:val="nil"/>
                  </w:tcBorders>
                  <w:noWrap w:val="0"/>
                  <w:vAlign w:val="center"/>
                </w:tcPr>
                <w:p>
                  <w:pPr>
                    <w:adjustRightInd w:val="0"/>
                    <w:snapToGrid w:val="0"/>
                    <w:jc w:val="center"/>
                    <w:rPr>
                      <w:rFonts w:hint="default"/>
                      <w:b/>
                      <w:bCs/>
                      <w:color w:val="auto"/>
                    </w:rPr>
                  </w:pPr>
                </w:p>
              </w:tc>
              <w:tc>
                <w:tcPr>
                  <w:tcW w:w="346" w:type="pct"/>
                  <w:vMerge w:val="continue"/>
                  <w:tcBorders>
                    <w:tl2br w:val="nil"/>
                    <w:tr2bl w:val="nil"/>
                  </w:tcBorders>
                  <w:noWrap w:val="0"/>
                  <w:vAlign w:val="center"/>
                </w:tcPr>
                <w:p>
                  <w:pPr>
                    <w:adjustRightInd w:val="0"/>
                    <w:snapToGrid w:val="0"/>
                    <w:jc w:val="center"/>
                    <w:rPr>
                      <w:rFonts w:hint="default"/>
                      <w:b/>
                      <w:bCs/>
                      <w:color w:val="auto"/>
                    </w:rPr>
                  </w:pPr>
                </w:p>
              </w:tc>
              <w:tc>
                <w:tcPr>
                  <w:tcW w:w="443" w:type="pct"/>
                  <w:tcBorders>
                    <w:tl2br w:val="nil"/>
                    <w:tr2bl w:val="nil"/>
                  </w:tcBorders>
                  <w:noWrap w:val="0"/>
                  <w:vAlign w:val="center"/>
                </w:tcPr>
                <w:p>
                  <w:pPr>
                    <w:adjustRightInd w:val="0"/>
                    <w:snapToGrid w:val="0"/>
                    <w:jc w:val="center"/>
                    <w:rPr>
                      <w:rFonts w:hint="default"/>
                      <w:b/>
                      <w:bCs/>
                      <w:color w:val="auto"/>
                    </w:rPr>
                  </w:pPr>
                  <w:r>
                    <w:rPr>
                      <w:rFonts w:hint="default"/>
                      <w:b/>
                      <w:bCs/>
                      <w:color w:val="auto"/>
                    </w:rPr>
                    <w:t>排放量</w:t>
                  </w:r>
                </w:p>
                <w:p>
                  <w:pPr>
                    <w:adjustRightInd w:val="0"/>
                    <w:snapToGrid w:val="0"/>
                    <w:jc w:val="center"/>
                    <w:rPr>
                      <w:rFonts w:hint="default"/>
                      <w:b/>
                      <w:bCs/>
                      <w:color w:val="auto"/>
                    </w:rPr>
                  </w:pPr>
                  <w:r>
                    <w:rPr>
                      <w:rFonts w:hint="default"/>
                      <w:b/>
                      <w:bCs/>
                      <w:color w:val="auto"/>
                    </w:rPr>
                    <w:t>t/a</w:t>
                  </w:r>
                </w:p>
              </w:tc>
              <w:tc>
                <w:tcPr>
                  <w:tcW w:w="378" w:type="pct"/>
                  <w:tcBorders>
                    <w:tl2br w:val="nil"/>
                    <w:tr2bl w:val="nil"/>
                  </w:tcBorders>
                  <w:noWrap w:val="0"/>
                  <w:vAlign w:val="center"/>
                </w:tcPr>
                <w:p>
                  <w:pPr>
                    <w:adjustRightInd w:val="0"/>
                    <w:snapToGrid w:val="0"/>
                    <w:jc w:val="center"/>
                    <w:rPr>
                      <w:rFonts w:hint="default"/>
                      <w:b/>
                      <w:bCs/>
                      <w:color w:val="auto"/>
                    </w:rPr>
                  </w:pPr>
                  <w:r>
                    <w:rPr>
                      <w:rFonts w:hint="default"/>
                      <w:b/>
                      <w:bCs/>
                      <w:color w:val="auto"/>
                    </w:rPr>
                    <w:t>排放浓度</w:t>
                  </w:r>
                </w:p>
                <w:p>
                  <w:pPr>
                    <w:adjustRightInd w:val="0"/>
                    <w:snapToGrid w:val="0"/>
                    <w:jc w:val="center"/>
                    <w:rPr>
                      <w:rFonts w:hint="default"/>
                      <w:b/>
                      <w:bCs/>
                      <w:color w:val="auto"/>
                    </w:rPr>
                  </w:pPr>
                  <w:r>
                    <w:rPr>
                      <w:rFonts w:hint="default"/>
                      <w:b/>
                      <w:bCs/>
                      <w:color w:val="auto"/>
                    </w:rPr>
                    <w:t>mg/m</w:t>
                  </w:r>
                  <w:r>
                    <w:rPr>
                      <w:rFonts w:hint="default"/>
                      <w:b/>
                      <w:bCs/>
                      <w:color w:val="auto"/>
                      <w:vertAlign w:val="superscript"/>
                    </w:rPr>
                    <w:t>3</w:t>
                  </w:r>
                </w:p>
              </w:tc>
              <w:tc>
                <w:tcPr>
                  <w:tcW w:w="447" w:type="pct"/>
                  <w:tcBorders>
                    <w:tl2br w:val="nil"/>
                    <w:tr2bl w:val="nil"/>
                  </w:tcBorders>
                  <w:noWrap w:val="0"/>
                  <w:vAlign w:val="center"/>
                </w:tcPr>
                <w:p>
                  <w:pPr>
                    <w:adjustRightInd w:val="0"/>
                    <w:snapToGrid w:val="0"/>
                    <w:jc w:val="center"/>
                    <w:rPr>
                      <w:rFonts w:hint="default"/>
                      <w:b/>
                      <w:bCs/>
                      <w:color w:val="auto"/>
                    </w:rPr>
                  </w:pPr>
                  <w:r>
                    <w:rPr>
                      <w:rFonts w:hint="default"/>
                      <w:b/>
                      <w:bCs/>
                      <w:color w:val="auto"/>
                    </w:rPr>
                    <w:t>排放速率</w:t>
                  </w:r>
                </w:p>
                <w:p>
                  <w:pPr>
                    <w:adjustRightInd w:val="0"/>
                    <w:snapToGrid w:val="0"/>
                    <w:jc w:val="center"/>
                    <w:rPr>
                      <w:rFonts w:hint="default"/>
                      <w:b/>
                      <w:bCs/>
                      <w:color w:val="auto"/>
                    </w:rPr>
                  </w:pPr>
                  <w:r>
                    <w:rPr>
                      <w:rFonts w:hint="default"/>
                      <w:b/>
                      <w:bCs/>
                      <w:color w:val="auto"/>
                    </w:rPr>
                    <w:t>kg/h</w:t>
                  </w:r>
                </w:p>
              </w:tc>
              <w:tc>
                <w:tcPr>
                  <w:tcW w:w="346" w:type="pct"/>
                  <w:vMerge w:val="continue"/>
                  <w:tcBorders>
                    <w:tl2br w:val="nil"/>
                    <w:tr2bl w:val="nil"/>
                  </w:tcBorders>
                  <w:noWrap w:val="0"/>
                  <w:vAlign w:val="center"/>
                </w:tcPr>
                <w:p>
                  <w:pPr>
                    <w:adjustRightInd w:val="0"/>
                    <w:snapToGrid w:val="0"/>
                    <w:jc w:val="center"/>
                    <w:rPr>
                      <w:rFonts w:hint="default"/>
                      <w:b/>
                      <w:bCs/>
                      <w:color w:val="auto"/>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tcBorders>
                    <w:tl2br w:val="nil"/>
                    <w:tr2bl w:val="nil"/>
                  </w:tcBorders>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投料</w:t>
                  </w:r>
                </w:p>
              </w:tc>
              <w:tc>
                <w:tcPr>
                  <w:tcW w:w="203" w:type="pct"/>
                  <w:tcBorders>
                    <w:tl2br w:val="nil"/>
                    <w:tr2bl w:val="nil"/>
                  </w:tcBorders>
                  <w:noWrap w:val="0"/>
                  <w:vAlign w:val="center"/>
                </w:tcPr>
                <w:p>
                  <w:pPr>
                    <w:adjustRightInd w:val="0"/>
                    <w:snapToGrid w:val="0"/>
                    <w:jc w:val="center"/>
                    <w:rPr>
                      <w:rFonts w:hint="default"/>
                      <w:color w:val="auto"/>
                    </w:rPr>
                  </w:pPr>
                  <w:r>
                    <w:rPr>
                      <w:rFonts w:hint="default"/>
                      <w:color w:val="auto"/>
                    </w:rPr>
                    <w:t>有组织</w:t>
                  </w:r>
                </w:p>
              </w:tc>
              <w:tc>
                <w:tcPr>
                  <w:tcW w:w="377"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颗粒物</w:t>
                  </w:r>
                </w:p>
              </w:tc>
              <w:tc>
                <w:tcPr>
                  <w:tcW w:w="376"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0.0878</w:t>
                  </w:r>
                </w:p>
              </w:tc>
              <w:tc>
                <w:tcPr>
                  <w:tcW w:w="343" w:type="pct"/>
                  <w:vMerge w:val="restar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15000</w:t>
                  </w:r>
                </w:p>
              </w:tc>
              <w:tc>
                <w:tcPr>
                  <w:tcW w:w="378" w:type="pct"/>
                  <w:vMerge w:val="restar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64.7</w:t>
                  </w:r>
                </w:p>
              </w:tc>
              <w:tc>
                <w:tcPr>
                  <w:tcW w:w="38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0.0211</w:t>
                  </w:r>
                </w:p>
              </w:tc>
              <w:tc>
                <w:tcPr>
                  <w:tcW w:w="744" w:type="pct"/>
                  <w:vMerge w:val="restar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集气罩负压收集+袋式除尘器（风量15000m</w:t>
                  </w:r>
                  <w:r>
                    <w:rPr>
                      <w:rFonts w:hint="eastAsia"/>
                      <w:color w:val="auto"/>
                      <w:vertAlign w:val="superscript"/>
                      <w:lang w:val="en-US" w:eastAsia="zh-CN"/>
                    </w:rPr>
                    <w:t>3</w:t>
                  </w:r>
                  <w:r>
                    <w:rPr>
                      <w:rFonts w:hint="eastAsia"/>
                      <w:color w:val="auto"/>
                      <w:lang w:val="en-US" w:eastAsia="zh-CN"/>
                    </w:rPr>
                    <w:t>/h）+15m高排气筒</w:t>
                  </w:r>
                </w:p>
              </w:tc>
              <w:tc>
                <w:tcPr>
                  <w:tcW w:w="346" w:type="pct"/>
                  <w:vMerge w:val="restar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99</w:t>
                  </w:r>
                  <w:r>
                    <w:rPr>
                      <w:rFonts w:hint="default"/>
                      <w:color w:val="auto"/>
                      <w:lang w:val="en-US" w:eastAsia="zh-CN"/>
                    </w:rPr>
                    <w:t>%</w:t>
                  </w:r>
                </w:p>
              </w:tc>
              <w:tc>
                <w:tcPr>
                  <w:tcW w:w="443" w:type="pct"/>
                  <w:vMerge w:val="restar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0.0404</w:t>
                  </w:r>
                </w:p>
              </w:tc>
              <w:tc>
                <w:tcPr>
                  <w:tcW w:w="378" w:type="pct"/>
                  <w:vMerge w:val="restar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0.647</w:t>
                  </w:r>
                </w:p>
              </w:tc>
              <w:tc>
                <w:tcPr>
                  <w:tcW w:w="447" w:type="pct"/>
                  <w:vMerge w:val="restar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0.0097</w:t>
                  </w:r>
                </w:p>
              </w:tc>
              <w:tc>
                <w:tcPr>
                  <w:tcW w:w="346" w:type="pct"/>
                  <w:vMerge w:val="restar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4160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搅拌</w:t>
                  </w:r>
                </w:p>
              </w:tc>
              <w:tc>
                <w:tcPr>
                  <w:tcW w:w="203" w:type="pct"/>
                  <w:tcBorders>
                    <w:tl2br w:val="nil"/>
                    <w:tr2bl w:val="nil"/>
                  </w:tcBorders>
                  <w:noWrap w:val="0"/>
                  <w:vAlign w:val="center"/>
                </w:tcPr>
                <w:p>
                  <w:pPr>
                    <w:adjustRightInd w:val="0"/>
                    <w:snapToGrid w:val="0"/>
                    <w:jc w:val="center"/>
                    <w:rPr>
                      <w:rFonts w:hint="default"/>
                      <w:color w:val="auto"/>
                    </w:rPr>
                  </w:pPr>
                  <w:r>
                    <w:rPr>
                      <w:rFonts w:hint="default"/>
                      <w:color w:val="auto"/>
                    </w:rPr>
                    <w:t>有组织</w:t>
                  </w:r>
                </w:p>
              </w:tc>
              <w:tc>
                <w:tcPr>
                  <w:tcW w:w="377"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颗粒物</w:t>
                  </w:r>
                </w:p>
              </w:tc>
              <w:tc>
                <w:tcPr>
                  <w:tcW w:w="376"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0.1755</w:t>
                  </w:r>
                </w:p>
              </w:tc>
              <w:tc>
                <w:tcPr>
                  <w:tcW w:w="343"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78"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8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0.0422</w:t>
                  </w:r>
                </w:p>
              </w:tc>
              <w:tc>
                <w:tcPr>
                  <w:tcW w:w="744"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443"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78"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447"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挤压</w:t>
                  </w:r>
                </w:p>
              </w:tc>
              <w:tc>
                <w:tcPr>
                  <w:tcW w:w="203" w:type="pct"/>
                  <w:tcBorders>
                    <w:tl2br w:val="nil"/>
                    <w:tr2bl w:val="nil"/>
                  </w:tcBorders>
                  <w:noWrap w:val="0"/>
                  <w:vAlign w:val="center"/>
                </w:tcPr>
                <w:p>
                  <w:pPr>
                    <w:adjustRightInd w:val="0"/>
                    <w:snapToGrid w:val="0"/>
                    <w:jc w:val="center"/>
                    <w:rPr>
                      <w:rFonts w:hint="default"/>
                      <w:color w:val="auto"/>
                    </w:rPr>
                  </w:pPr>
                  <w:r>
                    <w:rPr>
                      <w:rFonts w:hint="default"/>
                      <w:color w:val="auto"/>
                    </w:rPr>
                    <w:t>有组织</w:t>
                  </w:r>
                </w:p>
              </w:tc>
              <w:tc>
                <w:tcPr>
                  <w:tcW w:w="377"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颗粒物</w:t>
                  </w:r>
                </w:p>
              </w:tc>
              <w:tc>
                <w:tcPr>
                  <w:tcW w:w="376"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0.966</w:t>
                  </w:r>
                </w:p>
              </w:tc>
              <w:tc>
                <w:tcPr>
                  <w:tcW w:w="343"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78"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8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0.2322</w:t>
                  </w:r>
                </w:p>
              </w:tc>
              <w:tc>
                <w:tcPr>
                  <w:tcW w:w="744"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443"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78"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447"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筛分</w:t>
                  </w:r>
                </w:p>
              </w:tc>
              <w:tc>
                <w:tcPr>
                  <w:tcW w:w="203" w:type="pct"/>
                  <w:tcBorders>
                    <w:tl2br w:val="nil"/>
                    <w:tr2bl w:val="nil"/>
                  </w:tcBorders>
                  <w:noWrap w:val="0"/>
                  <w:vAlign w:val="center"/>
                </w:tcPr>
                <w:p>
                  <w:pPr>
                    <w:adjustRightInd w:val="0"/>
                    <w:snapToGrid w:val="0"/>
                    <w:jc w:val="center"/>
                    <w:rPr>
                      <w:rFonts w:hint="default"/>
                      <w:color w:val="auto"/>
                    </w:rPr>
                  </w:pPr>
                  <w:r>
                    <w:rPr>
                      <w:rFonts w:hint="default"/>
                      <w:color w:val="auto"/>
                    </w:rPr>
                    <w:t>有组织</w:t>
                  </w:r>
                </w:p>
              </w:tc>
              <w:tc>
                <w:tcPr>
                  <w:tcW w:w="377"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颗粒物</w:t>
                  </w:r>
                </w:p>
              </w:tc>
              <w:tc>
                <w:tcPr>
                  <w:tcW w:w="376"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2.808</w:t>
                  </w:r>
                </w:p>
              </w:tc>
              <w:tc>
                <w:tcPr>
                  <w:tcW w:w="343"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78"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8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0.675</w:t>
                  </w:r>
                </w:p>
              </w:tc>
              <w:tc>
                <w:tcPr>
                  <w:tcW w:w="744"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443"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78"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447" w:type="pct"/>
                  <w:vMerge w:val="continue"/>
                  <w:tcBorders>
                    <w:tl2br w:val="nil"/>
                    <w:tr2bl w:val="nil"/>
                  </w:tcBorders>
                  <w:noWrap w:val="0"/>
                  <w:vAlign w:val="center"/>
                </w:tcPr>
                <w:p>
                  <w:pPr>
                    <w:adjustRightInd w:val="0"/>
                    <w:snapToGrid w:val="0"/>
                    <w:jc w:val="center"/>
                    <w:rPr>
                      <w:rFonts w:hint="eastAsia"/>
                      <w:color w:val="auto"/>
                      <w:lang w:val="en-US" w:eastAsia="zh-CN"/>
                    </w:rPr>
                  </w:pP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投料</w:t>
                  </w:r>
                </w:p>
              </w:tc>
              <w:tc>
                <w:tcPr>
                  <w:tcW w:w="203" w:type="pct"/>
                  <w:tcBorders>
                    <w:tl2br w:val="nil"/>
                    <w:tr2bl w:val="nil"/>
                  </w:tcBorders>
                  <w:noWrap w:val="0"/>
                  <w:vAlign w:val="center"/>
                </w:tcPr>
                <w:p>
                  <w:pPr>
                    <w:adjustRightInd w:val="0"/>
                    <w:snapToGrid w:val="0"/>
                    <w:jc w:val="center"/>
                    <w:rPr>
                      <w:rFonts w:hint="default"/>
                      <w:color w:val="auto"/>
                    </w:rPr>
                  </w:pPr>
                  <w:r>
                    <w:rPr>
                      <w:rFonts w:hint="eastAsia"/>
                      <w:color w:val="auto"/>
                      <w:lang w:val="en-US" w:eastAsia="zh-CN"/>
                    </w:rPr>
                    <w:t>无</w:t>
                  </w:r>
                  <w:r>
                    <w:rPr>
                      <w:rFonts w:hint="default"/>
                      <w:color w:val="auto"/>
                    </w:rPr>
                    <w:t>组织</w:t>
                  </w:r>
                </w:p>
              </w:tc>
              <w:tc>
                <w:tcPr>
                  <w:tcW w:w="377"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颗粒物</w:t>
                  </w:r>
                </w:p>
              </w:tc>
              <w:tc>
                <w:tcPr>
                  <w:tcW w:w="376"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0.0097</w:t>
                  </w:r>
                </w:p>
              </w:tc>
              <w:tc>
                <w:tcPr>
                  <w:tcW w:w="34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378"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38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0.0023</w:t>
                  </w:r>
                </w:p>
              </w:tc>
              <w:tc>
                <w:tcPr>
                  <w:tcW w:w="744"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车间密闭</w:t>
                  </w:r>
                </w:p>
              </w:tc>
              <w:tc>
                <w:tcPr>
                  <w:tcW w:w="346"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90</w:t>
                  </w:r>
                  <w:r>
                    <w:rPr>
                      <w:rFonts w:hint="default"/>
                      <w:color w:val="auto"/>
                      <w:lang w:val="en-US" w:eastAsia="zh-CN"/>
                    </w:rPr>
                    <w:t>%</w:t>
                  </w:r>
                </w:p>
              </w:tc>
              <w:tc>
                <w:tcPr>
                  <w:tcW w:w="44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0.001</w:t>
                  </w:r>
                </w:p>
              </w:tc>
              <w:tc>
                <w:tcPr>
                  <w:tcW w:w="378"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447"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0.0002</w:t>
                  </w: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搅拌</w:t>
                  </w:r>
                </w:p>
              </w:tc>
              <w:tc>
                <w:tcPr>
                  <w:tcW w:w="203" w:type="pct"/>
                  <w:tcBorders>
                    <w:tl2br w:val="nil"/>
                    <w:tr2bl w:val="nil"/>
                  </w:tcBorders>
                  <w:noWrap w:val="0"/>
                  <w:vAlign w:val="center"/>
                </w:tcPr>
                <w:p>
                  <w:pPr>
                    <w:adjustRightInd w:val="0"/>
                    <w:snapToGrid w:val="0"/>
                    <w:jc w:val="center"/>
                    <w:rPr>
                      <w:rFonts w:hint="default"/>
                      <w:color w:val="auto"/>
                    </w:rPr>
                  </w:pPr>
                  <w:r>
                    <w:rPr>
                      <w:rFonts w:hint="eastAsia"/>
                      <w:color w:val="auto"/>
                      <w:lang w:val="en-US" w:eastAsia="zh-CN"/>
                    </w:rPr>
                    <w:t>无</w:t>
                  </w:r>
                  <w:r>
                    <w:rPr>
                      <w:rFonts w:hint="default"/>
                      <w:color w:val="auto"/>
                    </w:rPr>
                    <w:t>组织</w:t>
                  </w:r>
                </w:p>
              </w:tc>
              <w:tc>
                <w:tcPr>
                  <w:tcW w:w="377"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颗粒物</w:t>
                  </w:r>
                </w:p>
              </w:tc>
              <w:tc>
                <w:tcPr>
                  <w:tcW w:w="376"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0.0195</w:t>
                  </w:r>
                </w:p>
              </w:tc>
              <w:tc>
                <w:tcPr>
                  <w:tcW w:w="34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378"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38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0.0047</w:t>
                  </w:r>
                </w:p>
              </w:tc>
              <w:tc>
                <w:tcPr>
                  <w:tcW w:w="744"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车间密闭</w:t>
                  </w:r>
                </w:p>
              </w:tc>
              <w:tc>
                <w:tcPr>
                  <w:tcW w:w="346"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90</w:t>
                  </w:r>
                  <w:r>
                    <w:rPr>
                      <w:rFonts w:hint="default"/>
                      <w:color w:val="auto"/>
                      <w:lang w:val="en-US" w:eastAsia="zh-CN"/>
                    </w:rPr>
                    <w:t>%</w:t>
                  </w:r>
                </w:p>
              </w:tc>
              <w:tc>
                <w:tcPr>
                  <w:tcW w:w="44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0.002</w:t>
                  </w:r>
                </w:p>
              </w:tc>
              <w:tc>
                <w:tcPr>
                  <w:tcW w:w="378"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447"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0.0005</w:t>
                  </w: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挤压</w:t>
                  </w:r>
                </w:p>
              </w:tc>
              <w:tc>
                <w:tcPr>
                  <w:tcW w:w="203" w:type="pct"/>
                  <w:tcBorders>
                    <w:tl2br w:val="nil"/>
                    <w:tr2bl w:val="nil"/>
                  </w:tcBorders>
                  <w:noWrap w:val="0"/>
                  <w:vAlign w:val="center"/>
                </w:tcPr>
                <w:p>
                  <w:pPr>
                    <w:adjustRightInd w:val="0"/>
                    <w:snapToGrid w:val="0"/>
                    <w:jc w:val="center"/>
                    <w:rPr>
                      <w:rFonts w:hint="default"/>
                      <w:color w:val="auto"/>
                    </w:rPr>
                  </w:pPr>
                  <w:r>
                    <w:rPr>
                      <w:rFonts w:hint="eastAsia"/>
                      <w:color w:val="auto"/>
                      <w:lang w:val="en-US" w:eastAsia="zh-CN"/>
                    </w:rPr>
                    <w:t>无</w:t>
                  </w:r>
                  <w:r>
                    <w:rPr>
                      <w:rFonts w:hint="default"/>
                      <w:color w:val="auto"/>
                    </w:rPr>
                    <w:t>组织</w:t>
                  </w:r>
                </w:p>
              </w:tc>
              <w:tc>
                <w:tcPr>
                  <w:tcW w:w="377"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颗粒物</w:t>
                  </w:r>
                </w:p>
              </w:tc>
              <w:tc>
                <w:tcPr>
                  <w:tcW w:w="376"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0.1073</w:t>
                  </w:r>
                </w:p>
              </w:tc>
              <w:tc>
                <w:tcPr>
                  <w:tcW w:w="34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378"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38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0.0258</w:t>
                  </w:r>
                </w:p>
              </w:tc>
              <w:tc>
                <w:tcPr>
                  <w:tcW w:w="744"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车间密闭</w:t>
                  </w:r>
                </w:p>
              </w:tc>
              <w:tc>
                <w:tcPr>
                  <w:tcW w:w="346"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90</w:t>
                  </w:r>
                  <w:r>
                    <w:rPr>
                      <w:rFonts w:hint="default"/>
                      <w:color w:val="auto"/>
                      <w:lang w:val="en-US" w:eastAsia="zh-CN"/>
                    </w:rPr>
                    <w:t>%</w:t>
                  </w:r>
                </w:p>
              </w:tc>
              <w:tc>
                <w:tcPr>
                  <w:tcW w:w="44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0.0107</w:t>
                  </w:r>
                </w:p>
              </w:tc>
              <w:tc>
                <w:tcPr>
                  <w:tcW w:w="378"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447"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0.0026</w:t>
                  </w:r>
                </w:p>
              </w:tc>
              <w:tc>
                <w:tcPr>
                  <w:tcW w:w="346" w:type="pct"/>
                  <w:vMerge w:val="continue"/>
                  <w:tcBorders>
                    <w:tl2br w:val="nil"/>
                    <w:tr2bl w:val="nil"/>
                  </w:tcBorders>
                  <w:noWrap w:val="0"/>
                  <w:vAlign w:val="center"/>
                </w:tcPr>
                <w:p>
                  <w:pPr>
                    <w:adjustRightInd w:val="0"/>
                    <w:snapToGrid w:val="0"/>
                    <w:jc w:val="center"/>
                    <w:rPr>
                      <w:rFonts w:hint="eastAsia"/>
                      <w:color w:va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 w:type="pct"/>
                  <w:tcBorders>
                    <w:bottom w:val="single" w:color="auto" w:sz="12" w:space="0"/>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筛分</w:t>
                  </w:r>
                </w:p>
              </w:tc>
              <w:tc>
                <w:tcPr>
                  <w:tcW w:w="203" w:type="pct"/>
                  <w:tcBorders>
                    <w:bottom w:val="single" w:color="auto" w:sz="12" w:space="0"/>
                    <w:tl2br w:val="nil"/>
                    <w:tr2bl w:val="nil"/>
                  </w:tcBorders>
                  <w:noWrap w:val="0"/>
                  <w:vAlign w:val="center"/>
                </w:tcPr>
                <w:p>
                  <w:pPr>
                    <w:adjustRightInd w:val="0"/>
                    <w:snapToGrid w:val="0"/>
                    <w:jc w:val="center"/>
                    <w:rPr>
                      <w:rFonts w:hint="default"/>
                      <w:color w:val="auto"/>
                    </w:rPr>
                  </w:pPr>
                  <w:r>
                    <w:rPr>
                      <w:rFonts w:hint="eastAsia"/>
                      <w:color w:val="auto"/>
                      <w:lang w:val="en-US" w:eastAsia="zh-CN"/>
                    </w:rPr>
                    <w:t>无</w:t>
                  </w:r>
                  <w:r>
                    <w:rPr>
                      <w:rFonts w:hint="default"/>
                      <w:color w:val="auto"/>
                    </w:rPr>
                    <w:t>组织</w:t>
                  </w:r>
                </w:p>
              </w:tc>
              <w:tc>
                <w:tcPr>
                  <w:tcW w:w="377" w:type="pct"/>
                  <w:tcBorders>
                    <w:bottom w:val="single" w:color="auto" w:sz="12" w:space="0"/>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颗粒物</w:t>
                  </w:r>
                </w:p>
              </w:tc>
              <w:tc>
                <w:tcPr>
                  <w:tcW w:w="376" w:type="pct"/>
                  <w:tcBorders>
                    <w:bottom w:val="single" w:color="auto" w:sz="12" w:space="0"/>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0.312</w:t>
                  </w:r>
                </w:p>
              </w:tc>
              <w:tc>
                <w:tcPr>
                  <w:tcW w:w="343" w:type="pct"/>
                  <w:tcBorders>
                    <w:bottom w:val="single" w:color="auto" w:sz="12" w:space="0"/>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378" w:type="pct"/>
                  <w:tcBorders>
                    <w:bottom w:val="single" w:color="auto" w:sz="12" w:space="0"/>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383" w:type="pct"/>
                  <w:tcBorders>
                    <w:bottom w:val="single" w:color="auto" w:sz="12" w:space="0"/>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0.075</w:t>
                  </w:r>
                </w:p>
              </w:tc>
              <w:tc>
                <w:tcPr>
                  <w:tcW w:w="744" w:type="pct"/>
                  <w:tcBorders>
                    <w:bottom w:val="single" w:color="auto" w:sz="12" w:space="0"/>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车间密闭</w:t>
                  </w:r>
                </w:p>
              </w:tc>
              <w:tc>
                <w:tcPr>
                  <w:tcW w:w="346" w:type="pct"/>
                  <w:tcBorders>
                    <w:bottom w:val="single" w:color="auto" w:sz="12" w:space="0"/>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90</w:t>
                  </w:r>
                  <w:r>
                    <w:rPr>
                      <w:rFonts w:hint="default"/>
                      <w:color w:val="auto"/>
                      <w:lang w:val="en-US" w:eastAsia="zh-CN"/>
                    </w:rPr>
                    <w:t>%</w:t>
                  </w:r>
                </w:p>
              </w:tc>
              <w:tc>
                <w:tcPr>
                  <w:tcW w:w="443" w:type="pct"/>
                  <w:tcBorders>
                    <w:bottom w:val="single" w:color="auto" w:sz="12" w:space="0"/>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0.0312</w:t>
                  </w:r>
                </w:p>
              </w:tc>
              <w:tc>
                <w:tcPr>
                  <w:tcW w:w="378" w:type="pct"/>
                  <w:tcBorders>
                    <w:bottom w:val="single" w:color="auto" w:sz="12" w:space="0"/>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w:t>
                  </w:r>
                </w:p>
              </w:tc>
              <w:tc>
                <w:tcPr>
                  <w:tcW w:w="447" w:type="pct"/>
                  <w:tcBorders>
                    <w:bottom w:val="single" w:color="auto" w:sz="12" w:space="0"/>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0.0075</w:t>
                  </w:r>
                </w:p>
              </w:tc>
              <w:tc>
                <w:tcPr>
                  <w:tcW w:w="346" w:type="pct"/>
                  <w:vMerge w:val="continue"/>
                  <w:tcBorders>
                    <w:bottom w:val="single" w:color="auto" w:sz="12" w:space="0"/>
                    <w:tl2br w:val="nil"/>
                    <w:tr2bl w:val="nil"/>
                  </w:tcBorders>
                  <w:noWrap w:val="0"/>
                  <w:vAlign w:val="center"/>
                </w:tcPr>
                <w:p>
                  <w:pPr>
                    <w:adjustRightInd w:val="0"/>
                    <w:snapToGrid w:val="0"/>
                    <w:jc w:val="center"/>
                    <w:rPr>
                      <w:rFonts w:hint="eastAsia"/>
                      <w:color w:val="auto"/>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color w:val="auto"/>
                <w:lang w:val="en-US" w:eastAsia="zh-CN"/>
              </w:rPr>
            </w:pPr>
            <w:r>
              <w:rPr>
                <w:rFonts w:hint="eastAsia"/>
                <w:color w:val="auto"/>
              </w:rPr>
              <w:t>（</w:t>
            </w:r>
            <w:r>
              <w:rPr>
                <w:rFonts w:hint="eastAsia"/>
                <w:color w:val="auto"/>
                <w:lang w:val="en-US" w:eastAsia="zh-CN"/>
              </w:rPr>
              <w:t>2</w:t>
            </w:r>
            <w:r>
              <w:rPr>
                <w:rFonts w:hint="eastAsia"/>
                <w:color w:val="auto"/>
              </w:rPr>
              <w:t>）技术可行性分析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highlight w:val="none"/>
              </w:rPr>
            </w:pPr>
            <w:r>
              <w:rPr>
                <w:rFonts w:hint="eastAsia" w:cs="Times New Roman"/>
                <w:color w:val="auto"/>
                <w:lang w:val="en-US" w:eastAsia="zh-CN"/>
              </w:rPr>
              <w:t>本项目参考</w:t>
            </w:r>
            <w:r>
              <w:rPr>
                <w:rFonts w:hint="default" w:ascii="Times New Roman" w:hAnsi="Times New Roman" w:eastAsia="宋体" w:cs="Times New Roman"/>
                <w:color w:val="auto"/>
                <w:lang w:val="en-US" w:eastAsia="zh-CN"/>
              </w:rPr>
              <w:t>《排污许可证申请与核发技术规范 废弃资源加工工业</w:t>
            </w:r>
            <w:r>
              <w:rPr>
                <w:rFonts w:hint="eastAsia" w:ascii="Times New Roman" w:hAnsi="Times New Roman" w:eastAsia="宋体" w:cs="Times New Roman"/>
                <w:color w:val="auto"/>
                <w:lang w:val="en-US" w:eastAsia="zh-CN"/>
              </w:rPr>
              <w:t>》</w:t>
            </w:r>
            <w:r>
              <w:rPr>
                <w:rFonts w:hint="eastAsia" w:cs="Times New Roman"/>
                <w:color w:val="auto"/>
                <w:lang w:val="en-US" w:eastAsia="zh-CN"/>
              </w:rPr>
              <w:t>（</w:t>
            </w:r>
            <w:r>
              <w:rPr>
                <w:rFonts w:hint="eastAsia" w:ascii="Times New Roman" w:hAnsi="Times New Roman" w:eastAsia="宋体" w:cs="Times New Roman"/>
                <w:color w:val="auto"/>
                <w:lang w:val="en-US" w:eastAsia="zh-CN"/>
              </w:rPr>
              <w:t>HJ 1034—2019</w:t>
            </w:r>
            <w:r>
              <w:rPr>
                <w:rFonts w:hint="eastAsia" w:cs="Times New Roman"/>
                <w:color w:val="auto"/>
                <w:lang w:val="en-US" w:eastAsia="zh-CN"/>
              </w:rPr>
              <w:t>）废气污染治理推荐可行技术清单</w:t>
            </w:r>
            <w:r>
              <w:rPr>
                <w:rFonts w:hint="eastAsia" w:ascii="Times New Roman" w:hAnsi="Times New Roman" w:eastAsia="宋体" w:cs="Times New Roman"/>
                <w:color w:val="auto"/>
              </w:rPr>
              <w:t>，本项目</w:t>
            </w:r>
            <w:r>
              <w:rPr>
                <w:rFonts w:hint="eastAsia" w:cs="Times New Roman"/>
                <w:color w:val="auto"/>
                <w:lang w:val="en-US" w:eastAsia="zh-CN"/>
              </w:rPr>
              <w:t>产生颗粒物</w:t>
            </w:r>
            <w:r>
              <w:rPr>
                <w:rFonts w:hint="eastAsia" w:ascii="Times New Roman" w:hAnsi="Times New Roman" w:eastAsia="宋体" w:cs="Times New Roman"/>
                <w:color w:val="auto"/>
                <w:lang w:eastAsia="zh-CN"/>
              </w:rPr>
              <w:t>均</w:t>
            </w:r>
            <w:r>
              <w:rPr>
                <w:rFonts w:hint="eastAsia" w:ascii="Times New Roman" w:hAnsi="Times New Roman" w:eastAsia="宋体" w:cs="Times New Roman"/>
                <w:color w:val="auto"/>
              </w:rPr>
              <w:t>使用</w:t>
            </w:r>
            <w:r>
              <w:rPr>
                <w:rFonts w:hint="eastAsia" w:cs="Times New Roman"/>
                <w:color w:val="auto"/>
                <w:lang w:val="en-US" w:eastAsia="zh-CN"/>
              </w:rPr>
              <w:t>集气罩负压收集</w:t>
            </w:r>
            <w:r>
              <w:rPr>
                <w:rFonts w:hint="eastAsia" w:ascii="Times New Roman" w:hAnsi="Times New Roman" w:cs="Times New Roman" w:eastAsiaTheme="minorEastAsia"/>
                <w:color w:val="auto"/>
                <w:sz w:val="21"/>
                <w:szCs w:val="21"/>
                <w:lang w:val="en-US" w:eastAsia="zh-CN"/>
              </w:rPr>
              <w:t>+</w:t>
            </w:r>
            <w:r>
              <w:rPr>
                <w:rFonts w:hint="eastAsia"/>
                <w:color w:val="auto"/>
                <w:lang w:val="en-US" w:eastAsia="zh-CN"/>
              </w:rPr>
              <w:t>袋式除尘器</w:t>
            </w:r>
            <w:r>
              <w:rPr>
                <w:rFonts w:hint="eastAsia" w:ascii="Times New Roman" w:hAnsi="Times New Roman" w:cs="Times New Roman" w:eastAsiaTheme="minorEastAsia"/>
                <w:color w:val="auto"/>
                <w:lang w:val="en-US" w:eastAsia="zh-CN"/>
              </w:rPr>
              <w:t>处理</w:t>
            </w:r>
            <w:r>
              <w:rPr>
                <w:rFonts w:hint="eastAsia" w:ascii="Times New Roman" w:hAnsi="Times New Roman" w:eastAsia="宋体" w:cs="Times New Roman"/>
                <w:color w:val="auto"/>
              </w:rPr>
              <w:t>，治理措施有效可行。</w:t>
            </w:r>
          </w:p>
          <w:p>
            <w:pPr>
              <w:keepNext w:val="0"/>
              <w:keepLines w:val="0"/>
              <w:pageBreakBefore w:val="0"/>
              <w:widowControl w:val="0"/>
              <w:suppressLineNumbers w:val="0"/>
              <w:tabs>
                <w:tab w:val="left" w:pos="333"/>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color w:val="auto"/>
                <w:sz w:val="21"/>
                <w:szCs w:val="24"/>
                <w:lang w:val="en-US" w:eastAsia="zh-CN"/>
              </w:rPr>
            </w:pPr>
            <w:r>
              <w:rPr>
                <w:rFonts w:hint="eastAsia" w:ascii="Times New Roman" w:eastAsia="宋体"/>
                <w:color w:val="auto"/>
                <w:sz w:val="21"/>
                <w:szCs w:val="24"/>
                <w:lang w:val="en-US" w:eastAsia="zh-CN"/>
              </w:rPr>
              <w:t>2、本项目废气产排情况汇总</w:t>
            </w:r>
          </w:p>
          <w:p>
            <w:pPr>
              <w:keepNext w:val="0"/>
              <w:keepLines w:val="0"/>
              <w:numPr>
                <w:ilvl w:val="0"/>
                <w:numId w:val="0"/>
              </w:numPr>
              <w:suppressLineNumbers w:val="0"/>
              <w:spacing w:before="0" w:beforeAutospacing="0" w:after="0" w:afterAutospacing="0" w:line="520" w:lineRule="exact"/>
              <w:ind w:left="0" w:right="0" w:firstLine="420" w:firstLineChars="200"/>
              <w:jc w:val="both"/>
              <w:rPr>
                <w:rFonts w:hint="eastAsia"/>
                <w:color w:val="auto"/>
                <w:sz w:val="21"/>
                <w:szCs w:val="24"/>
                <w:lang w:val="en-US" w:eastAsia="zh-CN"/>
              </w:rPr>
            </w:pPr>
            <w:r>
              <w:rPr>
                <w:rFonts w:hint="eastAsia" w:ascii="Times New Roman" w:eastAsia="宋体"/>
                <w:color w:val="auto"/>
                <w:sz w:val="21"/>
                <w:szCs w:val="24"/>
                <w:lang w:val="en-US" w:eastAsia="zh-CN"/>
              </w:rPr>
              <w:t>（1）废气产排情况一览表如下：</w:t>
            </w:r>
          </w:p>
          <w:p>
            <w:pPr>
              <w:pStyle w:val="31"/>
              <w:keepLines w:val="0"/>
              <w:pageBreakBefore w:val="0"/>
              <w:kinsoku/>
              <w:wordWrap/>
              <w:overflowPunct/>
              <w:topLinePunct w:val="0"/>
              <w:autoSpaceDE/>
              <w:autoSpaceDN/>
              <w:bidi w:val="0"/>
              <w:spacing w:line="5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废气产生及排放情况</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43"/>
              <w:gridCol w:w="1256"/>
              <w:gridCol w:w="843"/>
              <w:gridCol w:w="1004"/>
              <w:gridCol w:w="925"/>
              <w:gridCol w:w="930"/>
              <w:gridCol w:w="1047"/>
              <w:gridCol w:w="1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eastAsia" w:ascii="Times New Roman" w:eastAsia="宋体"/>
                      <w:b/>
                      <w:bCs/>
                      <w:color w:val="auto"/>
                      <w:lang w:val="en-US" w:eastAsia="zh-CN"/>
                    </w:rPr>
                    <w:t>废气类别</w:t>
                  </w:r>
                </w:p>
              </w:tc>
              <w:tc>
                <w:tcPr>
                  <w:tcW w:w="1256"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产污工段</w:t>
                  </w:r>
                </w:p>
              </w:tc>
              <w:tc>
                <w:tcPr>
                  <w:tcW w:w="843"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污染物</w:t>
                  </w:r>
                </w:p>
              </w:tc>
              <w:tc>
                <w:tcPr>
                  <w:tcW w:w="1004"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产生量</w:t>
                  </w:r>
                </w:p>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w:t>
                  </w:r>
                  <w:r>
                    <w:rPr>
                      <w:rFonts w:hint="eastAsia" w:ascii="Times New Roman" w:eastAsia="宋体"/>
                      <w:b/>
                      <w:bCs/>
                      <w:color w:val="auto"/>
                      <w:lang w:val="en-US" w:eastAsia="zh-CN"/>
                    </w:rPr>
                    <w:t>t/a</w:t>
                  </w:r>
                  <w:r>
                    <w:rPr>
                      <w:rFonts w:hint="eastAsia" w:eastAsia="宋体"/>
                      <w:b/>
                      <w:bCs/>
                      <w:color w:val="auto"/>
                      <w:lang w:eastAsia="zh-CN"/>
                    </w:rPr>
                    <w:t>）</w:t>
                  </w:r>
                </w:p>
              </w:tc>
              <w:tc>
                <w:tcPr>
                  <w:tcW w:w="925"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处理效率</w:t>
                  </w:r>
                </w:p>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w:t>
                  </w:r>
                  <w:r>
                    <w:rPr>
                      <w:rFonts w:hint="eastAsia" w:ascii="Times New Roman" w:eastAsia="宋体"/>
                      <w:b/>
                      <w:bCs/>
                      <w:color w:val="auto"/>
                      <w:lang w:val="en-US" w:eastAsia="zh-CN"/>
                    </w:rPr>
                    <w:t>%</w:t>
                  </w:r>
                  <w:r>
                    <w:rPr>
                      <w:rFonts w:hint="eastAsia" w:eastAsia="宋体"/>
                      <w:b/>
                      <w:bCs/>
                      <w:color w:val="auto"/>
                      <w:lang w:eastAsia="zh-CN"/>
                    </w:rPr>
                    <w:t>）</w:t>
                  </w:r>
                </w:p>
              </w:tc>
              <w:tc>
                <w:tcPr>
                  <w:tcW w:w="930"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排放量</w:t>
                  </w:r>
                </w:p>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w:t>
                  </w:r>
                  <w:r>
                    <w:rPr>
                      <w:rFonts w:hint="eastAsia" w:ascii="Times New Roman" w:eastAsia="宋体"/>
                      <w:b/>
                      <w:bCs/>
                      <w:color w:val="auto"/>
                      <w:lang w:val="en-US" w:eastAsia="zh-CN"/>
                    </w:rPr>
                    <w:t>t/a</w:t>
                  </w:r>
                  <w:r>
                    <w:rPr>
                      <w:rFonts w:hint="eastAsia" w:eastAsia="宋体"/>
                      <w:b/>
                      <w:bCs/>
                      <w:color w:val="auto"/>
                      <w:lang w:eastAsia="zh-CN"/>
                    </w:rPr>
                    <w:t>）</w:t>
                  </w:r>
                </w:p>
              </w:tc>
              <w:tc>
                <w:tcPr>
                  <w:tcW w:w="1047"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排放速率（</w:t>
                  </w:r>
                  <w:r>
                    <w:rPr>
                      <w:rFonts w:hint="eastAsia" w:ascii="Times New Roman" w:eastAsia="宋体"/>
                      <w:b/>
                      <w:bCs/>
                      <w:color w:val="auto"/>
                      <w:lang w:val="en-US" w:eastAsia="zh-CN"/>
                    </w:rPr>
                    <w:t>kg/h</w:t>
                  </w:r>
                  <w:r>
                    <w:rPr>
                      <w:rFonts w:hint="eastAsia" w:eastAsia="宋体"/>
                      <w:b/>
                      <w:bCs/>
                      <w:color w:val="auto"/>
                      <w:lang w:eastAsia="zh-CN"/>
                    </w:rPr>
                    <w:t>）</w:t>
                  </w:r>
                </w:p>
              </w:tc>
              <w:tc>
                <w:tcPr>
                  <w:tcW w:w="1198" w:type="dxa"/>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eastAsia" w:eastAsia="宋体"/>
                      <w:b/>
                      <w:bCs/>
                      <w:color w:val="auto"/>
                      <w:lang w:eastAsia="zh-CN"/>
                    </w:rPr>
                    <w:t>排放浓度（</w:t>
                  </w:r>
                  <w:r>
                    <w:rPr>
                      <w:rFonts w:hint="eastAsia" w:ascii="Times New Roman" w:eastAsia="宋体"/>
                      <w:b/>
                      <w:bCs/>
                      <w:color w:val="auto"/>
                      <w:lang w:val="en-US" w:eastAsia="zh-CN"/>
                    </w:rPr>
                    <w:t>mg/m</w:t>
                  </w:r>
                  <w:r>
                    <w:rPr>
                      <w:rFonts w:hint="eastAsia" w:ascii="Times New Roman" w:eastAsia="宋体"/>
                      <w:b/>
                      <w:bCs/>
                      <w:color w:val="auto"/>
                      <w:vertAlign w:val="superscript"/>
                      <w:lang w:val="en-US" w:eastAsia="zh-CN"/>
                    </w:rPr>
                    <w:t>3</w:t>
                  </w:r>
                  <w:r>
                    <w:rPr>
                      <w:rFonts w:hint="eastAsia" w:ascii="Times New Roman" w:eastAsia="宋体"/>
                      <w:b/>
                      <w:bCs/>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ascii="Times New Roman" w:eastAsia="宋体"/>
                      <w:color w:val="auto"/>
                      <w:lang w:val="en-US" w:eastAsia="zh-CN"/>
                    </w:rPr>
                    <w:t>有组织</w:t>
                  </w:r>
                </w:p>
              </w:tc>
              <w:tc>
                <w:tcPr>
                  <w:tcW w:w="1256"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投料</w:t>
                  </w:r>
                </w:p>
              </w:tc>
              <w:tc>
                <w:tcPr>
                  <w:tcW w:w="84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c>
                <w:tcPr>
                  <w:tcW w:w="1004"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0.0878</w:t>
                  </w:r>
                </w:p>
              </w:tc>
              <w:tc>
                <w:tcPr>
                  <w:tcW w:w="925"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99</w:t>
                  </w:r>
                </w:p>
              </w:tc>
              <w:tc>
                <w:tcPr>
                  <w:tcW w:w="930"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0.0404</w:t>
                  </w:r>
                </w:p>
              </w:tc>
              <w:tc>
                <w:tcPr>
                  <w:tcW w:w="1047"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0.0097</w:t>
                  </w:r>
                </w:p>
              </w:tc>
              <w:tc>
                <w:tcPr>
                  <w:tcW w:w="1198"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0.647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noWrap w:val="0"/>
                  <w:vAlign w:val="center"/>
                </w:tcPr>
                <w:p>
                  <w:pPr>
                    <w:keepNext w:val="0"/>
                    <w:keepLines w:val="0"/>
                    <w:suppressLineNumbers w:val="0"/>
                    <w:spacing w:before="0" w:beforeAutospacing="0" w:after="0" w:afterAutospacing="0"/>
                    <w:ind w:left="0" w:right="0"/>
                    <w:jc w:val="center"/>
                    <w:rPr>
                      <w:rFonts w:hint="eastAsia" w:ascii="Times New Roman" w:eastAsia="宋体"/>
                      <w:color w:val="auto"/>
                      <w:lang w:val="en-US" w:eastAsia="zh-CN"/>
                    </w:rPr>
                  </w:pPr>
                  <w:r>
                    <w:rPr>
                      <w:rFonts w:hint="eastAsia" w:ascii="Times New Roman" w:eastAsia="宋体"/>
                      <w:color w:val="auto"/>
                      <w:lang w:val="en-US" w:eastAsia="zh-CN"/>
                    </w:rPr>
                    <w:t>有组织</w:t>
                  </w:r>
                </w:p>
              </w:tc>
              <w:tc>
                <w:tcPr>
                  <w:tcW w:w="1256"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搅拌</w:t>
                  </w:r>
                </w:p>
              </w:tc>
              <w:tc>
                <w:tcPr>
                  <w:tcW w:w="843"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c>
                <w:tcPr>
                  <w:tcW w:w="1004"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0.1755</w:t>
                  </w:r>
                </w:p>
              </w:tc>
              <w:tc>
                <w:tcPr>
                  <w:tcW w:w="92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93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1047"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1198"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noWrap w:val="0"/>
                  <w:vAlign w:val="center"/>
                </w:tcPr>
                <w:p>
                  <w:pPr>
                    <w:keepNext w:val="0"/>
                    <w:keepLines w:val="0"/>
                    <w:suppressLineNumbers w:val="0"/>
                    <w:spacing w:before="0" w:beforeAutospacing="0" w:after="0" w:afterAutospacing="0"/>
                    <w:ind w:left="0" w:right="0"/>
                    <w:jc w:val="center"/>
                    <w:rPr>
                      <w:rFonts w:hint="eastAsia" w:ascii="Times New Roman" w:eastAsia="宋体"/>
                      <w:color w:val="auto"/>
                      <w:lang w:val="en-US" w:eastAsia="zh-CN"/>
                    </w:rPr>
                  </w:pPr>
                  <w:r>
                    <w:rPr>
                      <w:rFonts w:hint="eastAsia" w:ascii="Times New Roman" w:eastAsia="宋体"/>
                      <w:color w:val="auto"/>
                      <w:lang w:val="en-US" w:eastAsia="zh-CN"/>
                    </w:rPr>
                    <w:t>有组织</w:t>
                  </w:r>
                </w:p>
              </w:tc>
              <w:tc>
                <w:tcPr>
                  <w:tcW w:w="1256"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挤压</w:t>
                  </w:r>
                </w:p>
              </w:tc>
              <w:tc>
                <w:tcPr>
                  <w:tcW w:w="843"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c>
                <w:tcPr>
                  <w:tcW w:w="1004"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0.966</w:t>
                  </w:r>
                </w:p>
              </w:tc>
              <w:tc>
                <w:tcPr>
                  <w:tcW w:w="92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93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1047"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1198"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noWrap w:val="0"/>
                  <w:vAlign w:val="center"/>
                </w:tcPr>
                <w:p>
                  <w:pPr>
                    <w:keepNext w:val="0"/>
                    <w:keepLines w:val="0"/>
                    <w:suppressLineNumbers w:val="0"/>
                    <w:spacing w:before="0" w:beforeAutospacing="0" w:after="0" w:afterAutospacing="0"/>
                    <w:ind w:left="0" w:right="0"/>
                    <w:jc w:val="center"/>
                    <w:rPr>
                      <w:rFonts w:hint="eastAsia" w:ascii="Times New Roman" w:eastAsia="宋体"/>
                      <w:color w:val="auto"/>
                      <w:lang w:val="en-US" w:eastAsia="zh-CN"/>
                    </w:rPr>
                  </w:pPr>
                  <w:r>
                    <w:rPr>
                      <w:rFonts w:hint="eastAsia" w:ascii="Times New Roman" w:eastAsia="宋体"/>
                      <w:color w:val="auto"/>
                      <w:lang w:val="en-US" w:eastAsia="zh-CN"/>
                    </w:rPr>
                    <w:t>有组织</w:t>
                  </w:r>
                </w:p>
              </w:tc>
              <w:tc>
                <w:tcPr>
                  <w:tcW w:w="1256"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筛分</w:t>
                  </w:r>
                </w:p>
              </w:tc>
              <w:tc>
                <w:tcPr>
                  <w:tcW w:w="843"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c>
                <w:tcPr>
                  <w:tcW w:w="1004"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2.808</w:t>
                  </w:r>
                </w:p>
              </w:tc>
              <w:tc>
                <w:tcPr>
                  <w:tcW w:w="92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93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1047"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c>
                <w:tcPr>
                  <w:tcW w:w="1198"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noWrap w:val="0"/>
                  <w:vAlign w:val="center"/>
                </w:tcPr>
                <w:p>
                  <w:pPr>
                    <w:keepNext w:val="0"/>
                    <w:keepLines w:val="0"/>
                    <w:suppressLineNumbers w:val="0"/>
                    <w:spacing w:before="0" w:beforeAutospacing="0" w:after="0" w:afterAutospacing="0"/>
                    <w:ind w:left="0" w:right="0"/>
                    <w:jc w:val="center"/>
                    <w:rPr>
                      <w:rFonts w:hint="eastAsia" w:ascii="Times New Roman" w:eastAsia="宋体"/>
                      <w:color w:val="auto"/>
                      <w:lang w:val="en-US" w:eastAsia="zh-CN"/>
                    </w:rPr>
                  </w:pPr>
                  <w:r>
                    <w:rPr>
                      <w:rFonts w:hint="eastAsia" w:ascii="Times New Roman" w:eastAsia="宋体"/>
                      <w:color w:val="auto"/>
                      <w:lang w:val="en-US" w:eastAsia="zh-CN"/>
                    </w:rPr>
                    <w:t>无组织</w:t>
                  </w:r>
                </w:p>
              </w:tc>
              <w:tc>
                <w:tcPr>
                  <w:tcW w:w="1256"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投料</w:t>
                  </w:r>
                </w:p>
              </w:tc>
              <w:tc>
                <w:tcPr>
                  <w:tcW w:w="843"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c>
                <w:tcPr>
                  <w:tcW w:w="1004"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0.0097</w:t>
                  </w:r>
                </w:p>
              </w:tc>
              <w:tc>
                <w:tcPr>
                  <w:tcW w:w="925"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90</w:t>
                  </w:r>
                </w:p>
              </w:tc>
              <w:tc>
                <w:tcPr>
                  <w:tcW w:w="930"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0.001</w:t>
                  </w:r>
                </w:p>
              </w:tc>
              <w:tc>
                <w:tcPr>
                  <w:tcW w:w="1047"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0.0002</w:t>
                  </w:r>
                </w:p>
              </w:tc>
              <w:tc>
                <w:tcPr>
                  <w:tcW w:w="1198"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noWrap w:val="0"/>
                  <w:vAlign w:val="center"/>
                </w:tcPr>
                <w:p>
                  <w:pPr>
                    <w:keepNext w:val="0"/>
                    <w:keepLines w:val="0"/>
                    <w:suppressLineNumbers w:val="0"/>
                    <w:spacing w:before="0" w:beforeAutospacing="0" w:after="0" w:afterAutospacing="0"/>
                    <w:ind w:left="0" w:right="0"/>
                    <w:jc w:val="center"/>
                    <w:rPr>
                      <w:rFonts w:hint="eastAsia" w:ascii="Times New Roman" w:eastAsia="宋体"/>
                      <w:color w:val="auto"/>
                      <w:lang w:val="en-US" w:eastAsia="zh-CN"/>
                    </w:rPr>
                  </w:pPr>
                  <w:r>
                    <w:rPr>
                      <w:rFonts w:hint="eastAsia" w:ascii="Times New Roman" w:eastAsia="宋体"/>
                      <w:color w:val="auto"/>
                      <w:lang w:val="en-US" w:eastAsia="zh-CN"/>
                    </w:rPr>
                    <w:t>无组织</w:t>
                  </w:r>
                </w:p>
              </w:tc>
              <w:tc>
                <w:tcPr>
                  <w:tcW w:w="1256"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搅拌</w:t>
                  </w:r>
                </w:p>
              </w:tc>
              <w:tc>
                <w:tcPr>
                  <w:tcW w:w="843"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c>
                <w:tcPr>
                  <w:tcW w:w="1004"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0.0195</w:t>
                  </w:r>
                </w:p>
              </w:tc>
              <w:tc>
                <w:tcPr>
                  <w:tcW w:w="925"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90</w:t>
                  </w:r>
                </w:p>
              </w:tc>
              <w:tc>
                <w:tcPr>
                  <w:tcW w:w="930"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0.002</w:t>
                  </w:r>
                </w:p>
              </w:tc>
              <w:tc>
                <w:tcPr>
                  <w:tcW w:w="1047"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0.0005</w:t>
                  </w:r>
                </w:p>
              </w:tc>
              <w:tc>
                <w:tcPr>
                  <w:tcW w:w="1198"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noWrap w:val="0"/>
                  <w:vAlign w:val="center"/>
                </w:tcPr>
                <w:p>
                  <w:pPr>
                    <w:keepNext w:val="0"/>
                    <w:keepLines w:val="0"/>
                    <w:suppressLineNumbers w:val="0"/>
                    <w:spacing w:before="0" w:beforeAutospacing="0" w:after="0" w:afterAutospacing="0"/>
                    <w:ind w:left="0" w:right="0"/>
                    <w:jc w:val="center"/>
                    <w:rPr>
                      <w:rFonts w:hint="eastAsia" w:ascii="Times New Roman" w:eastAsia="宋体"/>
                      <w:color w:val="auto"/>
                      <w:lang w:val="en-US" w:eastAsia="zh-CN"/>
                    </w:rPr>
                  </w:pPr>
                  <w:r>
                    <w:rPr>
                      <w:rFonts w:hint="eastAsia" w:ascii="Times New Roman" w:eastAsia="宋体"/>
                      <w:color w:val="auto"/>
                      <w:lang w:val="en-US" w:eastAsia="zh-CN"/>
                    </w:rPr>
                    <w:t>无组织</w:t>
                  </w:r>
                </w:p>
              </w:tc>
              <w:tc>
                <w:tcPr>
                  <w:tcW w:w="1256"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挤压</w:t>
                  </w:r>
                </w:p>
              </w:tc>
              <w:tc>
                <w:tcPr>
                  <w:tcW w:w="843"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c>
                <w:tcPr>
                  <w:tcW w:w="1004"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0.1073</w:t>
                  </w:r>
                </w:p>
              </w:tc>
              <w:tc>
                <w:tcPr>
                  <w:tcW w:w="925"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90</w:t>
                  </w:r>
                </w:p>
              </w:tc>
              <w:tc>
                <w:tcPr>
                  <w:tcW w:w="930"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0.0107</w:t>
                  </w:r>
                </w:p>
              </w:tc>
              <w:tc>
                <w:tcPr>
                  <w:tcW w:w="1047"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0.0026</w:t>
                  </w:r>
                </w:p>
              </w:tc>
              <w:tc>
                <w:tcPr>
                  <w:tcW w:w="1198" w:type="dxa"/>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3"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Times New Roman" w:eastAsia="宋体"/>
                      <w:color w:val="auto"/>
                      <w:lang w:val="en-US" w:eastAsia="zh-CN"/>
                    </w:rPr>
                  </w:pPr>
                  <w:r>
                    <w:rPr>
                      <w:rFonts w:hint="eastAsia" w:ascii="Times New Roman" w:eastAsia="宋体"/>
                      <w:color w:val="auto"/>
                      <w:lang w:val="en-US" w:eastAsia="zh-CN"/>
                    </w:rPr>
                    <w:t>无组织</w:t>
                  </w:r>
                </w:p>
              </w:tc>
              <w:tc>
                <w:tcPr>
                  <w:tcW w:w="1256" w:type="dxa"/>
                  <w:tcBorders>
                    <w:bottom w:val="single" w:color="auto" w:sz="12" w:space="0"/>
                  </w:tcBorders>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筛分</w:t>
                  </w:r>
                </w:p>
              </w:tc>
              <w:tc>
                <w:tcPr>
                  <w:tcW w:w="843" w:type="dxa"/>
                  <w:tcBorders>
                    <w:bottom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颗粒物</w:t>
                  </w:r>
                </w:p>
              </w:tc>
              <w:tc>
                <w:tcPr>
                  <w:tcW w:w="1004" w:type="dxa"/>
                  <w:tcBorders>
                    <w:bottom w:val="single" w:color="auto" w:sz="12" w:space="0"/>
                  </w:tcBorders>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0.312</w:t>
                  </w:r>
                </w:p>
              </w:tc>
              <w:tc>
                <w:tcPr>
                  <w:tcW w:w="925" w:type="dxa"/>
                  <w:tcBorders>
                    <w:bottom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90</w:t>
                  </w:r>
                </w:p>
              </w:tc>
              <w:tc>
                <w:tcPr>
                  <w:tcW w:w="930" w:type="dxa"/>
                  <w:tcBorders>
                    <w:bottom w:val="single" w:color="auto" w:sz="12" w:space="0"/>
                  </w:tcBorders>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0.0312</w:t>
                  </w:r>
                </w:p>
              </w:tc>
              <w:tc>
                <w:tcPr>
                  <w:tcW w:w="1047" w:type="dxa"/>
                  <w:tcBorders>
                    <w:bottom w:val="single" w:color="auto" w:sz="12" w:space="0"/>
                  </w:tcBorders>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0.0075</w:t>
                  </w:r>
                </w:p>
              </w:tc>
              <w:tc>
                <w:tcPr>
                  <w:tcW w:w="1198" w:type="dxa"/>
                  <w:tcBorders>
                    <w:bottom w:val="single" w:color="auto" w:sz="12" w:space="0"/>
                  </w:tcBorders>
                  <w:noWrap w:val="0"/>
                  <w:vAlign w:val="center"/>
                </w:tcPr>
                <w:p>
                  <w:pPr>
                    <w:adjustRightInd w:val="0"/>
                    <w:snapToGrid w:val="0"/>
                    <w:jc w:val="center"/>
                    <w:rPr>
                      <w:rFonts w:hint="eastAsia" w:cs="Times New Roman"/>
                      <w:color w:val="auto"/>
                      <w:kern w:val="2"/>
                      <w:sz w:val="21"/>
                      <w:szCs w:val="24"/>
                      <w:lang w:val="en-US" w:eastAsia="zh-CN" w:bidi="ar-SA"/>
                    </w:rPr>
                  </w:pPr>
                  <w:r>
                    <w:rPr>
                      <w:rFonts w:hint="eastAsia"/>
                      <w:color w:val="auto"/>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color w:val="auto"/>
              </w:rPr>
            </w:pPr>
            <w:r>
              <w:rPr>
                <w:color w:val="auto"/>
              </w:rPr>
              <w:t>由上表可知，</w:t>
            </w:r>
            <w:r>
              <w:rPr>
                <w:rFonts w:hint="eastAsia"/>
                <w:color w:val="auto"/>
              </w:rPr>
              <w:t>投料</w:t>
            </w:r>
            <w:r>
              <w:rPr>
                <w:rFonts w:hint="eastAsia"/>
                <w:color w:val="auto"/>
                <w:lang w:eastAsia="zh-CN"/>
              </w:rPr>
              <w:t>、</w:t>
            </w:r>
            <w:r>
              <w:rPr>
                <w:rFonts w:hint="eastAsia"/>
                <w:color w:val="auto"/>
              </w:rPr>
              <w:t>搅拌</w:t>
            </w:r>
            <w:r>
              <w:rPr>
                <w:rFonts w:hint="eastAsia"/>
                <w:color w:val="auto"/>
                <w:lang w:eastAsia="zh-CN"/>
              </w:rPr>
              <w:t>、</w:t>
            </w:r>
            <w:r>
              <w:rPr>
                <w:rFonts w:hint="eastAsia"/>
                <w:color w:val="auto"/>
              </w:rPr>
              <w:t>挤压</w:t>
            </w:r>
            <w:r>
              <w:rPr>
                <w:rFonts w:hint="eastAsia"/>
                <w:color w:val="auto"/>
                <w:lang w:eastAsia="zh-CN"/>
              </w:rPr>
              <w:t>、</w:t>
            </w:r>
            <w:r>
              <w:rPr>
                <w:rFonts w:hint="eastAsia"/>
                <w:color w:val="auto"/>
              </w:rPr>
              <w:t>筛分</w:t>
            </w:r>
            <w:r>
              <w:rPr>
                <w:rFonts w:hint="eastAsia"/>
                <w:color w:val="auto"/>
                <w:lang w:val="en-US" w:eastAsia="zh-CN"/>
              </w:rPr>
              <w:t>工序废气共用一套除尘器处理后，采用一个排气筒排放，颗粒物</w:t>
            </w:r>
            <w:r>
              <w:rPr>
                <w:rFonts w:hint="eastAsia"/>
                <w:color w:val="auto"/>
              </w:rPr>
              <w:t>排放浓度均符合</w:t>
            </w:r>
            <w:r>
              <w:rPr>
                <w:rFonts w:hint="default"/>
                <w:color w:val="000000"/>
                <w:sz w:val="21"/>
                <w:szCs w:val="21"/>
              </w:rPr>
              <w:t>《大气污染物综合排放标准》（GB16297-1996）表2二级标准</w:t>
            </w:r>
            <w:r>
              <w:rPr>
                <w:rFonts w:hint="eastAsia"/>
                <w:szCs w:val="21"/>
              </w:rPr>
              <w:t>限值</w:t>
            </w:r>
            <w:r>
              <w:rPr>
                <w:rFonts w:hint="eastAsia"/>
                <w:szCs w:val="21"/>
                <w:lang w:eastAsia="zh-CN"/>
              </w:rPr>
              <w:t>有组织</w:t>
            </w:r>
            <w:r>
              <w:rPr>
                <w:rFonts w:hint="eastAsia"/>
                <w:szCs w:val="21"/>
                <w:lang w:val="en-US" w:eastAsia="zh-CN"/>
              </w:rPr>
              <w:t>120ng/m</w:t>
            </w:r>
            <w:r>
              <w:rPr>
                <w:rFonts w:hint="eastAsia"/>
                <w:szCs w:val="21"/>
                <w:vertAlign w:val="superscript"/>
                <w:lang w:val="en-US" w:eastAsia="zh-CN"/>
              </w:rPr>
              <w:t>3</w:t>
            </w:r>
            <w:r>
              <w:rPr>
                <w:rFonts w:hint="eastAsia"/>
                <w:color w:val="000000"/>
                <w:sz w:val="21"/>
                <w:szCs w:val="21"/>
                <w:vertAlign w:val="baseline"/>
                <w:lang w:eastAsia="zh-CN"/>
              </w:rPr>
              <w:t>（</w:t>
            </w:r>
            <w:r>
              <w:rPr>
                <w:rFonts w:hint="eastAsia"/>
                <w:color w:val="000000"/>
                <w:sz w:val="21"/>
                <w:szCs w:val="21"/>
                <w:vertAlign w:val="baseline"/>
                <w:lang w:val="en-US" w:eastAsia="zh-CN"/>
              </w:rPr>
              <w:t>排放速率3.5</w:t>
            </w:r>
            <w:r>
              <w:rPr>
                <w:rFonts w:hint="eastAsia"/>
                <w:color w:val="000000"/>
                <w:sz w:val="21"/>
                <w:szCs w:val="21"/>
                <w:vertAlign w:val="baseline"/>
              </w:rPr>
              <w:t>kg/h（</w:t>
            </w:r>
            <w:r>
              <w:rPr>
                <w:rFonts w:hint="eastAsia"/>
                <w:color w:val="000000"/>
                <w:sz w:val="21"/>
                <w:szCs w:val="21"/>
                <w:vertAlign w:val="baseline"/>
                <w:lang w:val="en-US" w:eastAsia="zh-CN"/>
              </w:rPr>
              <w:t>15</w:t>
            </w:r>
            <w:r>
              <w:rPr>
                <w:rFonts w:hint="eastAsia"/>
                <w:color w:val="000000"/>
                <w:sz w:val="21"/>
                <w:szCs w:val="21"/>
                <w:vertAlign w:val="baseline"/>
              </w:rPr>
              <w:t>m</w:t>
            </w:r>
            <w:r>
              <w:rPr>
                <w:rFonts w:hint="eastAsia"/>
                <w:color w:val="000000"/>
                <w:sz w:val="21"/>
                <w:szCs w:val="21"/>
                <w:vertAlign w:val="baseline"/>
                <w:lang w:val="en-US" w:eastAsia="zh-CN"/>
              </w:rPr>
              <w:t>高</w:t>
            </w:r>
            <w:r>
              <w:rPr>
                <w:rFonts w:hint="eastAsia"/>
                <w:color w:val="000000"/>
                <w:sz w:val="21"/>
                <w:szCs w:val="21"/>
                <w:vertAlign w:val="baseline"/>
                <w:lang w:eastAsia="zh-CN"/>
              </w:rPr>
              <w:t>排气筒</w:t>
            </w:r>
            <w:r>
              <w:rPr>
                <w:rFonts w:hint="eastAsia"/>
                <w:color w:val="000000"/>
                <w:sz w:val="21"/>
                <w:szCs w:val="21"/>
                <w:vertAlign w:val="baseline"/>
              </w:rPr>
              <w:t>）</w:t>
            </w:r>
            <w:r>
              <w:rPr>
                <w:rFonts w:hint="eastAsia"/>
                <w:color w:val="000000"/>
                <w:sz w:val="21"/>
                <w:szCs w:val="21"/>
                <w:vertAlign w:val="baseline"/>
                <w:lang w:eastAsia="zh-CN"/>
              </w:rPr>
              <w:t>）</w:t>
            </w:r>
            <w:r>
              <w:rPr>
                <w:rFonts w:hint="eastAsia"/>
                <w:szCs w:val="21"/>
                <w:lang w:eastAsia="zh-CN"/>
              </w:rPr>
              <w:t>；</w:t>
            </w:r>
            <w:r>
              <w:rPr>
                <w:rFonts w:hint="eastAsia"/>
                <w:szCs w:val="21"/>
                <w:lang w:val="en-US" w:eastAsia="zh-CN"/>
              </w:rPr>
              <w:t>同时满足</w:t>
            </w:r>
            <w:r>
              <w:rPr>
                <w:rFonts w:hint="eastAsia"/>
                <w:color w:val="000000"/>
                <w:sz w:val="21"/>
                <w:szCs w:val="21"/>
              </w:rPr>
              <w:t>《新乡市生态环境局关于进一步规范工业颗粒物排放限值的通知》其他所有涉气工业企业</w:t>
            </w:r>
            <w:r>
              <w:rPr>
                <w:rFonts w:hint="eastAsia"/>
                <w:szCs w:val="21"/>
                <w:lang w:eastAsia="zh-CN"/>
              </w:rPr>
              <w:t>有组织</w:t>
            </w:r>
            <w:r>
              <w:rPr>
                <w:rFonts w:hint="eastAsia"/>
                <w:szCs w:val="21"/>
                <w:lang w:val="en-US" w:eastAsia="zh-CN"/>
              </w:rPr>
              <w:t>10mg/m</w:t>
            </w:r>
            <w:r>
              <w:rPr>
                <w:rFonts w:hint="eastAsia"/>
                <w:szCs w:val="21"/>
                <w:vertAlign w:val="superscript"/>
                <w:lang w:val="en-US" w:eastAsia="zh-CN"/>
              </w:rPr>
              <w:t>3</w:t>
            </w:r>
            <w:r>
              <w:rPr>
                <w:rFonts w:hint="eastAsia"/>
                <w:color w:val="auto"/>
              </w:rPr>
              <w:t>。</w:t>
            </w:r>
          </w:p>
          <w:p>
            <w:pPr>
              <w:pStyle w:val="3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right="0" w:firstLine="420" w:firstLineChars="2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（2）废气排放口基本情况及监测要求</w:t>
            </w:r>
          </w:p>
          <w:p>
            <w:pPr>
              <w:pStyle w:val="3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right="0" w:firstLine="420" w:firstLineChars="2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①废气排放口基本情况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right="0" w:firstLine="420" w:firstLineChars="200"/>
              <w:jc w:val="both"/>
              <w:rPr>
                <w:rFonts w:hint="eastAsia" w:eastAsia="宋体"/>
                <w:b/>
                <w:bCs/>
                <w:color w:val="auto"/>
                <w:lang w:eastAsia="zh-CN"/>
              </w:rPr>
            </w:pPr>
            <w:r>
              <w:rPr>
                <w:rFonts w:hint="eastAsia" w:ascii="Times New Roman" w:hAnsi="Times New Roman" w:eastAsia="宋体" w:cs="Times New Roman"/>
                <w:color w:val="auto"/>
                <w:kern w:val="2"/>
                <w:sz w:val="21"/>
                <w:szCs w:val="24"/>
                <w:lang w:val="en-US" w:eastAsia="zh-CN" w:bidi="ar-SA"/>
              </w:rPr>
              <w:t>本项目废气排放口基本情况见下表：</w:t>
            </w:r>
          </w:p>
          <w:p>
            <w:pPr>
              <w:pStyle w:val="31"/>
              <w:keepLines w:val="0"/>
              <w:pageBreakBefore w:val="0"/>
              <w:kinsoku/>
              <w:wordWrap/>
              <w:overflowPunct/>
              <w:topLinePunct w:val="0"/>
              <w:autoSpaceDE/>
              <w:autoSpaceDN/>
              <w:bidi w:val="0"/>
              <w:spacing w:line="5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废气排放口基本情况</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09"/>
              <w:gridCol w:w="791"/>
              <w:gridCol w:w="2536"/>
              <w:gridCol w:w="939"/>
              <w:gridCol w:w="981"/>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809"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排放口名称</w:t>
                  </w:r>
                </w:p>
              </w:tc>
              <w:tc>
                <w:tcPr>
                  <w:tcW w:w="791" w:type="dxa"/>
                  <w:noWrap w:val="0"/>
                  <w:vAlign w:val="center"/>
                </w:tcPr>
                <w:p>
                  <w:pPr>
                    <w:keepNext w:val="0"/>
                    <w:keepLines w:val="0"/>
                    <w:suppressLineNumbers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排放口类型</w:t>
                  </w:r>
                </w:p>
              </w:tc>
              <w:tc>
                <w:tcPr>
                  <w:tcW w:w="2536"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排放口地理坐标</w:t>
                  </w:r>
                </w:p>
              </w:tc>
              <w:tc>
                <w:tcPr>
                  <w:tcW w:w="939"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排气筒高度（</w:t>
                  </w:r>
                  <w:r>
                    <w:rPr>
                      <w:rFonts w:hint="eastAsia" w:ascii="Times New Roman" w:eastAsia="宋体"/>
                      <w:b/>
                      <w:bCs/>
                      <w:color w:val="auto"/>
                      <w:lang w:val="en-US" w:eastAsia="zh-CN"/>
                    </w:rPr>
                    <w:t>m</w:t>
                  </w:r>
                  <w:r>
                    <w:rPr>
                      <w:rFonts w:hint="eastAsia" w:eastAsia="宋体"/>
                      <w:b/>
                      <w:bCs/>
                      <w:color w:val="auto"/>
                      <w:lang w:eastAsia="zh-CN"/>
                    </w:rPr>
                    <w:t>）</w:t>
                  </w:r>
                </w:p>
              </w:tc>
              <w:tc>
                <w:tcPr>
                  <w:tcW w:w="981"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排气筒内径（</w:t>
                  </w:r>
                  <w:r>
                    <w:rPr>
                      <w:rFonts w:hint="eastAsia" w:ascii="Times New Roman" w:eastAsia="宋体"/>
                      <w:b/>
                      <w:bCs/>
                      <w:color w:val="auto"/>
                      <w:lang w:val="en-US" w:eastAsia="zh-CN"/>
                    </w:rPr>
                    <w:t>m</w:t>
                  </w:r>
                  <w:r>
                    <w:rPr>
                      <w:rFonts w:hint="eastAsia" w:eastAsia="宋体"/>
                      <w:b/>
                      <w:bCs/>
                      <w:color w:val="auto"/>
                      <w:lang w:eastAsia="zh-CN"/>
                    </w:rPr>
                    <w:t>）</w:t>
                  </w:r>
                </w:p>
              </w:tc>
              <w:tc>
                <w:tcPr>
                  <w:tcW w:w="890" w:type="dxa"/>
                  <w:noWrap w:val="0"/>
                  <w:vAlign w:val="center"/>
                </w:tcPr>
                <w:p>
                  <w:pPr>
                    <w:keepNext w:val="0"/>
                    <w:keepLines w:val="0"/>
                    <w:suppressLineNumbers w:val="0"/>
                    <w:spacing w:before="0" w:beforeAutospacing="0" w:after="0" w:afterAutospacing="0"/>
                    <w:ind w:left="0" w:right="0"/>
                    <w:jc w:val="center"/>
                    <w:rPr>
                      <w:rFonts w:hint="eastAsia"/>
                      <w:b/>
                      <w:bCs/>
                      <w:color w:val="auto"/>
                      <w:lang w:eastAsia="zh-CN"/>
                    </w:rPr>
                  </w:pPr>
                  <w:r>
                    <w:rPr>
                      <w:rFonts w:hint="eastAsia" w:eastAsia="宋体"/>
                      <w:b/>
                      <w:bCs/>
                      <w:color w:val="auto"/>
                      <w:lang w:eastAsia="zh-CN"/>
                    </w:rPr>
                    <w:t>烟气出口温度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809"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P1排气筒</w:t>
                  </w:r>
                </w:p>
              </w:tc>
              <w:tc>
                <w:tcPr>
                  <w:tcW w:w="791"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一般排放口</w:t>
                  </w:r>
                </w:p>
              </w:tc>
              <w:tc>
                <w:tcPr>
                  <w:tcW w:w="2536" w:type="dxa"/>
                  <w:noWrap w:val="0"/>
                  <w:vAlign w:val="center"/>
                </w:tcPr>
                <w:p>
                  <w:pPr>
                    <w:keepNext w:val="0"/>
                    <w:keepLines w:val="0"/>
                    <w:suppressLineNumbers w:val="0"/>
                    <w:spacing w:before="0" w:beforeAutospacing="0" w:after="0" w:afterAutospacing="0"/>
                    <w:ind w:left="0" w:right="0"/>
                    <w:jc w:val="center"/>
                    <w:rPr>
                      <w:rFonts w:hint="default"/>
                      <w:color w:val="auto"/>
                      <w:highlight w:val="none"/>
                      <w:lang w:val="en-US" w:eastAsia="zh-CN"/>
                    </w:rPr>
                  </w:pPr>
                  <w:r>
                    <w:rPr>
                      <w:rFonts w:hint="eastAsia" w:eastAsia="宋体"/>
                      <w:color w:val="auto"/>
                      <w:highlight w:val="none"/>
                      <w:lang w:eastAsia="zh-CN"/>
                    </w:rPr>
                    <w:t>经度：</w:t>
                  </w:r>
                  <w:r>
                    <w:rPr>
                      <w:rFonts w:hint="eastAsia"/>
                      <w:color w:val="auto"/>
                      <w:highlight w:val="none"/>
                      <w:lang w:val="en-US" w:eastAsia="zh-CN"/>
                    </w:rPr>
                    <w:t>113.83308942</w:t>
                  </w:r>
                </w:p>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ascii="Times New Roman" w:eastAsia="宋体"/>
                      <w:color w:val="auto"/>
                      <w:highlight w:val="none"/>
                      <w:lang w:val="en-US" w:eastAsia="zh-CN"/>
                    </w:rPr>
                    <w:t>纬度：</w:t>
                  </w:r>
                  <w:r>
                    <w:rPr>
                      <w:rFonts w:hint="eastAsia"/>
                      <w:color w:val="auto"/>
                      <w:highlight w:val="none"/>
                      <w:lang w:val="en-US" w:eastAsia="zh-CN"/>
                    </w:rPr>
                    <w:t>35.17428396</w:t>
                  </w:r>
                </w:p>
              </w:tc>
              <w:tc>
                <w:tcPr>
                  <w:tcW w:w="939"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15</w:t>
                  </w:r>
                </w:p>
              </w:tc>
              <w:tc>
                <w:tcPr>
                  <w:tcW w:w="981"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0.4</w:t>
                  </w:r>
                </w:p>
              </w:tc>
              <w:tc>
                <w:tcPr>
                  <w:tcW w:w="890" w:type="dxa"/>
                  <w:noWrap w:val="0"/>
                  <w:vAlign w:val="center"/>
                </w:tcPr>
                <w:p>
                  <w:pPr>
                    <w:keepNext w:val="0"/>
                    <w:keepLines w:val="0"/>
                    <w:suppressLineNumbers w:val="0"/>
                    <w:spacing w:before="0" w:beforeAutospacing="0" w:after="0" w:afterAutospacing="0"/>
                    <w:ind w:left="0" w:right="0"/>
                    <w:jc w:val="center"/>
                    <w:rPr>
                      <w:rFonts w:hint="eastAsia"/>
                      <w:color w:val="auto"/>
                      <w:lang w:eastAsia="zh-CN"/>
                    </w:rPr>
                  </w:pPr>
                  <w:r>
                    <w:rPr>
                      <w:rFonts w:hint="eastAsia" w:eastAsia="宋体"/>
                      <w:color w:val="auto"/>
                      <w:lang w:eastAsia="zh-CN"/>
                    </w:rPr>
                    <w:t>常温</w:t>
                  </w:r>
                </w:p>
              </w:tc>
            </w:tr>
          </w:tbl>
          <w:p>
            <w:pPr>
              <w:keepNext w:val="0"/>
              <w:keepLines w:val="0"/>
              <w:suppressLineNumbers w:val="0"/>
              <w:spacing w:before="0" w:beforeAutospacing="0" w:after="0" w:afterAutospacing="0" w:line="520" w:lineRule="exact"/>
              <w:ind w:left="0" w:right="0" w:firstLine="420" w:firstLineChars="200"/>
              <w:jc w:val="both"/>
              <w:rPr>
                <w:rFonts w:hint="eastAsia"/>
                <w:b w:val="0"/>
                <w:bCs w:val="0"/>
                <w:color w:val="auto"/>
                <w:u w:val="none"/>
                <w:lang w:eastAsia="zh-CN"/>
              </w:rPr>
            </w:pPr>
            <w:r>
              <w:rPr>
                <w:rFonts w:hint="eastAsia"/>
                <w:b w:val="0"/>
                <w:bCs w:val="0"/>
                <w:color w:val="auto"/>
                <w:u w:val="none"/>
              </w:rPr>
              <w:t>②</w:t>
            </w:r>
            <w:r>
              <w:rPr>
                <w:rFonts w:hint="eastAsia" w:eastAsia="宋体"/>
                <w:b w:val="0"/>
                <w:bCs w:val="0"/>
                <w:color w:val="auto"/>
                <w:u w:val="none"/>
                <w:lang w:eastAsia="zh-CN"/>
              </w:rPr>
              <w:t>监测要求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b w:val="0"/>
                <w:bCs w:val="0"/>
                <w:color w:val="auto"/>
                <w:u w:val="none"/>
              </w:rPr>
            </w:pPr>
            <w:r>
              <w:rPr>
                <w:rFonts w:hint="eastAsia"/>
                <w:b w:val="0"/>
                <w:bCs w:val="0"/>
                <w:color w:val="auto"/>
                <w:u w:val="none"/>
              </w:rPr>
              <w:t>根据本项目特点，项目运营期需要进行污染源监测和环境质量</w:t>
            </w:r>
            <w:r>
              <w:rPr>
                <w:rFonts w:hint="eastAsia" w:ascii="Times New Roman" w:hAnsi="Times New Roman" w:eastAsia="宋体" w:cs="Times New Roman"/>
                <w:b w:val="0"/>
                <w:bCs w:val="0"/>
                <w:color w:val="auto"/>
                <w:u w:val="none"/>
              </w:rPr>
              <w:t>监测，</w:t>
            </w:r>
            <w:r>
              <w:rPr>
                <w:rFonts w:hint="eastAsia" w:cs="Times New Roman"/>
                <w:b w:val="0"/>
                <w:bCs w:val="0"/>
                <w:color w:val="auto"/>
                <w:u w:val="none"/>
                <w:lang w:val="en-US" w:eastAsia="zh-CN"/>
              </w:rPr>
              <w:t>参考</w:t>
            </w:r>
            <w:r>
              <w:rPr>
                <w:rFonts w:hint="default" w:ascii="Times New Roman" w:hAnsi="Times New Roman" w:eastAsia="宋体" w:cs="Times New Roman"/>
                <w:color w:val="auto"/>
                <w:lang w:val="en-US" w:eastAsia="zh-CN"/>
              </w:rPr>
              <w:t>《排污许可证申请与核发技术规范 废弃资源加工工业</w:t>
            </w:r>
            <w:r>
              <w:rPr>
                <w:rFonts w:hint="eastAsia" w:ascii="Times New Roman" w:hAnsi="Times New Roman" w:eastAsia="宋体" w:cs="Times New Roman"/>
                <w:color w:val="auto"/>
                <w:lang w:val="en-US" w:eastAsia="zh-CN"/>
              </w:rPr>
              <w:t>》</w:t>
            </w:r>
            <w:r>
              <w:rPr>
                <w:rFonts w:hint="eastAsia" w:cs="Times New Roman"/>
                <w:color w:val="auto"/>
                <w:lang w:val="en-US" w:eastAsia="zh-CN"/>
              </w:rPr>
              <w:t>（</w:t>
            </w:r>
            <w:r>
              <w:rPr>
                <w:rFonts w:hint="eastAsia" w:ascii="Times New Roman" w:hAnsi="Times New Roman" w:eastAsia="宋体" w:cs="Times New Roman"/>
                <w:color w:val="auto"/>
                <w:lang w:val="en-US" w:eastAsia="zh-CN"/>
              </w:rPr>
              <w:t>HJ 1034—2019</w:t>
            </w:r>
            <w:r>
              <w:rPr>
                <w:rFonts w:hint="eastAsia" w:cs="Times New Roman"/>
                <w:color w:val="auto"/>
                <w:lang w:val="en-US" w:eastAsia="zh-CN"/>
              </w:rPr>
              <w:t>）</w:t>
            </w:r>
            <w:r>
              <w:rPr>
                <w:rFonts w:hint="eastAsia" w:ascii="Times New Roman" w:hAnsi="Times New Roman" w:eastAsia="宋体" w:cs="Times New Roman"/>
                <w:b w:val="0"/>
                <w:bCs w:val="0"/>
                <w:color w:val="auto"/>
                <w:u w:val="none"/>
                <w:lang w:val="en-US" w:eastAsia="zh-CN"/>
              </w:rPr>
              <w:t>》</w:t>
            </w:r>
            <w:r>
              <w:rPr>
                <w:rFonts w:hint="eastAsia" w:ascii="Times New Roman" w:hAnsi="Times New Roman" w:eastAsia="宋体" w:cs="Times New Roman"/>
                <w:b w:val="0"/>
                <w:bCs w:val="0"/>
                <w:color w:val="auto"/>
                <w:u w:val="none"/>
              </w:rPr>
              <w:t>，则具体监测计划见</w:t>
            </w:r>
            <w:r>
              <w:rPr>
                <w:rFonts w:hint="eastAsia"/>
                <w:b w:val="0"/>
                <w:bCs w:val="0"/>
                <w:color w:val="auto"/>
                <w:u w:val="none"/>
              </w:rPr>
              <w:t>下表：</w:t>
            </w:r>
          </w:p>
          <w:p>
            <w:pPr>
              <w:pStyle w:val="31"/>
              <w:keepLines w:val="0"/>
              <w:pageBreakBefore w:val="0"/>
              <w:kinsoku/>
              <w:wordWrap/>
              <w:overflowPunct/>
              <w:topLinePunct w:val="0"/>
              <w:autoSpaceDE/>
              <w:autoSpaceDN/>
              <w:bidi w:val="0"/>
              <w:spacing w:line="5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废气监测内容及频次一览表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511"/>
              <w:gridCol w:w="1764"/>
              <w:gridCol w:w="1910"/>
              <w:gridCol w:w="2761"/>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11" w:type="dxa"/>
                  <w:noWrap w:val="0"/>
                  <w:vAlign w:val="center"/>
                </w:tcPr>
                <w:p>
                  <w:pPr>
                    <w:keepNext w:val="0"/>
                    <w:keepLines w:val="0"/>
                    <w:suppressLineNumbers w:val="0"/>
                    <w:spacing w:before="0" w:beforeAutospacing="0" w:after="0" w:afterAutospacing="0"/>
                    <w:ind w:left="0" w:right="0"/>
                    <w:jc w:val="center"/>
                    <w:rPr>
                      <w:rFonts w:hint="eastAsia"/>
                      <w:b/>
                      <w:bCs/>
                      <w:color w:val="auto"/>
                      <w:u w:val="none"/>
                    </w:rPr>
                  </w:pPr>
                  <w:r>
                    <w:rPr>
                      <w:rFonts w:hint="eastAsia" w:eastAsia="宋体"/>
                      <w:b/>
                      <w:bCs/>
                      <w:color w:val="auto"/>
                      <w:u w:val="none"/>
                      <w:lang w:eastAsia="zh-CN"/>
                    </w:rPr>
                    <w:t>监测</w:t>
                  </w:r>
                  <w:r>
                    <w:rPr>
                      <w:rFonts w:hint="eastAsia"/>
                      <w:b/>
                      <w:bCs/>
                      <w:color w:val="auto"/>
                      <w:u w:val="none"/>
                    </w:rPr>
                    <w:t>类别</w:t>
                  </w:r>
                </w:p>
              </w:tc>
              <w:tc>
                <w:tcPr>
                  <w:tcW w:w="1764" w:type="dxa"/>
                  <w:noWrap w:val="0"/>
                  <w:vAlign w:val="center"/>
                </w:tcPr>
                <w:p>
                  <w:pPr>
                    <w:keepNext w:val="0"/>
                    <w:keepLines w:val="0"/>
                    <w:suppressLineNumbers w:val="0"/>
                    <w:spacing w:before="0" w:beforeAutospacing="0" w:after="0" w:afterAutospacing="0"/>
                    <w:ind w:left="0" w:right="0"/>
                    <w:jc w:val="center"/>
                    <w:rPr>
                      <w:rFonts w:hint="eastAsia"/>
                      <w:b/>
                      <w:bCs/>
                      <w:color w:val="auto"/>
                      <w:u w:val="none"/>
                    </w:rPr>
                  </w:pPr>
                  <w:r>
                    <w:rPr>
                      <w:rFonts w:hint="eastAsia"/>
                      <w:b/>
                      <w:bCs/>
                      <w:color w:val="auto"/>
                      <w:u w:val="none"/>
                    </w:rPr>
                    <w:t>监测点位</w:t>
                  </w:r>
                </w:p>
              </w:tc>
              <w:tc>
                <w:tcPr>
                  <w:tcW w:w="1910" w:type="dxa"/>
                  <w:noWrap w:val="0"/>
                  <w:vAlign w:val="center"/>
                </w:tcPr>
                <w:p>
                  <w:pPr>
                    <w:keepNext w:val="0"/>
                    <w:keepLines w:val="0"/>
                    <w:suppressLineNumbers w:val="0"/>
                    <w:spacing w:before="0" w:beforeAutospacing="0" w:after="0" w:afterAutospacing="0"/>
                    <w:ind w:left="0" w:right="0"/>
                    <w:jc w:val="center"/>
                    <w:rPr>
                      <w:rFonts w:hint="eastAsia"/>
                      <w:b/>
                      <w:bCs/>
                      <w:color w:val="auto"/>
                      <w:u w:val="none"/>
                    </w:rPr>
                  </w:pPr>
                  <w:r>
                    <w:rPr>
                      <w:rFonts w:hint="eastAsia"/>
                      <w:b/>
                      <w:bCs/>
                      <w:color w:val="auto"/>
                      <w:u w:val="none"/>
                    </w:rPr>
                    <w:t>监测因子</w:t>
                  </w:r>
                </w:p>
              </w:tc>
              <w:tc>
                <w:tcPr>
                  <w:tcW w:w="2761" w:type="dxa"/>
                  <w:noWrap w:val="0"/>
                  <w:vAlign w:val="center"/>
                </w:tcPr>
                <w:p>
                  <w:pPr>
                    <w:keepNext w:val="0"/>
                    <w:keepLines w:val="0"/>
                    <w:suppressLineNumbers w:val="0"/>
                    <w:spacing w:before="0" w:beforeAutospacing="0" w:after="0" w:afterAutospacing="0"/>
                    <w:ind w:left="0" w:right="0"/>
                    <w:jc w:val="center"/>
                    <w:rPr>
                      <w:rFonts w:hint="eastAsia"/>
                      <w:b/>
                      <w:bCs/>
                      <w:color w:val="auto"/>
                      <w:u w:val="none"/>
                    </w:rPr>
                  </w:pPr>
                  <w:r>
                    <w:rPr>
                      <w:rFonts w:hint="eastAsia"/>
                      <w:b/>
                      <w:bCs/>
                      <w:color w:val="auto"/>
                      <w:u w:val="none"/>
                    </w:rPr>
                    <w:t>监测频次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11" w:type="dxa"/>
                  <w:noWrap w:val="0"/>
                  <w:vAlign w:val="center"/>
                </w:tcPr>
                <w:p>
                  <w:pPr>
                    <w:keepNext w:val="0"/>
                    <w:keepLines w:val="0"/>
                    <w:suppressLineNumbers w:val="0"/>
                    <w:spacing w:before="0" w:beforeAutospacing="0" w:after="0" w:afterAutospacing="0"/>
                    <w:ind w:left="0" w:right="0"/>
                    <w:jc w:val="center"/>
                    <w:rPr>
                      <w:rFonts w:hint="eastAsia"/>
                      <w:b w:val="0"/>
                      <w:bCs w:val="0"/>
                      <w:color w:val="auto"/>
                      <w:u w:val="none"/>
                    </w:rPr>
                  </w:pPr>
                  <w:r>
                    <w:rPr>
                      <w:rFonts w:hint="eastAsia" w:eastAsia="宋体"/>
                      <w:b w:val="0"/>
                      <w:bCs w:val="0"/>
                      <w:color w:val="auto"/>
                      <w:u w:val="none"/>
                      <w:lang w:eastAsia="zh-CN"/>
                    </w:rPr>
                    <w:t>有组织</w:t>
                  </w:r>
                  <w:r>
                    <w:rPr>
                      <w:rFonts w:hint="eastAsia"/>
                      <w:b w:val="0"/>
                      <w:bCs w:val="0"/>
                      <w:color w:val="auto"/>
                      <w:u w:val="none"/>
                    </w:rPr>
                    <w:t>废气</w:t>
                  </w:r>
                </w:p>
              </w:tc>
              <w:tc>
                <w:tcPr>
                  <w:tcW w:w="1764" w:type="dxa"/>
                  <w:noWrap w:val="0"/>
                  <w:vAlign w:val="center"/>
                </w:tcPr>
                <w:p>
                  <w:pPr>
                    <w:keepNext w:val="0"/>
                    <w:keepLines w:val="0"/>
                    <w:suppressLineNumbers w:val="0"/>
                    <w:spacing w:before="0" w:beforeAutospacing="0" w:after="0" w:afterAutospacing="0"/>
                    <w:ind w:left="0" w:right="0"/>
                    <w:jc w:val="center"/>
                    <w:rPr>
                      <w:rFonts w:hint="default"/>
                      <w:b w:val="0"/>
                      <w:bCs w:val="0"/>
                      <w:color w:val="auto"/>
                      <w:u w:val="none"/>
                      <w:lang w:val="en-US" w:eastAsia="zh-CN"/>
                    </w:rPr>
                  </w:pPr>
                  <w:r>
                    <w:rPr>
                      <w:rFonts w:hint="eastAsia"/>
                      <w:b w:val="0"/>
                      <w:bCs w:val="0"/>
                      <w:color w:val="auto"/>
                      <w:u w:val="none"/>
                      <w:lang w:val="en-US" w:eastAsia="zh-CN"/>
                    </w:rPr>
                    <w:t>P1排气筒</w:t>
                  </w:r>
                </w:p>
              </w:tc>
              <w:tc>
                <w:tcPr>
                  <w:tcW w:w="1910" w:type="dxa"/>
                  <w:noWrap w:val="0"/>
                  <w:vAlign w:val="center"/>
                </w:tcPr>
                <w:p>
                  <w:pPr>
                    <w:keepNext w:val="0"/>
                    <w:keepLines w:val="0"/>
                    <w:suppressLineNumbers w:val="0"/>
                    <w:spacing w:before="0" w:beforeAutospacing="0" w:after="0" w:afterAutospacing="0"/>
                    <w:ind w:left="0" w:right="0"/>
                    <w:jc w:val="center"/>
                    <w:rPr>
                      <w:rFonts w:hint="default" w:eastAsia="宋体"/>
                      <w:b w:val="0"/>
                      <w:bCs w:val="0"/>
                      <w:color w:val="auto"/>
                      <w:u w:val="none"/>
                      <w:lang w:val="en-US" w:eastAsia="zh-CN"/>
                    </w:rPr>
                  </w:pPr>
                  <w:r>
                    <w:rPr>
                      <w:rFonts w:hint="eastAsia"/>
                      <w:b w:val="0"/>
                      <w:bCs w:val="0"/>
                      <w:color w:val="auto"/>
                      <w:u w:val="none"/>
                      <w:lang w:val="en-US" w:eastAsia="zh-CN"/>
                    </w:rPr>
                    <w:t>颗粒物</w:t>
                  </w:r>
                </w:p>
              </w:tc>
              <w:tc>
                <w:tcPr>
                  <w:tcW w:w="2761" w:type="dxa"/>
                  <w:noWrap w:val="0"/>
                  <w:vAlign w:val="center"/>
                </w:tcPr>
                <w:p>
                  <w:pPr>
                    <w:keepNext w:val="0"/>
                    <w:keepLines w:val="0"/>
                    <w:suppressLineNumbers w:val="0"/>
                    <w:tabs>
                      <w:tab w:val="left" w:pos="927"/>
                      <w:tab w:val="center" w:pos="1607"/>
                    </w:tabs>
                    <w:spacing w:before="0" w:beforeAutospacing="0" w:after="0" w:afterAutospacing="0"/>
                    <w:ind w:left="0" w:right="0"/>
                    <w:jc w:val="center"/>
                    <w:rPr>
                      <w:rFonts w:hint="eastAsia"/>
                      <w:b w:val="0"/>
                      <w:bCs w:val="0"/>
                      <w:color w:val="auto"/>
                      <w:u w:val="none"/>
                    </w:rPr>
                  </w:pPr>
                  <w:r>
                    <w:rPr>
                      <w:rFonts w:hint="eastAsia" w:ascii="Times New Roman" w:eastAsia="宋体"/>
                      <w:b w:val="0"/>
                      <w:bCs w:val="0"/>
                      <w:color w:val="auto"/>
                      <w:u w:val="none"/>
                      <w:lang w:val="en-US" w:eastAsia="zh-CN"/>
                    </w:rPr>
                    <w:t>每</w:t>
                  </w:r>
                  <w:r>
                    <w:rPr>
                      <w:rFonts w:hint="eastAsia"/>
                      <w:b w:val="0"/>
                      <w:bCs w:val="0"/>
                      <w:color w:val="auto"/>
                      <w:u w:val="none"/>
                    </w:rPr>
                    <w:t>年1次，每次2天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11" w:type="dxa"/>
                  <w:noWrap w:val="0"/>
                  <w:vAlign w:val="center"/>
                </w:tcPr>
                <w:p>
                  <w:pPr>
                    <w:keepNext w:val="0"/>
                    <w:keepLines w:val="0"/>
                    <w:suppressLineNumbers w:val="0"/>
                    <w:spacing w:before="0" w:beforeAutospacing="0" w:after="0" w:afterAutospacing="0"/>
                    <w:ind w:left="0" w:right="0"/>
                    <w:jc w:val="center"/>
                    <w:rPr>
                      <w:rFonts w:hint="eastAsia"/>
                      <w:b w:val="0"/>
                      <w:bCs w:val="0"/>
                      <w:color w:val="auto"/>
                      <w:u w:val="none"/>
                      <w:lang w:eastAsia="zh-CN"/>
                    </w:rPr>
                  </w:pPr>
                  <w:r>
                    <w:rPr>
                      <w:rFonts w:hint="eastAsia" w:eastAsia="宋体"/>
                      <w:b w:val="0"/>
                      <w:bCs w:val="0"/>
                      <w:color w:val="auto"/>
                      <w:u w:val="none"/>
                      <w:lang w:eastAsia="zh-CN"/>
                    </w:rPr>
                    <w:t>无组织废气</w:t>
                  </w:r>
                </w:p>
              </w:tc>
              <w:tc>
                <w:tcPr>
                  <w:tcW w:w="1764" w:type="dxa"/>
                  <w:noWrap w:val="0"/>
                  <w:vAlign w:val="center"/>
                </w:tcPr>
                <w:p>
                  <w:pPr>
                    <w:keepNext w:val="0"/>
                    <w:keepLines w:val="0"/>
                    <w:suppressLineNumbers w:val="0"/>
                    <w:spacing w:before="0" w:beforeAutospacing="0" w:after="0" w:afterAutospacing="0"/>
                    <w:ind w:left="0" w:right="0"/>
                    <w:jc w:val="center"/>
                    <w:rPr>
                      <w:rFonts w:hint="eastAsia"/>
                      <w:b w:val="0"/>
                      <w:bCs w:val="0"/>
                      <w:color w:val="auto"/>
                      <w:u w:val="none"/>
                      <w:lang w:val="en-US" w:eastAsia="zh-CN"/>
                    </w:rPr>
                  </w:pPr>
                  <w:r>
                    <w:rPr>
                      <w:rFonts w:hint="eastAsia" w:ascii="Times New Roman" w:eastAsia="宋体"/>
                      <w:b w:val="0"/>
                      <w:bCs w:val="0"/>
                      <w:color w:val="auto"/>
                      <w:u w:val="none"/>
                      <w:lang w:val="en-US" w:eastAsia="zh-CN"/>
                    </w:rPr>
                    <w:t>上风向一个点，下风向三个点</w:t>
                  </w:r>
                </w:p>
              </w:tc>
              <w:tc>
                <w:tcPr>
                  <w:tcW w:w="1910" w:type="dxa"/>
                  <w:noWrap w:val="0"/>
                  <w:vAlign w:val="center"/>
                </w:tcPr>
                <w:p>
                  <w:pPr>
                    <w:keepNext w:val="0"/>
                    <w:keepLines w:val="0"/>
                    <w:suppressLineNumbers w:val="0"/>
                    <w:spacing w:before="0" w:beforeAutospacing="0" w:after="0" w:afterAutospacing="0"/>
                    <w:ind w:left="0" w:right="0"/>
                    <w:jc w:val="center"/>
                    <w:rPr>
                      <w:rFonts w:hint="eastAsia"/>
                      <w:b w:val="0"/>
                      <w:bCs w:val="0"/>
                      <w:color w:val="auto"/>
                      <w:u w:val="none"/>
                      <w:lang w:eastAsia="zh-CN"/>
                    </w:rPr>
                  </w:pPr>
                  <w:r>
                    <w:rPr>
                      <w:rFonts w:hint="eastAsia"/>
                      <w:b w:val="0"/>
                      <w:bCs w:val="0"/>
                      <w:color w:val="auto"/>
                      <w:u w:val="none"/>
                      <w:lang w:val="en-US" w:eastAsia="zh-CN"/>
                    </w:rPr>
                    <w:t>颗粒物</w:t>
                  </w:r>
                </w:p>
              </w:tc>
              <w:tc>
                <w:tcPr>
                  <w:tcW w:w="2761" w:type="dxa"/>
                  <w:noWrap w:val="0"/>
                  <w:vAlign w:val="center"/>
                </w:tcPr>
                <w:p>
                  <w:pPr>
                    <w:keepNext w:val="0"/>
                    <w:keepLines w:val="0"/>
                    <w:suppressLineNumbers w:val="0"/>
                    <w:tabs>
                      <w:tab w:val="left" w:pos="927"/>
                      <w:tab w:val="center" w:pos="1607"/>
                    </w:tabs>
                    <w:spacing w:before="0" w:beforeAutospacing="0" w:after="0" w:afterAutospacing="0"/>
                    <w:ind w:left="0" w:right="0"/>
                    <w:jc w:val="center"/>
                    <w:rPr>
                      <w:rFonts w:hint="eastAsia"/>
                      <w:b w:val="0"/>
                      <w:bCs w:val="0"/>
                      <w:color w:val="auto"/>
                      <w:u w:val="none"/>
                      <w:lang w:val="en-US" w:eastAsia="zh-CN"/>
                    </w:rPr>
                  </w:pPr>
                  <w:r>
                    <w:rPr>
                      <w:rFonts w:hint="eastAsia" w:ascii="Times New Roman" w:eastAsia="宋体"/>
                      <w:b w:val="0"/>
                      <w:bCs w:val="0"/>
                      <w:color w:val="auto"/>
                      <w:u w:val="none"/>
                      <w:lang w:val="en-US" w:eastAsia="zh-CN"/>
                    </w:rPr>
                    <w:t>每</w:t>
                  </w:r>
                  <w:r>
                    <w:rPr>
                      <w:rFonts w:hint="eastAsia"/>
                      <w:b w:val="0"/>
                      <w:bCs w:val="0"/>
                      <w:color w:val="auto"/>
                      <w:u w:val="none"/>
                      <w:lang w:val="en-US" w:eastAsia="zh-CN"/>
                    </w:rPr>
                    <w:t>年</w:t>
                  </w:r>
                  <w:r>
                    <w:rPr>
                      <w:rFonts w:hint="eastAsia" w:ascii="Times New Roman" w:eastAsia="宋体"/>
                      <w:b w:val="0"/>
                      <w:bCs w:val="0"/>
                      <w:color w:val="auto"/>
                      <w:u w:val="none"/>
                      <w:lang w:val="en-US" w:eastAsia="zh-CN"/>
                    </w:rPr>
                    <w:t>1次</w:t>
                  </w:r>
                  <w:r>
                    <w:rPr>
                      <w:rFonts w:hint="eastAsia"/>
                      <w:b w:val="0"/>
                      <w:bCs w:val="0"/>
                      <w:color w:val="auto"/>
                      <w:u w:val="none"/>
                    </w:rPr>
                    <w:t>，每次2天</w:t>
                  </w:r>
                </w:p>
              </w:tc>
            </w:tr>
          </w:tbl>
          <w:p>
            <w:pPr>
              <w:pStyle w:val="26"/>
              <w:keepNext w:val="0"/>
              <w:keepLines w:val="0"/>
              <w:suppressLineNumbers w:val="0"/>
              <w:spacing w:before="0" w:beforeAutospacing="0" w:after="0" w:afterAutospacing="0" w:line="520" w:lineRule="exact"/>
              <w:ind w:left="0" w:right="0" w:firstLine="420" w:firstLineChars="2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③废气排放量核算</w:t>
            </w:r>
          </w:p>
          <w:p>
            <w:pPr>
              <w:pStyle w:val="26"/>
              <w:keepNext w:val="0"/>
              <w:keepLines w:val="0"/>
              <w:suppressLineNumbers w:val="0"/>
              <w:spacing w:before="0" w:beforeAutospacing="0" w:after="0" w:afterAutospacing="0" w:line="520" w:lineRule="exact"/>
              <w:ind w:left="0" w:right="0" w:firstLine="420" w:firstLineChars="2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大气污染物年排放量见下表。</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大气污染物年排放量一览表 </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590"/>
              <w:gridCol w:w="1725"/>
              <w:gridCol w:w="2284"/>
              <w:gridCol w:w="2347"/>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90" w:type="dxa"/>
                  <w:noWrap w:val="0"/>
                  <w:vAlign w:val="center"/>
                </w:tcPr>
                <w:p>
                  <w:pPr>
                    <w:keepNext w:val="0"/>
                    <w:keepLines w:val="0"/>
                    <w:suppressLineNumbers w:val="0"/>
                    <w:spacing w:before="0" w:beforeAutospacing="0" w:after="0" w:afterAutospacing="0"/>
                    <w:ind w:left="0" w:right="0"/>
                    <w:jc w:val="center"/>
                    <w:rPr>
                      <w:rFonts w:hint="eastAsia"/>
                      <w:b/>
                      <w:bCs/>
                      <w:color w:val="auto"/>
                    </w:rPr>
                  </w:pPr>
                  <w:r>
                    <w:rPr>
                      <w:rFonts w:hint="eastAsia" w:ascii="Times New Roman" w:eastAsia="宋体"/>
                      <w:b/>
                      <w:bCs/>
                      <w:color w:val="auto"/>
                      <w:lang w:val="en-US" w:eastAsia="zh-CN"/>
                    </w:rPr>
                    <w:t>废气</w:t>
                  </w:r>
                  <w:r>
                    <w:rPr>
                      <w:rFonts w:hint="eastAsia"/>
                      <w:b/>
                      <w:bCs/>
                      <w:color w:val="auto"/>
                    </w:rPr>
                    <w:t>类别</w:t>
                  </w:r>
                </w:p>
              </w:tc>
              <w:tc>
                <w:tcPr>
                  <w:tcW w:w="1725" w:type="dxa"/>
                  <w:noWrap w:val="0"/>
                  <w:vAlign w:val="center"/>
                </w:tcPr>
                <w:p>
                  <w:pPr>
                    <w:keepNext w:val="0"/>
                    <w:keepLines w:val="0"/>
                    <w:suppressLineNumbers w:val="0"/>
                    <w:spacing w:before="0" w:beforeAutospacing="0" w:after="0" w:afterAutospacing="0"/>
                    <w:ind w:left="0" w:right="0"/>
                    <w:jc w:val="center"/>
                    <w:rPr>
                      <w:rFonts w:hint="eastAsia"/>
                      <w:b/>
                      <w:bCs/>
                      <w:color w:val="auto"/>
                      <w:lang w:val="en-US" w:eastAsia="zh-CN"/>
                    </w:rPr>
                  </w:pPr>
                  <w:r>
                    <w:rPr>
                      <w:rFonts w:hint="eastAsia" w:ascii="Times New Roman" w:eastAsia="宋体"/>
                      <w:b/>
                      <w:bCs/>
                      <w:color w:val="auto"/>
                      <w:lang w:val="en-US" w:eastAsia="zh-CN"/>
                    </w:rPr>
                    <w:t>产污工序</w:t>
                  </w:r>
                </w:p>
              </w:tc>
              <w:tc>
                <w:tcPr>
                  <w:tcW w:w="2284" w:type="dxa"/>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eastAsia" w:ascii="Times New Roman" w:eastAsia="宋体"/>
                      <w:b/>
                      <w:bCs/>
                      <w:color w:val="auto"/>
                      <w:lang w:val="en-US" w:eastAsia="zh-CN"/>
                    </w:rPr>
                    <w:t>污染因子</w:t>
                  </w:r>
                </w:p>
              </w:tc>
              <w:tc>
                <w:tcPr>
                  <w:tcW w:w="2347" w:type="dxa"/>
                  <w:noWrap w:val="0"/>
                  <w:vAlign w:val="center"/>
                </w:tcPr>
                <w:p>
                  <w:pPr>
                    <w:keepNext w:val="0"/>
                    <w:keepLines w:val="0"/>
                    <w:suppressLineNumbers w:val="0"/>
                    <w:spacing w:before="0" w:beforeAutospacing="0" w:after="0" w:afterAutospacing="0"/>
                    <w:ind w:left="0" w:right="0"/>
                    <w:jc w:val="center"/>
                    <w:rPr>
                      <w:rFonts w:hint="eastAsia"/>
                      <w:b/>
                      <w:bCs/>
                      <w:color w:val="auto"/>
                      <w:lang w:val="en-US" w:eastAsia="zh-CN"/>
                    </w:rPr>
                  </w:pPr>
                  <w:r>
                    <w:rPr>
                      <w:rFonts w:hint="eastAsia" w:ascii="Times New Roman" w:eastAsia="宋体"/>
                      <w:b/>
                      <w:bCs/>
                      <w:color w:val="auto"/>
                      <w:lang w:val="en-US" w:eastAsia="zh-CN"/>
                    </w:rPr>
                    <w:t>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90" w:type="dxa"/>
                  <w:noWrap w:val="0"/>
                  <w:vAlign w:val="center"/>
                </w:tcPr>
                <w:p>
                  <w:pPr>
                    <w:keepNext w:val="0"/>
                    <w:keepLines w:val="0"/>
                    <w:suppressLineNumbers w:val="0"/>
                    <w:spacing w:before="0" w:beforeAutospacing="0" w:after="0" w:afterAutospacing="0"/>
                    <w:ind w:left="0" w:right="0"/>
                    <w:jc w:val="center"/>
                    <w:rPr>
                      <w:rFonts w:hint="eastAsia"/>
                      <w:color w:val="auto"/>
                      <w:lang w:eastAsia="zh-CN"/>
                    </w:rPr>
                  </w:pPr>
                  <w:r>
                    <w:rPr>
                      <w:rFonts w:hint="eastAsia" w:eastAsia="宋体"/>
                      <w:color w:val="auto"/>
                      <w:lang w:eastAsia="zh-CN"/>
                    </w:rPr>
                    <w:t>有组织</w:t>
                  </w:r>
                </w:p>
              </w:tc>
              <w:tc>
                <w:tcPr>
                  <w:tcW w:w="1725"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投料、搅拌、挤压、筛分</w:t>
                  </w:r>
                </w:p>
              </w:tc>
              <w:tc>
                <w:tcPr>
                  <w:tcW w:w="2284"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颗粒物</w:t>
                  </w:r>
                </w:p>
              </w:tc>
              <w:tc>
                <w:tcPr>
                  <w:tcW w:w="2347"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0.0404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90" w:type="dxa"/>
                  <w:noWrap w:val="0"/>
                  <w:vAlign w:val="center"/>
                </w:tcPr>
                <w:p>
                  <w:pPr>
                    <w:keepNext w:val="0"/>
                    <w:keepLines w:val="0"/>
                    <w:suppressLineNumbers w:val="0"/>
                    <w:spacing w:before="0" w:beforeAutospacing="0" w:after="0" w:afterAutospacing="0"/>
                    <w:ind w:left="0" w:right="0"/>
                    <w:jc w:val="center"/>
                    <w:rPr>
                      <w:rFonts w:hint="eastAsia"/>
                      <w:color w:val="auto"/>
                      <w:lang w:eastAsia="zh-CN"/>
                    </w:rPr>
                  </w:pPr>
                  <w:r>
                    <w:rPr>
                      <w:rFonts w:hint="eastAsia" w:eastAsia="宋体"/>
                      <w:color w:val="auto"/>
                      <w:lang w:eastAsia="zh-CN"/>
                    </w:rPr>
                    <w:t>无组织</w:t>
                  </w:r>
                </w:p>
              </w:tc>
              <w:tc>
                <w:tcPr>
                  <w:tcW w:w="1725" w:type="dxa"/>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投料、搅拌、挤压、筛分</w:t>
                  </w:r>
                </w:p>
              </w:tc>
              <w:tc>
                <w:tcPr>
                  <w:tcW w:w="2284" w:type="dxa"/>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颗粒物</w:t>
                  </w:r>
                </w:p>
              </w:tc>
              <w:tc>
                <w:tcPr>
                  <w:tcW w:w="2347"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0.0449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3315" w:type="dxa"/>
                  <w:gridSpan w:val="2"/>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ascii="Times New Roman" w:eastAsia="宋体"/>
                      <w:color w:val="auto"/>
                      <w:lang w:val="en-US" w:eastAsia="zh-CN"/>
                    </w:rPr>
                    <w:t>总计</w:t>
                  </w:r>
                </w:p>
              </w:tc>
              <w:tc>
                <w:tcPr>
                  <w:tcW w:w="2284" w:type="dxa"/>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颗粒物</w:t>
                  </w:r>
                </w:p>
              </w:tc>
              <w:tc>
                <w:tcPr>
                  <w:tcW w:w="2347" w:type="dxa"/>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0.0853</w:t>
                  </w:r>
                </w:p>
              </w:tc>
            </w:tr>
          </w:tbl>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20" w:firstLineChars="200"/>
              <w:jc w:val="both"/>
              <w:textAlignment w:val="auto"/>
              <w:outlineLvl w:val="9"/>
              <w:rPr>
                <w:rFonts w:hint="default"/>
                <w:lang w:val="en-US" w:eastAsia="zh-CN"/>
              </w:rPr>
            </w:pPr>
            <w:r>
              <w:rPr>
                <w:rFonts w:hint="eastAsia"/>
                <w:lang w:val="en-US" w:eastAsia="zh-CN"/>
              </w:rPr>
              <w:t>废气排放的环境影响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本项目排放废气中主要污染因子</w:t>
            </w:r>
            <w:r>
              <w:rPr>
                <w:rFonts w:hint="eastAsia" w:ascii="Times New Roman" w:hAnsi="Times New Roman" w:eastAsia="宋体" w:cs="Times New Roman"/>
                <w:color w:val="auto"/>
                <w:lang w:val="en-US" w:eastAsia="zh-CN"/>
              </w:rPr>
              <w:t>为颗粒物，项目五百米范围内环境保护目标为</w:t>
            </w:r>
            <w:r>
              <w:rPr>
                <w:rFonts w:hint="eastAsia" w:cs="Times New Roman"/>
                <w:color w:val="auto"/>
                <w:lang w:val="en-US" w:eastAsia="zh-CN"/>
              </w:rPr>
              <w:t>西</w:t>
            </w:r>
            <w:r>
              <w:rPr>
                <w:rFonts w:hint="eastAsia" w:ascii="Times New Roman" w:hAnsi="Times New Roman" w:eastAsia="宋体" w:cs="Times New Roman"/>
                <w:color w:val="auto"/>
                <w:lang w:val="en-US" w:eastAsia="zh-CN"/>
              </w:rPr>
              <w:t>侧298m的隆基府花园，</w:t>
            </w:r>
            <w:r>
              <w:rPr>
                <w:rFonts w:hint="eastAsia" w:cs="Times New Roman"/>
                <w:color w:val="auto"/>
                <w:lang w:val="en-US" w:eastAsia="zh-CN"/>
              </w:rPr>
              <w:t>西</w:t>
            </w:r>
            <w:r>
              <w:rPr>
                <w:rFonts w:hint="eastAsia" w:ascii="Times New Roman" w:hAnsi="Times New Roman" w:eastAsia="宋体" w:cs="Times New Roman"/>
                <w:color w:val="auto"/>
                <w:lang w:val="en-US" w:eastAsia="zh-CN"/>
              </w:rPr>
              <w:t>侧281m的东王庄村，项目颗粒物经收集处理后有组织排放，排放浓度和排放速率均较低，排放浓度、排放速率均能满足</w:t>
            </w:r>
            <w:r>
              <w:rPr>
                <w:rFonts w:hint="default" w:ascii="Times New Roman" w:hAnsi="Times New Roman" w:eastAsia="宋体" w:cs="Times New Roman"/>
                <w:color w:val="auto"/>
                <w:lang w:val="en-US" w:eastAsia="zh-CN"/>
              </w:rPr>
              <w:t>《大气污染物综合排放标准》（GB16297-1996）的要求</w:t>
            </w:r>
            <w:r>
              <w:rPr>
                <w:rFonts w:hint="eastAsia" w:ascii="Times New Roman" w:hAnsi="Times New Roman" w:eastAsia="宋体" w:cs="Times New Roman"/>
                <w:color w:val="auto"/>
                <w:lang w:val="en-US" w:eastAsia="zh-CN"/>
              </w:rPr>
              <w:t>，同时满足《新乡市生态环境局关于进一步规范工业颗粒物排放限值的通知》的要求，对周围环境产生的影响较小</w:t>
            </w:r>
            <w:r>
              <w:rPr>
                <w:rFonts w:hint="default" w:ascii="Times New Roman" w:hAnsi="Times New Roman" w:eastAsia="宋体" w:cs="Times New Roman"/>
                <w:color w:val="auto"/>
                <w:lang w:val="en-US" w:eastAsia="zh-CN"/>
              </w:rPr>
              <w:t>。项目只要确保环保设施正常运行，就能减少对大气环境质量的影响。总体来说，项目建设对周围大气环境质量产生的影响可以接受。</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20" w:firstLineChars="200"/>
              <w:jc w:val="both"/>
              <w:textAlignment w:val="auto"/>
              <w:outlineLvl w:val="9"/>
              <w:rPr>
                <w:rFonts w:hint="default"/>
                <w:lang w:val="en-US" w:eastAsia="zh-CN"/>
              </w:rPr>
            </w:pPr>
            <w:r>
              <w:rPr>
                <w:rFonts w:hint="default"/>
                <w:color w:val="auto"/>
                <w:lang w:val="en-US" w:eastAsia="zh-CN"/>
              </w:rPr>
              <w:t>非正常排放分析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color w:val="auto"/>
                <w:lang w:val="en-US" w:eastAsia="zh-CN"/>
              </w:rPr>
            </w:pPr>
            <w:r>
              <w:rPr>
                <w:rFonts w:hint="eastAsia" w:ascii="Times New Roman" w:eastAsia="宋体"/>
                <w:color w:val="auto"/>
                <w:lang w:val="en-US" w:eastAsia="zh-CN"/>
              </w:rPr>
              <w:t>非正常工况排污主要包括生产设备的正常开、停车和设备检修时，以及环保设施达不到设计要求时的排放的污染物。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color w:val="auto"/>
                <w:lang w:val="en-US" w:eastAsia="zh-CN"/>
              </w:rPr>
            </w:pPr>
            <w:r>
              <w:rPr>
                <w:rFonts w:hint="eastAsia" w:ascii="Times New Roman" w:eastAsia="宋体"/>
                <w:color w:val="auto"/>
                <w:lang w:val="en-US" w:eastAsia="zh-CN"/>
              </w:rPr>
              <w:t>本</w:t>
            </w:r>
            <w:r>
              <w:rPr>
                <w:rFonts w:hint="default"/>
                <w:color w:val="auto"/>
                <w:lang w:val="en-US" w:eastAsia="zh-CN"/>
              </w:rPr>
              <w:t>项目生产过程中产生的非正常排放主要是生产过程设备</w:t>
            </w:r>
            <w:r>
              <w:rPr>
                <w:rFonts w:hint="eastAsia" w:ascii="Times New Roman" w:eastAsia="宋体"/>
                <w:color w:val="auto"/>
                <w:lang w:val="en-US" w:eastAsia="zh-CN"/>
              </w:rPr>
              <w:t>的正常开、停车和设备</w:t>
            </w:r>
            <w:r>
              <w:rPr>
                <w:rFonts w:hint="default"/>
                <w:color w:val="auto"/>
                <w:lang w:val="en-US" w:eastAsia="zh-CN"/>
              </w:rPr>
              <w:t>检修</w:t>
            </w:r>
            <w:r>
              <w:rPr>
                <w:rFonts w:hint="eastAsia" w:ascii="Times New Roman" w:eastAsia="宋体"/>
                <w:color w:val="auto"/>
                <w:lang w:val="en-US" w:eastAsia="zh-CN"/>
              </w:rPr>
              <w:t>时，</w:t>
            </w:r>
            <w:r>
              <w:rPr>
                <w:rFonts w:hint="default"/>
                <w:color w:val="auto"/>
                <w:lang w:val="en-US" w:eastAsia="zh-CN"/>
              </w:rPr>
              <w:t>导致污染物排放控制措施达不到应有效率时引起的污染物排放，本项目废气污染物颗粒物，废气治理措施出现故障，废气处理效率按照</w:t>
            </w:r>
            <w:r>
              <w:rPr>
                <w:rFonts w:hint="eastAsia" w:ascii="Times New Roman" w:eastAsia="宋体"/>
                <w:color w:val="auto"/>
                <w:lang w:val="en-US" w:eastAsia="zh-CN"/>
              </w:rPr>
              <w:t>0%</w:t>
            </w:r>
            <w:r>
              <w:rPr>
                <w:rFonts w:hint="default"/>
                <w:color w:val="auto"/>
                <w:lang w:val="en-US" w:eastAsia="zh-CN"/>
              </w:rPr>
              <w:t>计算，本项目非正常工况下废气污染源排放参数见下表。</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非正常排放参数表</w:t>
            </w:r>
          </w:p>
          <w:tbl>
            <w:tblPr>
              <w:tblStyle w:val="19"/>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260"/>
              <w:gridCol w:w="885"/>
              <w:gridCol w:w="1107"/>
              <w:gridCol w:w="715"/>
              <w:gridCol w:w="820"/>
              <w:gridCol w:w="998"/>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非正常排放源</w:t>
                  </w:r>
                </w:p>
              </w:tc>
              <w:tc>
                <w:tcPr>
                  <w:tcW w:w="7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非正常排放原因</w:t>
                  </w:r>
                </w:p>
              </w:tc>
              <w:tc>
                <w:tcPr>
                  <w:tcW w:w="55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污染物</w:t>
                  </w:r>
                </w:p>
              </w:tc>
              <w:tc>
                <w:tcPr>
                  <w:tcW w:w="6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非正常排放速率（kg/h）</w:t>
                  </w:r>
                </w:p>
              </w:tc>
              <w:tc>
                <w:tcPr>
                  <w:tcW w:w="45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单次持续时间/h</w:t>
                  </w:r>
                </w:p>
              </w:tc>
              <w:tc>
                <w:tcPr>
                  <w:tcW w:w="5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年发生频次/次</w:t>
                  </w:r>
                </w:p>
              </w:tc>
              <w:tc>
                <w:tcPr>
                  <w:tcW w:w="62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非正常排放量（kg/a）</w:t>
                  </w:r>
                </w:p>
              </w:tc>
              <w:tc>
                <w:tcPr>
                  <w:tcW w:w="73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auto"/>
                      <w:lang w:val="en-US" w:eastAsia="zh-CN"/>
                    </w:rPr>
                  </w:pPr>
                  <w:r>
                    <w:rPr>
                      <w:rFonts w:hint="default"/>
                      <w:b/>
                      <w:bCs/>
                      <w:color w:val="auto"/>
                      <w:lang w:val="en-US" w:eastAsia="zh-CN"/>
                    </w:rPr>
                    <w:t>采取措施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62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投料</w:t>
                  </w:r>
                </w:p>
              </w:tc>
              <w:tc>
                <w:tcPr>
                  <w:tcW w:w="79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default"/>
                      <w:color w:val="auto"/>
                      <w:lang w:val="en-US" w:eastAsia="zh-CN"/>
                    </w:rPr>
                    <w:t>污染物排放控制措施达不到应有效率，处理效率为</w:t>
                  </w:r>
                  <w:r>
                    <w:rPr>
                      <w:rFonts w:hint="eastAsia" w:ascii="Times New Roman" w:eastAsia="宋体"/>
                      <w:color w:val="auto"/>
                      <w:lang w:val="en-US" w:eastAsia="zh-CN"/>
                    </w:rPr>
                    <w:t>0%</w:t>
                  </w:r>
                </w:p>
              </w:tc>
              <w:tc>
                <w:tcPr>
                  <w:tcW w:w="557"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颗粒物</w:t>
                  </w:r>
                </w:p>
              </w:tc>
              <w:tc>
                <w:tcPr>
                  <w:tcW w:w="1107" w:type="dxa"/>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0.0211</w:t>
                  </w:r>
                </w:p>
              </w:tc>
              <w:tc>
                <w:tcPr>
                  <w:tcW w:w="45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default"/>
                      <w:color w:val="auto"/>
                      <w:lang w:val="en-US" w:eastAsia="zh-CN"/>
                    </w:rPr>
                    <w:t>0.</w:t>
                  </w:r>
                  <w:r>
                    <w:rPr>
                      <w:rFonts w:hint="eastAsia"/>
                      <w:color w:val="auto"/>
                      <w:lang w:val="en-US" w:eastAsia="zh-CN"/>
                    </w:rPr>
                    <w:t>5</w:t>
                  </w:r>
                </w:p>
              </w:tc>
              <w:tc>
                <w:tcPr>
                  <w:tcW w:w="5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default"/>
                      <w:color w:val="auto"/>
                      <w:lang w:val="en-US" w:eastAsia="zh-CN"/>
                    </w:rPr>
                    <w:t>1</w:t>
                  </w:r>
                </w:p>
              </w:tc>
              <w:tc>
                <w:tcPr>
                  <w:tcW w:w="628"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eastAsia="宋体"/>
                      <w:color w:val="auto"/>
                      <w:lang w:val="en-US" w:eastAsia="zh-CN"/>
                    </w:rPr>
                  </w:pPr>
                  <w:r>
                    <w:rPr>
                      <w:rFonts w:hint="eastAsia"/>
                      <w:color w:val="auto"/>
                      <w:lang w:val="en-US" w:eastAsia="zh-CN"/>
                    </w:rPr>
                    <w:t>0.4853</w:t>
                  </w:r>
                </w:p>
              </w:tc>
              <w:tc>
                <w:tcPr>
                  <w:tcW w:w="731"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default"/>
                      <w:color w:val="auto"/>
                      <w:lang w:val="en-US" w:eastAsia="zh-CN"/>
                    </w:rPr>
                    <w:t>产生废气的工序及时停止运行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623" w:type="pct"/>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搅拌</w:t>
                  </w:r>
                </w:p>
              </w:tc>
              <w:tc>
                <w:tcPr>
                  <w:tcW w:w="7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c>
                <w:tcPr>
                  <w:tcW w:w="557"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c>
                <w:tcPr>
                  <w:tcW w:w="1107" w:type="dxa"/>
                  <w:tcBorders>
                    <w:tl2br w:val="nil"/>
                    <w:tr2bl w:val="nil"/>
                  </w:tcBorders>
                  <w:noWrap w:val="0"/>
                  <w:vAlign w:val="center"/>
                </w:tcPr>
                <w:p>
                  <w:pPr>
                    <w:adjustRightInd w:val="0"/>
                    <w:snapToGrid w:val="0"/>
                    <w:jc w:val="center"/>
                    <w:rPr>
                      <w:rFonts w:hint="default"/>
                      <w:color w:val="auto"/>
                      <w:lang w:val="en-US" w:eastAsia="zh-CN"/>
                    </w:rPr>
                  </w:pPr>
                  <w:r>
                    <w:rPr>
                      <w:rFonts w:hint="eastAsia"/>
                      <w:color w:val="auto"/>
                      <w:lang w:val="en-US" w:eastAsia="zh-CN"/>
                    </w:rPr>
                    <w:t>0.0422</w:t>
                  </w:r>
                </w:p>
              </w:tc>
              <w:tc>
                <w:tcPr>
                  <w:tcW w:w="45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0.5</w:t>
                  </w:r>
                </w:p>
              </w:tc>
              <w:tc>
                <w:tcPr>
                  <w:tcW w:w="5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1</w:t>
                  </w:r>
                </w:p>
              </w:tc>
              <w:tc>
                <w:tcPr>
                  <w:tcW w:w="62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eastAsia="宋体"/>
                      <w:color w:val="auto"/>
                      <w:lang w:val="en-US" w:eastAsia="zh-CN"/>
                    </w:rPr>
                  </w:pPr>
                </w:p>
              </w:tc>
              <w:tc>
                <w:tcPr>
                  <w:tcW w:w="73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623"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挤压</w:t>
                  </w:r>
                </w:p>
              </w:tc>
              <w:tc>
                <w:tcPr>
                  <w:tcW w:w="7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c>
                <w:tcPr>
                  <w:tcW w:w="557"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c>
                <w:tcPr>
                  <w:tcW w:w="1107" w:type="dxa"/>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0.2322</w:t>
                  </w:r>
                </w:p>
              </w:tc>
              <w:tc>
                <w:tcPr>
                  <w:tcW w:w="450"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default"/>
                      <w:color w:val="auto"/>
                      <w:lang w:val="en-US" w:eastAsia="zh-CN"/>
                    </w:rPr>
                    <w:t>0.</w:t>
                  </w:r>
                  <w:r>
                    <w:rPr>
                      <w:rFonts w:hint="eastAsia"/>
                      <w:color w:val="auto"/>
                      <w:lang w:val="en-US" w:eastAsia="zh-CN"/>
                    </w:rPr>
                    <w:t>5</w:t>
                  </w:r>
                </w:p>
              </w:tc>
              <w:tc>
                <w:tcPr>
                  <w:tcW w:w="516"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default"/>
                      <w:color w:val="auto"/>
                      <w:lang w:val="en-US" w:eastAsia="zh-CN"/>
                    </w:rPr>
                    <w:t>1</w:t>
                  </w:r>
                </w:p>
              </w:tc>
              <w:tc>
                <w:tcPr>
                  <w:tcW w:w="62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p>
              </w:tc>
              <w:tc>
                <w:tcPr>
                  <w:tcW w:w="73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623" w:type="pct"/>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筛分</w:t>
                  </w:r>
                </w:p>
              </w:tc>
              <w:tc>
                <w:tcPr>
                  <w:tcW w:w="7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c>
                <w:tcPr>
                  <w:tcW w:w="557"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c>
                <w:tcPr>
                  <w:tcW w:w="1107" w:type="dxa"/>
                  <w:tcBorders>
                    <w:tl2br w:val="nil"/>
                    <w:tr2bl w:val="nil"/>
                  </w:tcBorders>
                  <w:noWrap w:val="0"/>
                  <w:vAlign w:val="center"/>
                </w:tcPr>
                <w:p>
                  <w:pPr>
                    <w:adjustRightInd w:val="0"/>
                    <w:snapToGrid w:val="0"/>
                    <w:jc w:val="center"/>
                    <w:rPr>
                      <w:rFonts w:hint="eastAsia"/>
                      <w:color w:val="auto"/>
                      <w:lang w:val="en-US" w:eastAsia="zh-CN"/>
                    </w:rPr>
                  </w:pPr>
                  <w:r>
                    <w:rPr>
                      <w:rFonts w:hint="eastAsia"/>
                      <w:color w:val="auto"/>
                      <w:lang w:val="en-US" w:eastAsia="zh-CN"/>
                    </w:rPr>
                    <w:t>0.675</w:t>
                  </w:r>
                </w:p>
              </w:tc>
              <w:tc>
                <w:tcPr>
                  <w:tcW w:w="450"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0.5</w:t>
                  </w:r>
                </w:p>
              </w:tc>
              <w:tc>
                <w:tcPr>
                  <w:tcW w:w="516"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1</w:t>
                  </w:r>
                </w:p>
              </w:tc>
              <w:tc>
                <w:tcPr>
                  <w:tcW w:w="62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p>
              </w:tc>
              <w:tc>
                <w:tcPr>
                  <w:tcW w:w="73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color w:val="auto"/>
                <w:lang w:val="en-US" w:eastAsia="zh-CN"/>
              </w:rPr>
            </w:pPr>
            <w:r>
              <w:rPr>
                <w:rFonts w:hint="default"/>
                <w:color w:val="auto"/>
                <w:lang w:val="en-US" w:eastAsia="zh-CN"/>
              </w:rPr>
              <w:t>为了减轻项目对周围环境的影响程度和范围，保证该地区的可持续发展。项目在生产过程中必须加强管理，保证废气处理设备正常运行，避免事故发生。当废气处理设备出现故障时，应尽快停产对其进行维修，尽量减轻对周围环境造成的影响。此外，评价建议项目在生产过程中采用双回路供电，同时加强日常对各类设备的维护和保养，可以进一步降低出现非正常工况出现的概率，避免非正常工况情况下污染物对环境敏感点造成影响。</w:t>
            </w:r>
          </w:p>
          <w:p>
            <w:pPr>
              <w:keepNext w:val="0"/>
              <w:keepLines w:val="0"/>
              <w:pageBreakBefore w:val="0"/>
              <w:suppressLineNumbers w:val="0"/>
              <w:kinsoku/>
              <w:wordWrap/>
              <w:overflowPunct/>
              <w:topLinePunct w:val="0"/>
              <w:autoSpaceDE/>
              <w:autoSpaceDN/>
              <w:bidi w:val="0"/>
              <w:spacing w:before="0" w:beforeAutospacing="0" w:after="0" w:afterAutospacing="0" w:line="520" w:lineRule="exact"/>
              <w:ind w:left="0" w:right="0" w:firstLine="422" w:firstLineChars="200"/>
              <w:textAlignment w:val="auto"/>
              <w:rPr>
                <w:b/>
                <w:bCs/>
                <w:color w:val="auto"/>
              </w:rPr>
            </w:pPr>
            <w:r>
              <w:rPr>
                <w:rFonts w:hint="eastAsia" w:ascii="Times New Roman" w:eastAsia="宋体"/>
                <w:b/>
                <w:bCs/>
                <w:color w:val="auto"/>
                <w:lang w:val="en-US" w:eastAsia="zh-CN"/>
              </w:rPr>
              <w:t>二、</w:t>
            </w:r>
            <w:r>
              <w:rPr>
                <w:b/>
                <w:bCs/>
                <w:color w:val="auto"/>
              </w:rPr>
              <w:t>废水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w:t>
            </w:r>
            <w:r>
              <w:rPr>
                <w:rFonts w:hint="eastAsia" w:ascii="Times New Roman" w:hAnsi="Times New Roman" w:eastAsia="宋体" w:cs="Times New Roman"/>
                <w:color w:val="auto"/>
                <w:kern w:val="0"/>
                <w:sz w:val="21"/>
                <w:szCs w:val="20"/>
                <w:lang w:val="en-US" w:eastAsia="zh-CN" w:bidi="ar-SA"/>
              </w:rPr>
              <w:t>供水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本项目生产无需用水，生产车间定期清理打扫，本项目仅有生活用水。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0"/>
                <w:lang w:val="en-US" w:eastAsia="zh-CN" w:bidi="ar-SA"/>
              </w:rPr>
              <w:t>生活用水</w:t>
            </w:r>
            <w:r>
              <w:rPr>
                <w:rFonts w:hint="eastAsia" w:ascii="Times New Roman" w:hAnsi="Times New Roman" w:eastAsia="宋体" w:cs="Times New Roman"/>
                <w:color w:val="000000" w:themeColor="text1"/>
                <w:sz w:val="21"/>
                <w:szCs w:val="21"/>
                <w14:textFill>
                  <w14:solidFill>
                    <w14:schemeClr w14:val="tx1"/>
                  </w14:solidFill>
                </w14:textFill>
              </w:rPr>
              <w:t>：本项目共有职工</w:t>
            </w:r>
            <w:r>
              <w:rPr>
                <w:rFonts w:hint="eastAsia" w:cs="Times New Roman"/>
                <w:color w:val="000000" w:themeColor="text1"/>
                <w:sz w:val="21"/>
                <w:szCs w:val="21"/>
                <w:lang w:val="en-US" w:eastAsia="zh-CN"/>
                <w14:textFill>
                  <w14:solidFill>
                    <w14:schemeClr w14:val="tx1"/>
                  </w14:solidFill>
                </w14:textFill>
              </w:rPr>
              <w:t>15</w:t>
            </w:r>
            <w:r>
              <w:rPr>
                <w:rFonts w:hint="eastAsia" w:ascii="Times New Roman" w:hAnsi="Times New Roman" w:eastAsia="宋体" w:cs="Times New Roman"/>
                <w:color w:val="000000" w:themeColor="text1"/>
                <w:sz w:val="21"/>
                <w:szCs w:val="21"/>
                <w14:textFill>
                  <w14:solidFill>
                    <w14:schemeClr w14:val="tx1"/>
                  </w14:solidFill>
                </w14:textFill>
              </w:rPr>
              <w:t>人</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年工作260d</w:t>
            </w:r>
            <w:r>
              <w:rPr>
                <w:rFonts w:hint="eastAsia" w:ascii="Times New Roman" w:hAnsi="Times New Roman" w:eastAsia="宋体" w:cs="Times New Roman"/>
                <w:color w:val="000000" w:themeColor="text1"/>
                <w:sz w:val="21"/>
                <w:szCs w:val="21"/>
                <w14:textFill>
                  <w14:solidFill>
                    <w14:schemeClr w14:val="tx1"/>
                  </w14:solidFill>
                </w14:textFill>
              </w:rPr>
              <w:t>，不在厂区内食宿，根据《河南省地方标准用水定额工业与城镇生活用水定额》（DB41/T385-20</w:t>
            </w:r>
            <w:r>
              <w:rPr>
                <w:rFonts w:hint="eastAsia"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14:textFill>
                  <w14:solidFill>
                    <w14:schemeClr w14:val="tx1"/>
                  </w14:solidFill>
                </w14:textFill>
              </w:rPr>
              <w:t>）和项目实际情况，职工用水按30L/人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d计算，则用水量为</w:t>
            </w:r>
            <w:r>
              <w:rPr>
                <w:rFonts w:hint="eastAsia" w:cs="Times New Roman"/>
                <w:color w:val="000000" w:themeColor="text1"/>
                <w:sz w:val="21"/>
                <w:szCs w:val="21"/>
                <w:lang w:val="en-US" w:eastAsia="zh-CN"/>
                <w14:textFill>
                  <w14:solidFill>
                    <w14:schemeClr w14:val="tx1"/>
                  </w14:solidFill>
                </w14:textFill>
              </w:rPr>
              <w:t>0.45</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r>
              <w:rPr>
                <w:rFonts w:hint="eastAsia" w:cs="Times New Roman"/>
                <w:color w:val="000000" w:themeColor="text1"/>
                <w:sz w:val="21"/>
                <w:szCs w:val="21"/>
                <w:lang w:val="en-US" w:eastAsia="zh-CN"/>
                <w14:textFill>
                  <w14:solidFill>
                    <w14:schemeClr w14:val="tx1"/>
                  </w14:solidFill>
                </w14:textFill>
              </w:rPr>
              <w:t>117</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排水</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bCs/>
                <w:color w:val="FF0000"/>
                <w:sz w:val="21"/>
                <w:szCs w:val="21"/>
                <w:vertAlign w:val="baseline"/>
                <w:lang w:val="en-US" w:eastAsia="zh-CN"/>
              </w:rPr>
            </w:pPr>
            <w:r>
              <w:rPr>
                <w:rFonts w:hint="eastAsia" w:ascii="Times New Roman" w:hAnsi="Times New Roman" w:eastAsia="宋体" w:cs="Times New Roman"/>
                <w:color w:val="auto"/>
                <w:lang w:val="en-US" w:eastAsia="zh-CN"/>
              </w:rPr>
              <w:t>本项目生</w:t>
            </w:r>
            <w:r>
              <w:rPr>
                <w:rFonts w:hint="eastAsia" w:ascii="Times New Roman" w:hAnsi="Times New Roman" w:cs="Times New Roman"/>
                <w:color w:val="000000" w:themeColor="text1"/>
                <w:sz w:val="21"/>
                <w:szCs w:val="21"/>
                <w:highlight w:val="none"/>
                <w14:textFill>
                  <w14:solidFill>
                    <w14:schemeClr w14:val="tx1"/>
                  </w14:solidFill>
                </w14:textFill>
              </w:rPr>
              <w:t>活污水产生量按新鲜水量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80</w:t>
            </w:r>
            <w:r>
              <w:rPr>
                <w:rFonts w:hint="eastAsia" w:ascii="Times New Roman" w:hAnsi="Times New Roman" w:cs="Times New Roman"/>
                <w:color w:val="000000" w:themeColor="text1"/>
                <w:sz w:val="21"/>
                <w:szCs w:val="21"/>
                <w:highlight w:val="none"/>
                <w14:textFill>
                  <w14:solidFill>
                    <w14:schemeClr w14:val="tx1"/>
                  </w14:solidFill>
                </w14:textFill>
              </w:rPr>
              <w:t>%计，</w:t>
            </w:r>
            <w:r>
              <w:rPr>
                <w:rFonts w:hint="eastAsia" w:ascii="Times New Roman" w:hAnsi="Times New Roman" w:cs="Times New Roman"/>
                <w:color w:val="000000" w:themeColor="text1"/>
                <w:sz w:val="21"/>
                <w:szCs w:val="21"/>
                <w14:textFill>
                  <w14:solidFill>
                    <w14:schemeClr w14:val="tx1"/>
                  </w14:solidFill>
                </w14:textFill>
              </w:rPr>
              <w:t>为</w:t>
            </w:r>
            <w:r>
              <w:rPr>
                <w:rFonts w:hint="eastAsia" w:cs="Times New Roman"/>
                <w:color w:val="000000" w:themeColor="text1"/>
                <w:sz w:val="21"/>
                <w:szCs w:val="21"/>
                <w:lang w:val="en-US" w:eastAsia="zh-CN"/>
                <w14:textFill>
                  <w14:solidFill>
                    <w14:schemeClr w14:val="tx1"/>
                  </w14:solidFill>
                </w14:textFill>
              </w:rPr>
              <w:t>0.36</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r>
              <w:rPr>
                <w:rFonts w:hint="eastAsia" w:cs="Times New Roman"/>
                <w:color w:val="000000" w:themeColor="text1"/>
                <w:sz w:val="21"/>
                <w:szCs w:val="21"/>
                <w:lang w:val="en-US" w:eastAsia="zh-CN"/>
                <w14:textFill>
                  <w14:solidFill>
                    <w14:schemeClr w14:val="tx1"/>
                  </w14:solidFill>
                </w14:textFill>
              </w:rPr>
              <w:t>93.6</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sz w:val="21"/>
                <w:szCs w:val="21"/>
              </w:rPr>
              <w:t>类比确定废水水质污染物浓度为：COD 300mg/L、SS 250mg/L、NH</w:t>
            </w:r>
            <w:r>
              <w:rPr>
                <w:rFonts w:hint="default"/>
                <w:sz w:val="21"/>
                <w:szCs w:val="21"/>
                <w:vertAlign w:val="subscript"/>
              </w:rPr>
              <w:t>3</w:t>
            </w:r>
            <w:r>
              <w:rPr>
                <w:rFonts w:hint="default"/>
                <w:sz w:val="21"/>
                <w:szCs w:val="21"/>
              </w:rPr>
              <w:t>-N 30mg/L、TP4mg/L；污染物产生量为；COD0.0</w:t>
            </w:r>
            <w:r>
              <w:rPr>
                <w:rFonts w:hint="eastAsia"/>
                <w:sz w:val="21"/>
                <w:szCs w:val="21"/>
                <w:lang w:val="en-US" w:eastAsia="zh-CN"/>
              </w:rPr>
              <w:t>281</w:t>
            </w:r>
            <w:r>
              <w:rPr>
                <w:rFonts w:hint="default"/>
                <w:sz w:val="21"/>
                <w:szCs w:val="21"/>
              </w:rPr>
              <w:t>t/a、SS0.0</w:t>
            </w:r>
            <w:r>
              <w:rPr>
                <w:rFonts w:hint="eastAsia"/>
                <w:sz w:val="21"/>
                <w:szCs w:val="21"/>
                <w:lang w:val="en-US" w:eastAsia="zh-CN"/>
              </w:rPr>
              <w:t>234</w:t>
            </w:r>
            <w:r>
              <w:rPr>
                <w:rFonts w:hint="default"/>
                <w:sz w:val="21"/>
                <w:szCs w:val="21"/>
              </w:rPr>
              <w:t>t/a、NH</w:t>
            </w:r>
            <w:r>
              <w:rPr>
                <w:rFonts w:hint="default"/>
                <w:sz w:val="21"/>
                <w:szCs w:val="21"/>
                <w:vertAlign w:val="subscript"/>
              </w:rPr>
              <w:t>3</w:t>
            </w:r>
            <w:r>
              <w:rPr>
                <w:rFonts w:hint="default"/>
                <w:sz w:val="21"/>
                <w:szCs w:val="21"/>
              </w:rPr>
              <w:t>-N 0.00</w:t>
            </w:r>
            <w:r>
              <w:rPr>
                <w:rFonts w:hint="eastAsia"/>
                <w:sz w:val="21"/>
                <w:szCs w:val="21"/>
                <w:lang w:val="en-US" w:eastAsia="zh-CN"/>
              </w:rPr>
              <w:t>28</w:t>
            </w:r>
            <w:r>
              <w:rPr>
                <w:rFonts w:hint="default"/>
                <w:sz w:val="21"/>
                <w:szCs w:val="21"/>
              </w:rPr>
              <w:t>t/a、T-P0.0</w:t>
            </w:r>
            <w:r>
              <w:rPr>
                <w:rFonts w:hint="eastAsia"/>
                <w:sz w:val="21"/>
                <w:szCs w:val="21"/>
                <w:lang w:val="en-US" w:eastAsia="zh-CN"/>
              </w:rPr>
              <w:t>004</w:t>
            </w:r>
            <w:r>
              <w:rPr>
                <w:rFonts w:hint="default"/>
                <w:sz w:val="21"/>
                <w:szCs w:val="21"/>
              </w:rPr>
              <w:t>t/a</w:t>
            </w:r>
            <w:r>
              <w:rPr>
                <w:rFonts w:hint="eastAsia"/>
                <w:sz w:val="21"/>
                <w:szCs w:val="21"/>
                <w:lang w:eastAsia="zh-CN"/>
              </w:rPr>
              <w:t>，</w:t>
            </w:r>
            <w:r>
              <w:rPr>
                <w:rFonts w:hint="eastAsia" w:cs="Times New Roman"/>
                <w:bCs/>
                <w:color w:val="auto"/>
                <w:sz w:val="21"/>
                <w:szCs w:val="21"/>
                <w:lang w:val="en-US" w:eastAsia="zh-CN"/>
              </w:rPr>
              <w:t>生活废水</w:t>
            </w:r>
            <w:r>
              <w:rPr>
                <w:rFonts w:hint="eastAsia" w:ascii="Times New Roman" w:hAnsi="Times New Roman" w:cs="Times New Roman"/>
                <w:color w:val="000000" w:themeColor="text1"/>
                <w:sz w:val="21"/>
                <w:szCs w:val="21"/>
                <w:lang w:val="en-US" w:eastAsia="zh-CN"/>
                <w14:textFill>
                  <w14:solidFill>
                    <w14:schemeClr w14:val="tx1"/>
                  </w14:solidFill>
                </w14:textFill>
              </w:rPr>
              <w:t>依托</w:t>
            </w:r>
            <w:r>
              <w:rPr>
                <w:rFonts w:hint="eastAsia" w:cs="Times New Roman"/>
                <w:bCs/>
                <w:color w:val="auto"/>
                <w:sz w:val="21"/>
                <w:szCs w:val="21"/>
                <w:lang w:val="en-US" w:eastAsia="zh-CN"/>
              </w:rPr>
              <w:t>厂区化粪池处理后定期清运，不外排，</w:t>
            </w:r>
            <w:r>
              <w:rPr>
                <w:rFonts w:hint="eastAsia"/>
                <w:color w:val="auto"/>
                <w:sz w:val="21"/>
                <w:szCs w:val="21"/>
                <w:lang w:val="en-US" w:eastAsia="zh-CN"/>
              </w:rPr>
              <w:t>对周围环境影响较小。</w:t>
            </w: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default"/>
                <w:color w:val="FF0000"/>
                <w:lang w:val="en-US" w:eastAsia="zh-CN"/>
              </w:rPr>
            </w:pPr>
            <w:r>
              <w:rPr>
                <w:rFonts w:hint="eastAsia"/>
                <w:color w:val="FF0000"/>
                <w:lang w:val="en-US" w:eastAsia="zh-CN"/>
              </w:rPr>
              <w:t xml:space="preserve"> </w:t>
            </w:r>
          </w:p>
          <w:p>
            <w:pPr>
              <w:rPr>
                <w:rFonts w:hint="default"/>
                <w:color w:val="FF0000"/>
                <w:lang w:val="en-US" w:eastAsia="zh-CN"/>
              </w:rPr>
            </w:pPr>
          </w:p>
          <w:p>
            <w:pPr>
              <w:rPr>
                <w:rFonts w:hint="default"/>
                <w:color w:val="FF0000"/>
                <w:lang w:val="en-US" w:eastAsia="zh-CN"/>
              </w:rPr>
            </w:pPr>
          </w:p>
        </w:tc>
      </w:tr>
    </w:tbl>
    <w:p>
      <w:pPr>
        <w:adjustRightInd w:val="0"/>
        <w:snapToGrid w:val="0"/>
        <w:spacing w:line="360" w:lineRule="auto"/>
        <w:rPr>
          <w:rFonts w:hint="eastAsia" w:ascii="宋体" w:cs="宋体"/>
          <w:b/>
          <w:color w:val="FF0000"/>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 w:type="pct"/>
            <w:noWrap w:val="0"/>
            <w:vAlign w:val="center"/>
          </w:tcPr>
          <w:p/>
        </w:tc>
        <w:tc>
          <w:tcPr>
            <w:tcW w:w="48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firstLine="422" w:firstLineChars="200"/>
              <w:textAlignment w:val="auto"/>
              <w:rPr>
                <w:rFonts w:hint="eastAsia" w:ascii="Times New Roman" w:eastAsia="宋体"/>
                <w:b/>
                <w:bCs/>
                <w:color w:val="auto"/>
                <w:lang w:val="en-US" w:eastAsia="zh-CN"/>
              </w:rPr>
            </w:pPr>
            <w:r>
              <w:rPr>
                <w:rFonts w:hint="eastAsia" w:ascii="Times New Roman" w:eastAsia="宋体"/>
                <w:b/>
                <w:bCs/>
                <w:color w:val="auto"/>
                <w:lang w:val="en-US" w:eastAsia="zh-CN"/>
              </w:rPr>
              <w:t>三、噪声</w:t>
            </w:r>
          </w:p>
          <w:p>
            <w:pPr>
              <w:pStyle w:val="36"/>
              <w:keepNext w:val="0"/>
              <w:keepLines w:val="0"/>
              <w:pageBreakBefore w:val="0"/>
              <w:widowControl w:val="0"/>
              <w:kinsoku/>
              <w:wordWrap/>
              <w:overflowPunct/>
              <w:topLinePunct w:val="0"/>
              <w:autoSpaceDE/>
              <w:autoSpaceDN/>
              <w:bidi w:val="0"/>
              <w:adjustRightInd w:val="0"/>
              <w:snapToGrid w:val="0"/>
              <w:spacing w:line="520" w:lineRule="exact"/>
              <w:ind w:firstLine="422" w:firstLineChars="200"/>
              <w:rPr>
                <w:rFonts w:hint="default" w:ascii="Times New Roman" w:hAnsi="Times New Roman" w:cs="Times New Roman"/>
                <w:b/>
                <w:color w:val="000000"/>
                <w:sz w:val="21"/>
                <w:szCs w:val="21"/>
                <w:lang w:val="en-US" w:eastAsia="zh-CN"/>
              </w:rPr>
            </w:pPr>
            <w:r>
              <w:rPr>
                <w:rFonts w:hint="eastAsia" w:ascii="Times New Roman" w:hAnsi="Times New Roman" w:cs="Times New Roman"/>
                <w:b/>
                <w:color w:val="000000"/>
                <w:sz w:val="21"/>
                <w:szCs w:val="21"/>
                <w:lang w:val="en-US" w:eastAsia="zh-CN"/>
              </w:rPr>
              <w:t>1、</w:t>
            </w:r>
            <w:r>
              <w:rPr>
                <w:rFonts w:hint="eastAsia" w:cs="Times New Roman"/>
                <w:b/>
                <w:color w:val="000000"/>
                <w:sz w:val="21"/>
                <w:szCs w:val="21"/>
                <w:lang w:val="en-US" w:eastAsia="zh-CN"/>
              </w:rPr>
              <w:t>源强</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工业企业噪声源强调查清单（室内声源）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49"/>
              <w:gridCol w:w="575"/>
              <w:gridCol w:w="576"/>
              <w:gridCol w:w="583"/>
              <w:gridCol w:w="1254"/>
              <w:gridCol w:w="601"/>
              <w:gridCol w:w="1065"/>
              <w:gridCol w:w="803"/>
              <w:gridCol w:w="803"/>
              <w:gridCol w:w="574"/>
              <w:gridCol w:w="602"/>
              <w:gridCol w:w="489"/>
              <w:gridCol w:w="736"/>
              <w:gridCol w:w="761"/>
              <w:gridCol w:w="610"/>
              <w:gridCol w:w="743"/>
              <w:gridCol w:w="924"/>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序号</w:t>
                  </w:r>
                </w:p>
              </w:tc>
              <w:tc>
                <w:tcPr>
                  <w:tcW w:w="575"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生产单元</w:t>
                  </w:r>
                  <w:r>
                    <w:rPr>
                      <w:rFonts w:hint="default" w:cs="Times New Roman"/>
                      <w:color w:val="000000" w:themeColor="text1"/>
                      <w:szCs w:val="21"/>
                      <w14:textFill>
                        <w14:solidFill>
                          <w14:schemeClr w14:val="tx1"/>
                        </w14:solidFill>
                      </w14:textFill>
                    </w:rPr>
                    <w:t>名称</w:t>
                  </w:r>
                </w:p>
              </w:tc>
              <w:tc>
                <w:tcPr>
                  <w:tcW w:w="576"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声源名称</w:t>
                  </w:r>
                </w:p>
              </w:tc>
              <w:tc>
                <w:tcPr>
                  <w:tcW w:w="583"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型号</w:t>
                  </w:r>
                </w:p>
              </w:tc>
              <w:tc>
                <w:tcPr>
                  <w:tcW w:w="1254"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(声压级/距声源距离)/ ([dB(A)]/m)</w:t>
                  </w:r>
                </w:p>
              </w:tc>
              <w:tc>
                <w:tcPr>
                  <w:tcW w:w="601"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数量(台)</w:t>
                  </w:r>
                </w:p>
              </w:tc>
              <w:tc>
                <w:tcPr>
                  <w:tcW w:w="1065"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声源控制措施</w:t>
                  </w:r>
                </w:p>
              </w:tc>
              <w:tc>
                <w:tcPr>
                  <w:tcW w:w="803"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治理后声压级[dB(A)]</w:t>
                  </w:r>
                </w:p>
              </w:tc>
              <w:tc>
                <w:tcPr>
                  <w:tcW w:w="803"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声压级叠加值[dB(A)]</w:t>
                  </w:r>
                </w:p>
              </w:tc>
              <w:tc>
                <w:tcPr>
                  <w:tcW w:w="1665" w:type="dxa"/>
                  <w:gridSpan w:val="3"/>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空间相对位置/m</w:t>
                  </w:r>
                </w:p>
              </w:tc>
              <w:tc>
                <w:tcPr>
                  <w:tcW w:w="736"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距室内边界距离/m</w:t>
                  </w:r>
                </w:p>
              </w:tc>
              <w:tc>
                <w:tcPr>
                  <w:tcW w:w="761"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室内边界声级/dB(A)</w:t>
                  </w:r>
                </w:p>
              </w:tc>
              <w:tc>
                <w:tcPr>
                  <w:tcW w:w="610"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运行时段</w:t>
                  </w:r>
                </w:p>
              </w:tc>
              <w:tc>
                <w:tcPr>
                  <w:tcW w:w="743" w:type="dxa"/>
                  <w:vMerge w:val="restart"/>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建筑插入损失/dB(A)</w:t>
                  </w:r>
                </w:p>
              </w:tc>
              <w:tc>
                <w:tcPr>
                  <w:tcW w:w="1682" w:type="dxa"/>
                  <w:gridSpan w:val="2"/>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75"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76"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83"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1254"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601"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1065"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74" w:type="dxa"/>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X</w:t>
                  </w:r>
                </w:p>
              </w:tc>
              <w:tc>
                <w:tcPr>
                  <w:tcW w:w="602" w:type="dxa"/>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Y</w:t>
                  </w:r>
                </w:p>
              </w:tc>
              <w:tc>
                <w:tcPr>
                  <w:tcW w:w="489" w:type="dxa"/>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Z</w:t>
                  </w:r>
                </w:p>
              </w:tc>
              <w:tc>
                <w:tcPr>
                  <w:tcW w:w="736"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761"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610"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743" w:type="dxa"/>
                  <w:vMerge w:val="continue"/>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924" w:type="dxa"/>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声压级/dB(A)</w:t>
                  </w:r>
                </w:p>
              </w:tc>
              <w:tc>
                <w:tcPr>
                  <w:tcW w:w="758" w:type="dxa"/>
                  <w:tcBorders>
                    <w:tl2br w:val="nil"/>
                    <w:tr2bl w:val="nil"/>
                  </w:tcBorders>
                  <w:noWrap w:val="0"/>
                  <w:vAlign w:val="center"/>
                </w:tcPr>
                <w:p>
                  <w:pPr>
                    <w:pStyle w:val="33"/>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75"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生产车间</w:t>
                  </w:r>
                </w:p>
              </w:tc>
              <w:tc>
                <w:tcPr>
                  <w:tcW w:w="576" w:type="dxa"/>
                  <w:vMerge w:val="restart"/>
                  <w:tcBorders>
                    <w:tl2br w:val="nil"/>
                    <w:tr2bl w:val="nil"/>
                  </w:tcBorders>
                  <w:noWrap w:val="0"/>
                  <w:vAlign w:val="center"/>
                </w:tcPr>
                <w:p>
                  <w:pPr>
                    <w:pStyle w:val="34"/>
                    <w:adjustRightInd w:val="0"/>
                    <w:snapToGrid w:val="0"/>
                    <w:rPr>
                      <w:rFonts w:hint="default" w:eastAsia="宋体"/>
                      <w:color w:val="000000" w:themeColor="text1"/>
                      <w:lang w:val="en-US" w:eastAsia="zh-CN"/>
                      <w14:textFill>
                        <w14:solidFill>
                          <w14:schemeClr w14:val="tx1"/>
                        </w14:solidFill>
                      </w14:textFill>
                    </w:rPr>
                  </w:pPr>
                  <w:r>
                    <w:rPr>
                      <w:rFonts w:hint="eastAsia"/>
                      <w:color w:val="auto"/>
                      <w:sz w:val="21"/>
                      <w:szCs w:val="21"/>
                      <w:lang w:val="en-US" w:eastAsia="zh-CN"/>
                    </w:rPr>
                    <w:t>滚筒掺混机</w:t>
                  </w:r>
                </w:p>
              </w:tc>
              <w:tc>
                <w:tcPr>
                  <w:tcW w:w="583"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1254" w:type="dxa"/>
                  <w:vMerge w:val="restart"/>
                  <w:tcBorders>
                    <w:tl2br w:val="nil"/>
                    <w:tr2bl w:val="nil"/>
                  </w:tcBorders>
                  <w:noWrap w:val="0"/>
                  <w:vAlign w:val="center"/>
                </w:tcPr>
                <w:p>
                  <w:pPr>
                    <w:pStyle w:val="34"/>
                    <w:adjustRightInd w:val="0"/>
                    <w:snapToGrid w:val="0"/>
                    <w:rPr>
                      <w:rFonts w:hint="default"/>
                      <w:color w:val="000000" w:themeColor="text1"/>
                      <w14:textFill>
                        <w14:solidFill>
                          <w14:schemeClr w14:val="tx1"/>
                        </w14:solidFill>
                      </w14:textFill>
                    </w:rPr>
                  </w:pPr>
                  <w:r>
                    <w:rPr>
                      <w:rFonts w:hint="eastAsia" w:cs="Times New Roman"/>
                      <w:sz w:val="21"/>
                      <w:szCs w:val="21"/>
                      <w:lang w:val="en-US" w:eastAsia="zh-CN"/>
                    </w:rPr>
                    <w:t>73</w:t>
                  </w:r>
                  <w:r>
                    <w:rPr>
                      <w:rFonts w:hint="default" w:ascii="Times New Roman" w:hAnsi="Times New Roman" w:cs="Times New Roman"/>
                      <w:sz w:val="21"/>
                      <w:szCs w:val="21"/>
                      <w:lang w:val="en-US" w:eastAsia="zh-CN"/>
                    </w:rPr>
                    <w:t>/1</w:t>
                  </w:r>
                </w:p>
              </w:tc>
              <w:tc>
                <w:tcPr>
                  <w:tcW w:w="601"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065"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3"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60</w:t>
                  </w:r>
                </w:p>
              </w:tc>
              <w:tc>
                <w:tcPr>
                  <w:tcW w:w="803"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60</w:t>
                  </w:r>
                </w:p>
              </w:tc>
              <w:tc>
                <w:tcPr>
                  <w:tcW w:w="574"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15</w:t>
                  </w:r>
                </w:p>
              </w:tc>
              <w:tc>
                <w:tcPr>
                  <w:tcW w:w="602"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10</w:t>
                  </w:r>
                </w:p>
              </w:tc>
              <w:tc>
                <w:tcPr>
                  <w:tcW w:w="489" w:type="dxa"/>
                  <w:vMerge w:val="restart"/>
                  <w:tcBorders>
                    <w:tl2br w:val="nil"/>
                    <w:tr2bl w:val="nil"/>
                  </w:tcBorders>
                  <w:noWrap w:val="0"/>
                  <w:vAlign w:val="center"/>
                </w:tcPr>
                <w:p>
                  <w:pPr>
                    <w:jc w:val="center"/>
                    <w:rPr>
                      <w:rFonts w:hint="default"/>
                      <w:color w:val="000000" w:themeColor="text1"/>
                      <w:szCs w:val="21"/>
                      <w14:textFill>
                        <w14:solidFill>
                          <w14:schemeClr w14:val="tx1"/>
                        </w14:solidFill>
                      </w14:textFill>
                    </w:rPr>
                  </w:pPr>
                  <w:r>
                    <w:rPr>
                      <w:rFonts w:hint="eastAsia" w:cs="Times New Roman"/>
                      <w:sz w:val="21"/>
                      <w:szCs w:val="21"/>
                      <w:lang w:val="en-US" w:eastAsia="zh-CN"/>
                    </w:rPr>
                    <w:t>1</w:t>
                  </w: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东10</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40.00 </w:t>
                  </w:r>
                </w:p>
              </w:tc>
              <w:tc>
                <w:tcPr>
                  <w:tcW w:w="610"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18</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p>
              </w:tc>
              <w:tc>
                <w:tcPr>
                  <w:tcW w:w="743"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w:t>
                  </w:r>
                </w:p>
              </w:tc>
              <w:tc>
                <w:tcPr>
                  <w:tcW w:w="92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34.00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40.00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34.00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西15</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36.48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30.48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北50</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26.02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20.02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restart"/>
                  <w:tcBorders>
                    <w:tl2br w:val="nil"/>
                    <w:tr2bl w:val="nil"/>
                  </w:tcBorders>
                  <w:noWrap w:val="0"/>
                  <w:vAlign w:val="center"/>
                </w:tcPr>
                <w:p>
                  <w:pPr>
                    <w:pStyle w:val="34"/>
                    <w:adjustRightInd w:val="0"/>
                    <w:snapToGrid w:val="0"/>
                    <w:rPr>
                      <w:rFonts w:hint="eastAsia" w:eastAsia="宋体"/>
                      <w:color w:val="000000" w:themeColor="text1"/>
                      <w:lang w:eastAsia="zh-CN"/>
                      <w14:textFill>
                        <w14:solidFill>
                          <w14:schemeClr w14:val="tx1"/>
                        </w14:solidFill>
                      </w14:textFill>
                    </w:rPr>
                  </w:pPr>
                  <w:r>
                    <w:rPr>
                      <w:rFonts w:hint="eastAsia"/>
                      <w:color w:val="auto"/>
                      <w:sz w:val="21"/>
                      <w:szCs w:val="21"/>
                      <w:lang w:val="en-US" w:eastAsia="zh-CN"/>
                    </w:rPr>
                    <w:t>液压挤压机</w:t>
                  </w:r>
                </w:p>
              </w:tc>
              <w:tc>
                <w:tcPr>
                  <w:tcW w:w="583"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54" w:type="dxa"/>
                  <w:vMerge w:val="restart"/>
                  <w:tcBorders>
                    <w:tl2br w:val="nil"/>
                    <w:tr2bl w:val="nil"/>
                  </w:tcBorders>
                  <w:noWrap w:val="0"/>
                  <w:vAlign w:val="center"/>
                </w:tcPr>
                <w:p>
                  <w:pPr>
                    <w:pStyle w:val="34"/>
                    <w:adjustRightInd w:val="0"/>
                    <w:snapToGrid w:val="0"/>
                    <w:rPr>
                      <w:rFonts w:hint="default"/>
                      <w:color w:val="000000" w:themeColor="text1"/>
                      <w14:textFill>
                        <w14:solidFill>
                          <w14:schemeClr w14:val="tx1"/>
                        </w14:solidFill>
                      </w14:textFill>
                    </w:rPr>
                  </w:pPr>
                  <w:r>
                    <w:rPr>
                      <w:rFonts w:hint="eastAsia" w:ascii="Times New Roman" w:hAnsi="Times New Roman" w:cs="Times New Roman"/>
                      <w:sz w:val="21"/>
                      <w:szCs w:val="21"/>
                      <w:lang w:val="en-US" w:eastAsia="zh-CN"/>
                    </w:rPr>
                    <w:t>74</w:t>
                  </w:r>
                  <w:r>
                    <w:rPr>
                      <w:rFonts w:hint="default" w:ascii="Times New Roman" w:hAnsi="Times New Roman" w:cs="Times New Roman"/>
                      <w:sz w:val="21"/>
                      <w:szCs w:val="21"/>
                      <w:lang w:val="en-US" w:eastAsia="zh-CN"/>
                    </w:rPr>
                    <w:t>/1</w:t>
                  </w:r>
                </w:p>
              </w:tc>
              <w:tc>
                <w:tcPr>
                  <w:tcW w:w="601"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065"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3" w:type="dxa"/>
                  <w:vMerge w:val="restart"/>
                  <w:tcBorders>
                    <w:tl2br w:val="nil"/>
                    <w:tr2bl w:val="nil"/>
                  </w:tcBorders>
                  <w:noWrap w:val="0"/>
                  <w:vAlign w:val="center"/>
                </w:tcPr>
                <w:p>
                  <w:pPr>
                    <w:jc w:val="center"/>
                    <w:rPr>
                      <w:rFonts w:hint="default"/>
                      <w:color w:val="000000" w:themeColor="text1"/>
                      <w:szCs w:val="21"/>
                      <w:lang w:val="en-US"/>
                      <w14:textFill>
                        <w14:solidFill>
                          <w14:schemeClr w14:val="tx1"/>
                        </w14:solidFill>
                      </w14:textFill>
                    </w:rPr>
                  </w:pPr>
                  <w:r>
                    <w:rPr>
                      <w:rFonts w:hint="eastAsia" w:cs="Times New Roman"/>
                      <w:sz w:val="21"/>
                      <w:szCs w:val="21"/>
                      <w:lang w:val="en-US" w:eastAsia="zh-CN"/>
                    </w:rPr>
                    <w:t>61</w:t>
                  </w:r>
                </w:p>
              </w:tc>
              <w:tc>
                <w:tcPr>
                  <w:tcW w:w="803" w:type="dxa"/>
                  <w:vMerge w:val="restart"/>
                  <w:tcBorders>
                    <w:tl2br w:val="nil"/>
                    <w:tr2bl w:val="nil"/>
                  </w:tcBorders>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s="Times New Roman"/>
                      <w:sz w:val="21"/>
                      <w:szCs w:val="21"/>
                      <w:lang w:val="en-US" w:eastAsia="zh-CN"/>
                    </w:rPr>
                    <w:t>61</w:t>
                  </w:r>
                </w:p>
              </w:tc>
              <w:tc>
                <w:tcPr>
                  <w:tcW w:w="574"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20</w:t>
                  </w:r>
                </w:p>
              </w:tc>
              <w:tc>
                <w:tcPr>
                  <w:tcW w:w="602"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10</w:t>
                  </w:r>
                </w:p>
              </w:tc>
              <w:tc>
                <w:tcPr>
                  <w:tcW w:w="489" w:type="dxa"/>
                  <w:vMerge w:val="restart"/>
                  <w:tcBorders>
                    <w:tl2br w:val="nil"/>
                    <w:tr2bl w:val="nil"/>
                  </w:tcBorders>
                  <w:noWrap w:val="0"/>
                  <w:vAlign w:val="center"/>
                </w:tcPr>
                <w:p>
                  <w:pPr>
                    <w:jc w:val="center"/>
                    <w:rPr>
                      <w:rFonts w:hint="default"/>
                      <w:color w:val="000000" w:themeColor="text1"/>
                      <w:szCs w:val="21"/>
                      <w14:textFill>
                        <w14:solidFill>
                          <w14:schemeClr w14:val="tx1"/>
                        </w14:solidFill>
                      </w14:textFill>
                    </w:rPr>
                  </w:pPr>
                  <w:r>
                    <w:rPr>
                      <w:rFonts w:hint="eastAsia" w:cs="Times New Roman"/>
                      <w:sz w:val="21"/>
                      <w:szCs w:val="21"/>
                      <w:lang w:val="en-US" w:eastAsia="zh-CN"/>
                    </w:rPr>
                    <w:t>1</w:t>
                  </w: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东5</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47.02 </w:t>
                  </w:r>
                </w:p>
              </w:tc>
              <w:tc>
                <w:tcPr>
                  <w:tcW w:w="610"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18</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p>
              </w:tc>
              <w:tc>
                <w:tcPr>
                  <w:tcW w:w="743"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w:t>
                  </w:r>
                </w:p>
              </w:tc>
              <w:tc>
                <w:tcPr>
                  <w:tcW w:w="92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41.02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41.00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35.00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西20</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34.98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28.98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北50</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27.02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21.02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restart"/>
                  <w:tcBorders>
                    <w:tl2br w:val="nil"/>
                    <w:tr2bl w:val="nil"/>
                  </w:tcBorders>
                  <w:noWrap w:val="0"/>
                  <w:vAlign w:val="center"/>
                </w:tcPr>
                <w:p>
                  <w:pPr>
                    <w:pStyle w:val="34"/>
                    <w:adjustRightInd w:val="0"/>
                    <w:snapToGrid w:val="0"/>
                    <w:rPr>
                      <w:rFonts w:hint="default"/>
                      <w:color w:val="000000" w:themeColor="text1"/>
                      <w14:textFill>
                        <w14:solidFill>
                          <w14:schemeClr w14:val="tx1"/>
                        </w14:solidFill>
                      </w14:textFill>
                    </w:rPr>
                  </w:pPr>
                  <w:r>
                    <w:rPr>
                      <w:rFonts w:hint="eastAsia"/>
                      <w:color w:val="auto"/>
                      <w:sz w:val="21"/>
                      <w:szCs w:val="21"/>
                      <w:lang w:val="en-US" w:eastAsia="zh-CN"/>
                    </w:rPr>
                    <w:t>摇摆筛</w:t>
                  </w:r>
                </w:p>
              </w:tc>
              <w:tc>
                <w:tcPr>
                  <w:tcW w:w="583"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4" w:type="dxa"/>
                  <w:vMerge w:val="restart"/>
                  <w:tcBorders>
                    <w:tl2br w:val="nil"/>
                    <w:tr2bl w:val="nil"/>
                  </w:tcBorders>
                  <w:noWrap w:val="0"/>
                  <w:vAlign w:val="center"/>
                </w:tcPr>
                <w:p>
                  <w:pPr>
                    <w:pStyle w:val="34"/>
                    <w:adjustRightInd w:val="0"/>
                    <w:snapToGrid w:val="0"/>
                    <w:rPr>
                      <w:rFonts w:hint="default"/>
                      <w:color w:val="000000" w:themeColor="text1"/>
                      <w14:textFill>
                        <w14:solidFill>
                          <w14:schemeClr w14:val="tx1"/>
                        </w14:solidFill>
                      </w14:textFill>
                    </w:rPr>
                  </w:pPr>
                  <w:r>
                    <w:rPr>
                      <w:rFonts w:hint="eastAsia" w:cs="Times New Roman"/>
                      <w:sz w:val="21"/>
                      <w:szCs w:val="21"/>
                      <w:lang w:val="en-US" w:eastAsia="zh-CN"/>
                    </w:rPr>
                    <w:t>74</w:t>
                  </w:r>
                  <w:r>
                    <w:rPr>
                      <w:rFonts w:hint="default" w:ascii="Times New Roman" w:hAnsi="Times New Roman" w:cs="Times New Roman"/>
                      <w:sz w:val="21"/>
                      <w:szCs w:val="21"/>
                      <w:lang w:val="en-US" w:eastAsia="zh-CN"/>
                    </w:rPr>
                    <w:t>/1</w:t>
                  </w:r>
                </w:p>
              </w:tc>
              <w:tc>
                <w:tcPr>
                  <w:tcW w:w="601"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065"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3"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61</w:t>
                  </w:r>
                </w:p>
              </w:tc>
              <w:tc>
                <w:tcPr>
                  <w:tcW w:w="803" w:type="dxa"/>
                  <w:vMerge w:val="restart"/>
                  <w:tcBorders>
                    <w:tl2br w:val="nil"/>
                    <w:tr2bl w:val="nil"/>
                  </w:tcBorders>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s="Times New Roman"/>
                      <w:sz w:val="21"/>
                      <w:szCs w:val="21"/>
                      <w:lang w:val="en-US" w:eastAsia="zh-CN"/>
                    </w:rPr>
                    <w:t>61</w:t>
                  </w:r>
                </w:p>
              </w:tc>
              <w:tc>
                <w:tcPr>
                  <w:tcW w:w="574"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20</w:t>
                  </w:r>
                </w:p>
              </w:tc>
              <w:tc>
                <w:tcPr>
                  <w:tcW w:w="602"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15</w:t>
                  </w:r>
                </w:p>
              </w:tc>
              <w:tc>
                <w:tcPr>
                  <w:tcW w:w="489" w:type="dxa"/>
                  <w:vMerge w:val="restart"/>
                  <w:tcBorders>
                    <w:tl2br w:val="nil"/>
                    <w:tr2bl w:val="nil"/>
                  </w:tcBorders>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1</w:t>
                  </w: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东5</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47.02 </w:t>
                  </w:r>
                </w:p>
              </w:tc>
              <w:tc>
                <w:tcPr>
                  <w:tcW w:w="610"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18</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p>
              </w:tc>
              <w:tc>
                <w:tcPr>
                  <w:tcW w:w="743"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w:t>
                  </w:r>
                </w:p>
              </w:tc>
              <w:tc>
                <w:tcPr>
                  <w:tcW w:w="924" w:type="dxa"/>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41.02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南15</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37.48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31.48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西20</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34.98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28.98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北45</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27.94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21.94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restart"/>
                  <w:tcBorders>
                    <w:tl2br w:val="nil"/>
                    <w:tr2bl w:val="nil"/>
                  </w:tcBorders>
                  <w:noWrap w:val="0"/>
                  <w:vAlign w:val="center"/>
                </w:tcPr>
                <w:p>
                  <w:pPr>
                    <w:pStyle w:val="34"/>
                    <w:adjustRightInd w:val="0"/>
                    <w:snapToGrid w:val="0"/>
                    <w:rPr>
                      <w:rFonts w:hint="default"/>
                      <w:color w:val="000000" w:themeColor="text1"/>
                      <w14:textFill>
                        <w14:solidFill>
                          <w14:schemeClr w14:val="tx1"/>
                        </w14:solidFill>
                      </w14:textFill>
                    </w:rPr>
                  </w:pPr>
                  <w:r>
                    <w:rPr>
                      <w:rFonts w:hint="eastAsia"/>
                      <w:color w:val="auto"/>
                      <w:lang w:val="en-US" w:eastAsia="zh-CN"/>
                    </w:rPr>
                    <w:t>除尘器风机</w:t>
                  </w:r>
                </w:p>
              </w:tc>
              <w:tc>
                <w:tcPr>
                  <w:tcW w:w="583"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4" w:type="dxa"/>
                  <w:vMerge w:val="restart"/>
                  <w:tcBorders>
                    <w:tl2br w:val="nil"/>
                    <w:tr2bl w:val="nil"/>
                  </w:tcBorders>
                  <w:noWrap w:val="0"/>
                  <w:vAlign w:val="center"/>
                </w:tcPr>
                <w:p>
                  <w:pPr>
                    <w:pStyle w:val="34"/>
                    <w:adjustRightInd w:val="0"/>
                    <w:snapToGrid w:val="0"/>
                    <w:rPr>
                      <w:rFonts w:hint="default"/>
                      <w:color w:val="000000" w:themeColor="text1"/>
                      <w14:textFill>
                        <w14:solidFill>
                          <w14:schemeClr w14:val="tx1"/>
                        </w14:solidFill>
                      </w14:textFill>
                    </w:rPr>
                  </w:pPr>
                  <w:r>
                    <w:rPr>
                      <w:rFonts w:hint="eastAsia" w:ascii="Times New Roman" w:hAnsi="Times New Roman" w:cs="Times New Roman"/>
                      <w:sz w:val="21"/>
                      <w:szCs w:val="21"/>
                      <w:lang w:val="en-US" w:eastAsia="zh-CN"/>
                    </w:rPr>
                    <w:t>77</w:t>
                  </w:r>
                  <w:r>
                    <w:rPr>
                      <w:rFonts w:hint="default" w:ascii="Times New Roman" w:hAnsi="Times New Roman" w:cs="Times New Roman"/>
                      <w:sz w:val="21"/>
                      <w:szCs w:val="21"/>
                      <w:lang w:val="en-US" w:eastAsia="zh-CN"/>
                    </w:rPr>
                    <w:t>/1</w:t>
                  </w:r>
                </w:p>
              </w:tc>
              <w:tc>
                <w:tcPr>
                  <w:tcW w:w="601" w:type="dxa"/>
                  <w:vMerge w:val="restart"/>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065"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3" w:type="dxa"/>
                  <w:vMerge w:val="restart"/>
                  <w:tcBorders>
                    <w:tl2br w:val="nil"/>
                    <w:tr2bl w:val="nil"/>
                  </w:tcBorders>
                  <w:noWrap w:val="0"/>
                  <w:vAlign w:val="center"/>
                </w:tcPr>
                <w:p>
                  <w:pPr>
                    <w:jc w:val="center"/>
                    <w:rPr>
                      <w:rFonts w:hint="default"/>
                      <w:color w:val="000000" w:themeColor="text1"/>
                      <w:szCs w:val="21"/>
                      <w:lang w:val="en-US"/>
                      <w14:textFill>
                        <w14:solidFill>
                          <w14:schemeClr w14:val="tx1"/>
                        </w14:solidFill>
                      </w14:textFill>
                    </w:rPr>
                  </w:pPr>
                  <w:r>
                    <w:rPr>
                      <w:rFonts w:hint="eastAsia" w:cs="Times New Roman"/>
                      <w:sz w:val="21"/>
                      <w:szCs w:val="21"/>
                      <w:lang w:val="en-US" w:eastAsia="zh-CN"/>
                    </w:rPr>
                    <w:t>64</w:t>
                  </w:r>
                </w:p>
              </w:tc>
              <w:tc>
                <w:tcPr>
                  <w:tcW w:w="803" w:type="dxa"/>
                  <w:vMerge w:val="restart"/>
                  <w:tcBorders>
                    <w:tl2br w:val="nil"/>
                    <w:tr2bl w:val="nil"/>
                  </w:tcBorders>
                  <w:noWrap w:val="0"/>
                  <w:vAlign w:val="center"/>
                </w:tcPr>
                <w:p>
                  <w:pPr>
                    <w:jc w:val="center"/>
                    <w:rPr>
                      <w:rFonts w:hint="default" w:eastAsia="宋体"/>
                      <w:color w:val="000000" w:themeColor="text1"/>
                      <w:lang w:val="en-US" w:eastAsia="zh-CN"/>
                      <w14:textFill>
                        <w14:solidFill>
                          <w14:schemeClr w14:val="tx1"/>
                        </w14:solidFill>
                      </w14:textFill>
                    </w:rPr>
                  </w:pPr>
                  <w:r>
                    <w:rPr>
                      <w:rFonts w:hint="eastAsia" w:cs="Times New Roman"/>
                      <w:sz w:val="21"/>
                      <w:szCs w:val="21"/>
                      <w:lang w:val="en-US" w:eastAsia="zh-CN"/>
                    </w:rPr>
                    <w:t>64</w:t>
                  </w:r>
                </w:p>
              </w:tc>
              <w:tc>
                <w:tcPr>
                  <w:tcW w:w="574"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15</w:t>
                  </w:r>
                </w:p>
              </w:tc>
              <w:tc>
                <w:tcPr>
                  <w:tcW w:w="602" w:type="dxa"/>
                  <w:vMerge w:val="restart"/>
                  <w:tcBorders>
                    <w:tl2br w:val="nil"/>
                    <w:tr2bl w:val="nil"/>
                  </w:tcBorders>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5</w:t>
                  </w:r>
                </w:p>
              </w:tc>
              <w:tc>
                <w:tcPr>
                  <w:tcW w:w="489" w:type="dxa"/>
                  <w:vMerge w:val="restart"/>
                  <w:tcBorders>
                    <w:tl2br w:val="nil"/>
                    <w:tr2bl w:val="nil"/>
                  </w:tcBorders>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1</w:t>
                  </w: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东10</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44.00 </w:t>
                  </w:r>
                </w:p>
              </w:tc>
              <w:tc>
                <w:tcPr>
                  <w:tcW w:w="610"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18</w:t>
                  </w:r>
                  <w:r>
                    <w:rPr>
                      <w:rFonts w:hint="default" w:ascii="Times New Roman" w:hAnsi="Times New Roman" w:eastAsia="宋体" w:cs="Times New Roman"/>
                      <w:color w:val="000000" w:themeColor="text1"/>
                      <w:szCs w:val="21"/>
                      <w:lang w:val="en-US" w:eastAsia="zh-CN"/>
                      <w14:textFill>
                        <w14:solidFill>
                          <w14:schemeClr w14:val="tx1"/>
                        </w14:solidFill>
                      </w14:textFill>
                    </w:rPr>
                    <w:t>:00</w:t>
                  </w:r>
                </w:p>
              </w:tc>
              <w:tc>
                <w:tcPr>
                  <w:tcW w:w="743"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w:t>
                  </w:r>
                </w:p>
              </w:tc>
              <w:tc>
                <w:tcPr>
                  <w:tcW w:w="924" w:type="dxa"/>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38.00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南5</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50.02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44.02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西15</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40.48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34.48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5"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6"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4"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1"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6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3" w:type="dxa"/>
                  <w:vMerge w:val="continue"/>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7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8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3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北55</w:t>
                  </w:r>
                </w:p>
              </w:tc>
              <w:tc>
                <w:tcPr>
                  <w:tcW w:w="761"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29.19 </w:t>
                  </w:r>
                </w:p>
              </w:tc>
              <w:tc>
                <w:tcPr>
                  <w:tcW w:w="61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43"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24" w:type="dxa"/>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23.19 </w:t>
                  </w:r>
                </w:p>
              </w:tc>
              <w:tc>
                <w:tcPr>
                  <w:tcW w:w="758" w:type="dxa"/>
                  <w:tcBorders>
                    <w:tl2br w:val="nil"/>
                    <w:tr2bl w:val="nil"/>
                  </w:tcBorders>
                  <w:noWrap w:val="0"/>
                  <w:vAlign w:val="center"/>
                </w:tcPr>
                <w:p>
                  <w:pPr>
                    <w:pStyle w:val="34"/>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bl>
          <w:p>
            <w:pPr>
              <w:rPr>
                <w:rFonts w:hint="default" w:ascii="Times New Roman" w:hAnsi="Times New Roman" w:eastAsia="宋体" w:cs="Times New Roman"/>
                <w:lang w:val="pt-BR" w:eastAsia="zh-CN"/>
              </w:rPr>
            </w:pPr>
          </w:p>
          <w:p>
            <w:pPr>
              <w:rPr>
                <w:rFonts w:hint="eastAsia"/>
              </w:rPr>
            </w:pPr>
          </w:p>
        </w:tc>
      </w:tr>
    </w:tbl>
    <w:p>
      <w:pPr>
        <w:pStyle w:val="3"/>
        <w:rPr>
          <w:rFonts w:hint="eastAsia"/>
        </w:rPr>
        <w:sectPr>
          <w:pgSz w:w="16840" w:h="11907" w:orient="landscape"/>
          <w:pgMar w:top="1134" w:right="1701" w:bottom="1134"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86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16"/>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p>
        </w:tc>
        <w:tc>
          <w:tcPr>
            <w:tcW w:w="8162"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520" w:lineRule="exact"/>
              <w:ind w:firstLine="422" w:firstLineChars="200"/>
              <w:rPr>
                <w:rFonts w:hint="default" w:ascii="Times New Roman" w:hAnsi="Times New Roman" w:cs="Times New Roman"/>
                <w:b/>
                <w:color w:val="000000"/>
                <w:sz w:val="21"/>
                <w:szCs w:val="21"/>
                <w:lang w:val="en-US"/>
              </w:rPr>
            </w:pPr>
            <w:r>
              <w:rPr>
                <w:rFonts w:hint="default" w:ascii="Times New Roman" w:hAnsi="Times New Roman" w:cs="Times New Roman"/>
                <w:b/>
                <w:color w:val="000000"/>
                <w:sz w:val="21"/>
                <w:szCs w:val="21"/>
                <w:lang w:val="en-US"/>
              </w:rPr>
              <w:t>2、预测计算方法</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rFonts w:hint="eastAsia"/>
                <w:color w:val="000000"/>
                <w:kern w:val="0"/>
                <w:sz w:val="21"/>
                <w:szCs w:val="21"/>
              </w:rPr>
              <w:t>①</w:t>
            </w:r>
            <w:r>
              <w:rPr>
                <w:color w:val="000000"/>
                <w:kern w:val="0"/>
                <w:sz w:val="21"/>
                <w:szCs w:val="21"/>
              </w:rPr>
              <w:t>噪声源衰减分析方法</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设备声源传播到受声点的距离为</w:t>
            </w:r>
            <w:r>
              <w:rPr>
                <w:i w:val="0"/>
                <w:iCs w:val="0"/>
                <w:color w:val="000000"/>
                <w:kern w:val="0"/>
                <w:sz w:val="21"/>
                <w:szCs w:val="21"/>
              </w:rPr>
              <w:drawing>
                <wp:inline distT="0" distB="0" distL="114300" distR="114300">
                  <wp:extent cx="114300" cy="142875"/>
                  <wp:effectExtent l="0" t="0" r="0"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114300" cy="142875"/>
                          </a:xfrm>
                          <a:prstGeom prst="rect">
                            <a:avLst/>
                          </a:prstGeom>
                          <a:noFill/>
                          <a:ln>
                            <a:noFill/>
                          </a:ln>
                        </pic:spPr>
                      </pic:pic>
                    </a:graphicData>
                  </a:graphic>
                </wp:inline>
              </w:drawing>
            </w:r>
            <w:r>
              <w:rPr>
                <w:color w:val="000000"/>
                <w:kern w:val="0"/>
                <w:sz w:val="21"/>
                <w:szCs w:val="21"/>
              </w:rPr>
              <w:t>，厂房高度为</w:t>
            </w:r>
            <w:r>
              <w:rPr>
                <w:color w:val="000000"/>
                <w:kern w:val="0"/>
                <w:sz w:val="21"/>
                <w:szCs w:val="21"/>
              </w:rPr>
              <w:drawing>
                <wp:inline distT="0" distB="0" distL="114300" distR="114300">
                  <wp:extent cx="142875" cy="142875"/>
                  <wp:effectExtent l="0" t="0" r="9525" b="825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8"/>
                          <a:stretch>
                            <a:fillRect/>
                          </a:stretch>
                        </pic:blipFill>
                        <pic:spPr>
                          <a:xfrm>
                            <a:off x="0" y="0"/>
                            <a:ext cx="142875" cy="142875"/>
                          </a:xfrm>
                          <a:prstGeom prst="rect">
                            <a:avLst/>
                          </a:prstGeom>
                          <a:noFill/>
                          <a:ln>
                            <a:noFill/>
                          </a:ln>
                        </pic:spPr>
                      </pic:pic>
                    </a:graphicData>
                  </a:graphic>
                </wp:inline>
              </w:drawing>
            </w:r>
            <w:r>
              <w:rPr>
                <w:color w:val="000000"/>
                <w:kern w:val="0"/>
                <w:sz w:val="21"/>
                <w:szCs w:val="21"/>
              </w:rPr>
              <w:t>，厂房的长度为</w:t>
            </w:r>
            <w:r>
              <w:rPr>
                <w:color w:val="000000"/>
                <w:kern w:val="0"/>
                <w:sz w:val="21"/>
                <w:szCs w:val="21"/>
              </w:rPr>
              <w:drawing>
                <wp:inline distT="0" distB="0" distL="114300" distR="114300">
                  <wp:extent cx="142875" cy="180975"/>
                  <wp:effectExtent l="0" t="0" r="0" b="889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19"/>
                          <a:stretch>
                            <a:fillRect/>
                          </a:stretch>
                        </pic:blipFill>
                        <pic:spPr>
                          <a:xfrm>
                            <a:off x="0" y="0"/>
                            <a:ext cx="142875" cy="180975"/>
                          </a:xfrm>
                          <a:prstGeom prst="rect">
                            <a:avLst/>
                          </a:prstGeom>
                          <a:noFill/>
                          <a:ln>
                            <a:noFill/>
                          </a:ln>
                        </pic:spPr>
                      </pic:pic>
                    </a:graphicData>
                  </a:graphic>
                </wp:inline>
              </w:drawing>
            </w:r>
            <w:r>
              <w:rPr>
                <w:color w:val="000000"/>
                <w:kern w:val="0"/>
                <w:sz w:val="21"/>
                <w:szCs w:val="21"/>
              </w:rPr>
              <w:t>，对于靠近墙面中心为</w:t>
            </w:r>
            <w:r>
              <w:rPr>
                <w:color w:val="000000"/>
                <w:kern w:val="0"/>
                <w:sz w:val="21"/>
                <w:szCs w:val="21"/>
              </w:rPr>
              <w:drawing>
                <wp:inline distT="0" distB="0" distL="114300" distR="114300">
                  <wp:extent cx="114300" cy="142875"/>
                  <wp:effectExtent l="0" t="0" r="0" b="825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7"/>
                          <a:stretch>
                            <a:fillRect/>
                          </a:stretch>
                        </pic:blipFill>
                        <pic:spPr>
                          <a:xfrm>
                            <a:off x="0" y="0"/>
                            <a:ext cx="114300" cy="142875"/>
                          </a:xfrm>
                          <a:prstGeom prst="rect">
                            <a:avLst/>
                          </a:prstGeom>
                          <a:noFill/>
                          <a:ln>
                            <a:noFill/>
                          </a:ln>
                        </pic:spPr>
                      </pic:pic>
                    </a:graphicData>
                  </a:graphic>
                </wp:inline>
              </w:drawing>
            </w:r>
            <w:r>
              <w:rPr>
                <w:color w:val="000000"/>
                <w:kern w:val="0"/>
                <w:sz w:val="21"/>
                <w:szCs w:val="21"/>
              </w:rPr>
              <w:t>距离的受声点声压级的计算（仅考虑距离衰减）：</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当</w:t>
            </w:r>
            <w:r>
              <w:rPr>
                <w:color w:val="000000"/>
                <w:kern w:val="0"/>
                <w:sz w:val="21"/>
                <w:szCs w:val="21"/>
              </w:rPr>
              <w:drawing>
                <wp:inline distT="0" distB="0" distL="114300" distR="114300">
                  <wp:extent cx="114300" cy="142875"/>
                  <wp:effectExtent l="0" t="0" r="0" b="825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0"/>
                          <a:stretch>
                            <a:fillRect/>
                          </a:stretch>
                        </pic:blipFill>
                        <pic:spPr>
                          <a:xfrm>
                            <a:off x="0" y="0"/>
                            <a:ext cx="114300" cy="142875"/>
                          </a:xfrm>
                          <a:prstGeom prst="rect">
                            <a:avLst/>
                          </a:prstGeom>
                          <a:noFill/>
                          <a:ln>
                            <a:noFill/>
                          </a:ln>
                        </pic:spPr>
                      </pic:pic>
                    </a:graphicData>
                  </a:graphic>
                </wp:inline>
              </w:drawing>
            </w:r>
            <w:r>
              <w:rPr>
                <w:color w:val="000000"/>
                <w:kern w:val="0"/>
                <w:sz w:val="21"/>
                <w:szCs w:val="21"/>
              </w:rPr>
              <w:t>≤</w:t>
            </w:r>
            <w:r>
              <w:rPr>
                <w:color w:val="000000"/>
                <w:kern w:val="0"/>
                <w:sz w:val="21"/>
                <w:szCs w:val="21"/>
              </w:rPr>
              <w:drawing>
                <wp:inline distT="0" distB="0" distL="114300" distR="114300">
                  <wp:extent cx="323850" cy="180975"/>
                  <wp:effectExtent l="0" t="0" r="0" b="889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1"/>
                          <a:stretch>
                            <a:fillRect/>
                          </a:stretch>
                        </pic:blipFill>
                        <pic:spPr>
                          <a:xfrm>
                            <a:off x="0" y="0"/>
                            <a:ext cx="323850" cy="180975"/>
                          </a:xfrm>
                          <a:prstGeom prst="rect">
                            <a:avLst/>
                          </a:prstGeom>
                          <a:noFill/>
                          <a:ln>
                            <a:noFill/>
                          </a:ln>
                        </pic:spPr>
                      </pic:pic>
                    </a:graphicData>
                  </a:graphic>
                </wp:inline>
              </w:drawing>
            </w:r>
            <w:r>
              <w:rPr>
                <w:color w:val="000000"/>
                <w:kern w:val="0"/>
                <w:sz w:val="21"/>
                <w:szCs w:val="21"/>
              </w:rPr>
              <w:t>，噪声传播途径中的声级值与距离无关，基本上没有明显衰减；</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当</w:t>
            </w:r>
            <w:r>
              <w:rPr>
                <w:color w:val="000000"/>
                <w:kern w:val="0"/>
                <w:sz w:val="21"/>
                <w:szCs w:val="21"/>
              </w:rPr>
              <w:drawing>
                <wp:inline distT="0" distB="0" distL="114300" distR="114300">
                  <wp:extent cx="323850" cy="180975"/>
                  <wp:effectExtent l="0" t="0" r="0" b="889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21"/>
                          <a:stretch>
                            <a:fillRect/>
                          </a:stretch>
                        </pic:blipFill>
                        <pic:spPr>
                          <a:xfrm>
                            <a:off x="0" y="0"/>
                            <a:ext cx="323850" cy="180975"/>
                          </a:xfrm>
                          <a:prstGeom prst="rect">
                            <a:avLst/>
                          </a:prstGeom>
                          <a:noFill/>
                          <a:ln>
                            <a:noFill/>
                          </a:ln>
                        </pic:spPr>
                      </pic:pic>
                    </a:graphicData>
                  </a:graphic>
                </wp:inline>
              </w:drawing>
            </w:r>
            <w:r>
              <w:rPr>
                <w:color w:val="000000"/>
                <w:kern w:val="0"/>
                <w:sz w:val="21"/>
                <w:szCs w:val="21"/>
              </w:rPr>
              <w:t>≤</w:t>
            </w:r>
            <w:r>
              <w:rPr>
                <w:color w:val="000000"/>
                <w:kern w:val="0"/>
                <w:sz w:val="21"/>
                <w:szCs w:val="21"/>
              </w:rPr>
              <w:drawing>
                <wp:inline distT="0" distB="0" distL="114300" distR="114300">
                  <wp:extent cx="114300" cy="142875"/>
                  <wp:effectExtent l="0" t="0" r="0" b="825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20"/>
                          <a:stretch>
                            <a:fillRect/>
                          </a:stretch>
                        </pic:blipFill>
                        <pic:spPr>
                          <a:xfrm>
                            <a:off x="0" y="0"/>
                            <a:ext cx="114300" cy="142875"/>
                          </a:xfrm>
                          <a:prstGeom prst="rect">
                            <a:avLst/>
                          </a:prstGeom>
                          <a:noFill/>
                          <a:ln>
                            <a:noFill/>
                          </a:ln>
                        </pic:spPr>
                      </pic:pic>
                    </a:graphicData>
                  </a:graphic>
                </wp:inline>
              </w:drawing>
            </w:r>
            <w:r>
              <w:rPr>
                <w:color w:val="000000"/>
                <w:kern w:val="0"/>
                <w:sz w:val="21"/>
                <w:szCs w:val="21"/>
              </w:rPr>
              <w:t>≤</w:t>
            </w:r>
            <w:r>
              <w:rPr>
                <w:color w:val="000000"/>
                <w:kern w:val="0"/>
                <w:sz w:val="21"/>
                <w:szCs w:val="21"/>
              </w:rPr>
              <w:drawing>
                <wp:inline distT="0" distB="0" distL="114300" distR="114300">
                  <wp:extent cx="304800" cy="180975"/>
                  <wp:effectExtent l="0" t="0" r="0" b="889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22"/>
                          <a:stretch>
                            <a:fillRect/>
                          </a:stretch>
                        </pic:blipFill>
                        <pic:spPr>
                          <a:xfrm>
                            <a:off x="0" y="0"/>
                            <a:ext cx="304800" cy="180975"/>
                          </a:xfrm>
                          <a:prstGeom prst="rect">
                            <a:avLst/>
                          </a:prstGeom>
                          <a:noFill/>
                          <a:ln>
                            <a:noFill/>
                          </a:ln>
                        </pic:spPr>
                      </pic:pic>
                    </a:graphicData>
                  </a:graphic>
                </wp:inline>
              </w:drawing>
            </w:r>
            <w:r>
              <w:rPr>
                <w:color w:val="000000"/>
                <w:kern w:val="0"/>
                <w:sz w:val="21"/>
                <w:szCs w:val="21"/>
              </w:rPr>
              <w:t>时，声源面可近似退化为线源，声压级计算公式为：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center"/>
              <w:rPr>
                <w:color w:val="000000"/>
                <w:sz w:val="21"/>
                <w:szCs w:val="21"/>
              </w:rPr>
            </w:pPr>
            <w:r>
              <w:rPr>
                <w:color w:val="000000"/>
                <w:sz w:val="21"/>
                <w:szCs w:val="21"/>
              </w:rPr>
              <w:drawing>
                <wp:inline distT="0" distB="0" distL="114300" distR="114300">
                  <wp:extent cx="1381125" cy="257810"/>
                  <wp:effectExtent l="0" t="0" r="0" b="762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23"/>
                          <a:stretch>
                            <a:fillRect/>
                          </a:stretch>
                        </pic:blipFill>
                        <pic:spPr>
                          <a:xfrm>
                            <a:off x="0" y="0"/>
                            <a:ext cx="1381125" cy="257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当</w:t>
            </w:r>
            <w:r>
              <w:rPr>
                <w:color w:val="000000"/>
                <w:kern w:val="0"/>
                <w:sz w:val="21"/>
                <w:szCs w:val="21"/>
              </w:rPr>
              <w:drawing>
                <wp:inline distT="0" distB="0" distL="114300" distR="114300">
                  <wp:extent cx="114300" cy="142875"/>
                  <wp:effectExtent l="0" t="0" r="0" b="825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20"/>
                          <a:stretch>
                            <a:fillRect/>
                          </a:stretch>
                        </pic:blipFill>
                        <pic:spPr>
                          <a:xfrm>
                            <a:off x="0" y="0"/>
                            <a:ext cx="114300" cy="142875"/>
                          </a:xfrm>
                          <a:prstGeom prst="rect">
                            <a:avLst/>
                          </a:prstGeom>
                          <a:noFill/>
                          <a:ln>
                            <a:noFill/>
                          </a:ln>
                        </pic:spPr>
                      </pic:pic>
                    </a:graphicData>
                  </a:graphic>
                </wp:inline>
              </w:drawing>
            </w:r>
            <w:r>
              <w:rPr>
                <w:color w:val="000000"/>
                <w:kern w:val="0"/>
                <w:sz w:val="21"/>
                <w:szCs w:val="21"/>
              </w:rPr>
              <w:t>＞</w:t>
            </w:r>
            <w:r>
              <w:rPr>
                <w:color w:val="000000"/>
                <w:kern w:val="0"/>
                <w:sz w:val="21"/>
                <w:szCs w:val="21"/>
              </w:rPr>
              <w:drawing>
                <wp:inline distT="0" distB="0" distL="114300" distR="114300">
                  <wp:extent cx="304800" cy="180975"/>
                  <wp:effectExtent l="0" t="0" r="0" b="889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22"/>
                          <a:stretch>
                            <a:fillRect/>
                          </a:stretch>
                        </pic:blipFill>
                        <pic:spPr>
                          <a:xfrm>
                            <a:off x="0" y="0"/>
                            <a:ext cx="304800" cy="180975"/>
                          </a:xfrm>
                          <a:prstGeom prst="rect">
                            <a:avLst/>
                          </a:prstGeom>
                          <a:noFill/>
                          <a:ln>
                            <a:noFill/>
                          </a:ln>
                        </pic:spPr>
                      </pic:pic>
                    </a:graphicData>
                  </a:graphic>
                </wp:inline>
              </w:drawing>
            </w:r>
            <w:r>
              <w:rPr>
                <w:color w:val="000000"/>
                <w:kern w:val="0"/>
                <w:sz w:val="21"/>
                <w:szCs w:val="21"/>
              </w:rPr>
              <w:t>时，可近似认为声源退化为一个点源，计算公式为：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center"/>
              <w:rPr>
                <w:color w:val="000000"/>
                <w:sz w:val="21"/>
                <w:szCs w:val="21"/>
              </w:rPr>
            </w:pPr>
            <w:r>
              <w:rPr>
                <w:color w:val="000000"/>
                <w:sz w:val="21"/>
                <w:szCs w:val="21"/>
              </w:rPr>
              <w:drawing>
                <wp:inline distT="0" distB="0" distL="114300" distR="114300">
                  <wp:extent cx="1506855" cy="238125"/>
                  <wp:effectExtent l="0" t="0" r="0" b="825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24"/>
                          <a:stretch>
                            <a:fillRect/>
                          </a:stretch>
                        </pic:blipFill>
                        <pic:spPr>
                          <a:xfrm>
                            <a:off x="0" y="0"/>
                            <a:ext cx="1506855"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式中：</w:t>
            </w:r>
            <w:r>
              <w:rPr>
                <w:color w:val="000000"/>
                <w:kern w:val="0"/>
                <w:sz w:val="21"/>
                <w:szCs w:val="21"/>
              </w:rPr>
              <w:drawing>
                <wp:inline distT="0" distB="0" distL="114300" distR="114300">
                  <wp:extent cx="180975" cy="219075"/>
                  <wp:effectExtent l="0" t="0" r="0" b="6350"/>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25"/>
                          <a:stretch>
                            <a:fillRect/>
                          </a:stretch>
                        </pic:blipFill>
                        <pic:spPr>
                          <a:xfrm>
                            <a:off x="0" y="0"/>
                            <a:ext cx="180975" cy="219075"/>
                          </a:xfrm>
                          <a:prstGeom prst="rect">
                            <a:avLst/>
                          </a:prstGeom>
                          <a:noFill/>
                          <a:ln>
                            <a:noFill/>
                          </a:ln>
                        </pic:spPr>
                      </pic:pic>
                    </a:graphicData>
                  </a:graphic>
                </wp:inline>
              </w:drawing>
            </w:r>
            <w:r>
              <w:rPr>
                <w:color w:val="000000"/>
                <w:kern w:val="0"/>
                <w:sz w:val="21"/>
                <w:szCs w:val="21"/>
              </w:rPr>
              <w:t>—距噪声源距离为</w:t>
            </w:r>
            <w:r>
              <w:rPr>
                <w:color w:val="000000"/>
                <w:kern w:val="0"/>
                <w:sz w:val="21"/>
                <w:szCs w:val="21"/>
              </w:rPr>
              <w:drawing>
                <wp:inline distT="0" distB="0" distL="114300" distR="114300">
                  <wp:extent cx="114300" cy="142875"/>
                  <wp:effectExtent l="0" t="0" r="0" b="825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20"/>
                          <a:stretch>
                            <a:fillRect/>
                          </a:stretch>
                        </pic:blipFill>
                        <pic:spPr>
                          <a:xfrm>
                            <a:off x="0" y="0"/>
                            <a:ext cx="114300" cy="142875"/>
                          </a:xfrm>
                          <a:prstGeom prst="rect">
                            <a:avLst/>
                          </a:prstGeom>
                          <a:noFill/>
                          <a:ln>
                            <a:noFill/>
                          </a:ln>
                        </pic:spPr>
                      </pic:pic>
                    </a:graphicData>
                  </a:graphic>
                </wp:inline>
              </w:drawing>
            </w:r>
            <w:r>
              <w:rPr>
                <w:color w:val="000000"/>
                <w:kern w:val="0"/>
                <w:sz w:val="21"/>
                <w:szCs w:val="21"/>
              </w:rPr>
              <w:t>处声级值，[dB(A)]；</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drawing>
                <wp:inline distT="0" distB="0" distL="114300" distR="114300">
                  <wp:extent cx="180975" cy="228600"/>
                  <wp:effectExtent l="0" t="0" r="889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26"/>
                          <a:stretch>
                            <a:fillRect/>
                          </a:stretch>
                        </pic:blipFill>
                        <pic:spPr>
                          <a:xfrm>
                            <a:off x="0" y="0"/>
                            <a:ext cx="180975" cy="228600"/>
                          </a:xfrm>
                          <a:prstGeom prst="rect">
                            <a:avLst/>
                          </a:prstGeom>
                          <a:noFill/>
                          <a:ln>
                            <a:noFill/>
                          </a:ln>
                        </pic:spPr>
                      </pic:pic>
                    </a:graphicData>
                  </a:graphic>
                </wp:inline>
              </w:drawing>
            </w:r>
            <w:r>
              <w:rPr>
                <w:color w:val="000000"/>
                <w:kern w:val="0"/>
                <w:sz w:val="21"/>
                <w:szCs w:val="21"/>
              </w:rPr>
              <w:t>—距噪声源距离为</w:t>
            </w:r>
            <w:r>
              <w:rPr>
                <w:color w:val="000000"/>
                <w:kern w:val="0"/>
                <w:sz w:val="21"/>
                <w:szCs w:val="21"/>
              </w:rPr>
              <w:drawing>
                <wp:inline distT="0" distB="0" distL="114300" distR="114300">
                  <wp:extent cx="142875" cy="228600"/>
                  <wp:effectExtent l="0" t="0" r="9525" b="0"/>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27"/>
                          <a:stretch>
                            <a:fillRect/>
                          </a:stretch>
                        </pic:blipFill>
                        <pic:spPr>
                          <a:xfrm>
                            <a:off x="0" y="0"/>
                            <a:ext cx="142875" cy="228600"/>
                          </a:xfrm>
                          <a:prstGeom prst="rect">
                            <a:avLst/>
                          </a:prstGeom>
                          <a:noFill/>
                          <a:ln>
                            <a:noFill/>
                          </a:ln>
                        </pic:spPr>
                      </pic:pic>
                    </a:graphicData>
                  </a:graphic>
                </wp:inline>
              </w:drawing>
            </w:r>
            <w:r>
              <w:rPr>
                <w:color w:val="000000"/>
                <w:kern w:val="0"/>
                <w:sz w:val="21"/>
                <w:szCs w:val="21"/>
              </w:rPr>
              <w:t>处声级值，[dB(A)]；</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drawing>
                <wp:inline distT="0" distB="0" distL="114300" distR="114300">
                  <wp:extent cx="114300" cy="142875"/>
                  <wp:effectExtent l="0" t="0" r="0" b="825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28"/>
                          <a:stretch>
                            <a:fillRect/>
                          </a:stretch>
                        </pic:blipFill>
                        <pic:spPr>
                          <a:xfrm>
                            <a:off x="0" y="0"/>
                            <a:ext cx="114300" cy="142875"/>
                          </a:xfrm>
                          <a:prstGeom prst="rect">
                            <a:avLst/>
                          </a:prstGeom>
                          <a:noFill/>
                          <a:ln>
                            <a:noFill/>
                          </a:ln>
                        </pic:spPr>
                      </pic:pic>
                    </a:graphicData>
                  </a:graphic>
                </wp:inline>
              </w:drawing>
            </w:r>
            <w:r>
              <w:rPr>
                <w:color w:val="000000"/>
                <w:kern w:val="0"/>
                <w:sz w:val="21"/>
                <w:szCs w:val="21"/>
              </w:rPr>
              <w:t>—关心点距噪声源距离，m；</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drawing>
                <wp:inline distT="0" distB="0" distL="114300" distR="114300">
                  <wp:extent cx="142875" cy="228600"/>
                  <wp:effectExtent l="0" t="0" r="9525" b="0"/>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29"/>
                          <a:stretch>
                            <a:fillRect/>
                          </a:stretch>
                        </pic:blipFill>
                        <pic:spPr>
                          <a:xfrm>
                            <a:off x="0" y="0"/>
                            <a:ext cx="142875" cy="228600"/>
                          </a:xfrm>
                          <a:prstGeom prst="rect">
                            <a:avLst/>
                          </a:prstGeom>
                          <a:noFill/>
                          <a:ln>
                            <a:noFill/>
                          </a:ln>
                        </pic:spPr>
                      </pic:pic>
                    </a:graphicData>
                  </a:graphic>
                </wp:inline>
              </w:drawing>
            </w:r>
            <w:r>
              <w:rPr>
                <w:color w:val="000000"/>
                <w:kern w:val="0"/>
                <w:sz w:val="21"/>
                <w:szCs w:val="21"/>
              </w:rPr>
              <w:t>—距噪声源距离，</w:t>
            </w:r>
            <w:r>
              <w:rPr>
                <w:color w:val="000000"/>
                <w:kern w:val="0"/>
                <w:sz w:val="21"/>
                <w:szCs w:val="21"/>
              </w:rPr>
              <w:drawing>
                <wp:inline distT="0" distB="0" distL="114300" distR="114300">
                  <wp:extent cx="142875" cy="228600"/>
                  <wp:effectExtent l="0" t="0" r="9525" b="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30"/>
                          <a:stretch>
                            <a:fillRect/>
                          </a:stretch>
                        </pic:blipFill>
                        <pic:spPr>
                          <a:xfrm>
                            <a:off x="0" y="0"/>
                            <a:ext cx="142875" cy="228600"/>
                          </a:xfrm>
                          <a:prstGeom prst="rect">
                            <a:avLst/>
                          </a:prstGeom>
                          <a:noFill/>
                          <a:ln>
                            <a:noFill/>
                          </a:ln>
                        </pic:spPr>
                      </pic:pic>
                    </a:graphicData>
                  </a:graphic>
                </wp:inline>
              </w:drawing>
            </w:r>
            <w:r>
              <w:rPr>
                <w:color w:val="000000"/>
                <w:kern w:val="0"/>
                <w:sz w:val="21"/>
                <w:szCs w:val="21"/>
              </w:rPr>
              <w:t>取1m。</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预测时，根据判定结果，取合适公式进行预测。</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rFonts w:hint="eastAsia"/>
                <w:color w:val="000000"/>
                <w:kern w:val="0"/>
                <w:sz w:val="21"/>
                <w:szCs w:val="21"/>
              </w:rPr>
              <w:t>②</w:t>
            </w:r>
            <w:r>
              <w:rPr>
                <w:color w:val="000000"/>
                <w:kern w:val="0"/>
                <w:sz w:val="21"/>
                <w:szCs w:val="21"/>
              </w:rPr>
              <w:t>室内声源等效室外声源声功率计算</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center"/>
              <w:rPr>
                <w:color w:val="000000"/>
                <w:sz w:val="21"/>
                <w:szCs w:val="21"/>
              </w:rPr>
            </w:pPr>
            <w:r>
              <w:rPr>
                <w:color w:val="000000"/>
                <w:sz w:val="21"/>
                <w:szCs w:val="21"/>
              </w:rPr>
              <w:t>Lp2=Lp1-(TL+6)</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式中:TL一隔墙(或窗户)倍频带的隔声量，dB。</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rFonts w:hint="eastAsia"/>
                <w:color w:val="000000"/>
                <w:kern w:val="0"/>
                <w:sz w:val="21"/>
                <w:szCs w:val="21"/>
              </w:rPr>
              <w:t>③</w:t>
            </w:r>
            <w:r>
              <w:rPr>
                <w:color w:val="000000"/>
                <w:kern w:val="0"/>
                <w:sz w:val="21"/>
                <w:szCs w:val="21"/>
              </w:rPr>
              <w:t>噪声源叠加影响分析方法</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center"/>
              <w:rPr>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center"/>
              <w:rPr>
                <w:color w:val="000000"/>
                <w:sz w:val="21"/>
                <w:szCs w:val="21"/>
              </w:rPr>
            </w:pPr>
            <w:r>
              <w:rPr>
                <w:color w:val="000000"/>
                <w:sz w:val="21"/>
                <w:szCs w:val="21"/>
              </w:rPr>
              <w:drawing>
                <wp:anchor distT="0" distB="0" distL="114300" distR="114300" simplePos="0" relativeHeight="251665408" behindDoc="0" locked="0" layoutInCell="1" allowOverlap="1">
                  <wp:simplePos x="0" y="0"/>
                  <wp:positionH relativeFrom="column">
                    <wp:posOffset>1959610</wp:posOffset>
                  </wp:positionH>
                  <wp:positionV relativeFrom="paragraph">
                    <wp:posOffset>-256540</wp:posOffset>
                  </wp:positionV>
                  <wp:extent cx="1431290" cy="520700"/>
                  <wp:effectExtent l="0" t="0" r="16510" b="13335"/>
                  <wp:wrapNone/>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31"/>
                          <a:stretch>
                            <a:fillRect/>
                          </a:stretch>
                        </pic:blipFill>
                        <pic:spPr>
                          <a:xfrm>
                            <a:off x="0" y="0"/>
                            <a:ext cx="1431290" cy="5207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式中：</w:t>
            </w:r>
            <w:r>
              <w:rPr>
                <w:color w:val="000000"/>
                <w:kern w:val="0"/>
                <w:sz w:val="21"/>
                <w:szCs w:val="21"/>
              </w:rPr>
              <w:drawing>
                <wp:inline distT="0" distB="0" distL="114300" distR="114300">
                  <wp:extent cx="142875" cy="171450"/>
                  <wp:effectExtent l="0" t="0" r="9525" b="0"/>
                  <wp:docPr id="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pic:cNvPicPr>
                            <a:picLocks noChangeAspect="1"/>
                          </pic:cNvPicPr>
                        </pic:nvPicPr>
                        <pic:blipFill>
                          <a:blip r:embed="rId32"/>
                          <a:stretch>
                            <a:fillRect/>
                          </a:stretch>
                        </pic:blipFill>
                        <pic:spPr>
                          <a:xfrm>
                            <a:off x="0" y="0"/>
                            <a:ext cx="142875" cy="171450"/>
                          </a:xfrm>
                          <a:prstGeom prst="rect">
                            <a:avLst/>
                          </a:prstGeom>
                          <a:noFill/>
                          <a:ln>
                            <a:noFill/>
                          </a:ln>
                        </pic:spPr>
                      </pic:pic>
                    </a:graphicData>
                  </a:graphic>
                </wp:inline>
              </w:drawing>
            </w:r>
            <w:r>
              <w:rPr>
                <w:color w:val="000000"/>
                <w:kern w:val="0"/>
                <w:sz w:val="21"/>
                <w:szCs w:val="21"/>
              </w:rPr>
              <w:t>—总声压级，[dB(A)]；</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drawing>
                <wp:inline distT="0" distB="0" distL="114300" distR="114300">
                  <wp:extent cx="171450" cy="228600"/>
                  <wp:effectExtent l="0" t="0" r="0" b="0"/>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33"/>
                          <a:stretch>
                            <a:fillRect/>
                          </a:stretch>
                        </pic:blipFill>
                        <pic:spPr>
                          <a:xfrm>
                            <a:off x="0" y="0"/>
                            <a:ext cx="171450" cy="228600"/>
                          </a:xfrm>
                          <a:prstGeom prst="rect">
                            <a:avLst/>
                          </a:prstGeom>
                          <a:noFill/>
                          <a:ln>
                            <a:noFill/>
                          </a:ln>
                        </pic:spPr>
                      </pic:pic>
                    </a:graphicData>
                  </a:graphic>
                </wp:inline>
              </w:drawing>
            </w:r>
            <w:r>
              <w:rPr>
                <w:color w:val="000000"/>
                <w:kern w:val="0"/>
                <w:sz w:val="21"/>
                <w:szCs w:val="21"/>
              </w:rPr>
              <w:t>—第</w:t>
            </w:r>
            <w:r>
              <w:rPr>
                <w:color w:val="000000"/>
                <w:kern w:val="0"/>
                <w:sz w:val="21"/>
                <w:szCs w:val="21"/>
              </w:rPr>
              <w:drawing>
                <wp:inline distT="0" distB="0" distL="114300" distR="114300">
                  <wp:extent cx="95250" cy="171450"/>
                  <wp:effectExtent l="0" t="0" r="0" b="0"/>
                  <wp:docPr id="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pic:cNvPicPr>
                            <a:picLocks noChangeAspect="1"/>
                          </pic:cNvPicPr>
                        </pic:nvPicPr>
                        <pic:blipFill>
                          <a:blip r:embed="rId34"/>
                          <a:stretch>
                            <a:fillRect/>
                          </a:stretch>
                        </pic:blipFill>
                        <pic:spPr>
                          <a:xfrm>
                            <a:off x="0" y="0"/>
                            <a:ext cx="95250" cy="171450"/>
                          </a:xfrm>
                          <a:prstGeom prst="rect">
                            <a:avLst/>
                          </a:prstGeom>
                          <a:noFill/>
                          <a:ln>
                            <a:noFill/>
                          </a:ln>
                        </pic:spPr>
                      </pic:pic>
                    </a:graphicData>
                  </a:graphic>
                </wp:inline>
              </w:drawing>
            </w:r>
            <w:r>
              <w:rPr>
                <w:color w:val="000000"/>
                <w:kern w:val="0"/>
                <w:sz w:val="21"/>
                <w:szCs w:val="21"/>
              </w:rPr>
              <w:t>个声源的声压级，[dB(A)]；</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drawing>
                <wp:inline distT="0" distB="0" distL="114300" distR="114300">
                  <wp:extent cx="142875" cy="142875"/>
                  <wp:effectExtent l="0" t="0" r="0" b="825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35"/>
                          <a:stretch>
                            <a:fillRect/>
                          </a:stretch>
                        </pic:blipFill>
                        <pic:spPr>
                          <a:xfrm>
                            <a:off x="0" y="0"/>
                            <a:ext cx="142875" cy="142875"/>
                          </a:xfrm>
                          <a:prstGeom prst="rect">
                            <a:avLst/>
                          </a:prstGeom>
                          <a:noFill/>
                          <a:ln>
                            <a:noFill/>
                          </a:ln>
                        </pic:spPr>
                      </pic:pic>
                    </a:graphicData>
                  </a:graphic>
                </wp:inline>
              </w:drawing>
            </w:r>
            <w:r>
              <w:rPr>
                <w:color w:val="000000"/>
                <w:kern w:val="0"/>
                <w:sz w:val="21"/>
                <w:szCs w:val="21"/>
              </w:rPr>
              <w:t>—声源数量。</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rFonts w:hint="eastAsia"/>
                <w:color w:val="000000"/>
                <w:kern w:val="0"/>
                <w:sz w:val="21"/>
                <w:szCs w:val="21"/>
              </w:rPr>
              <w:t>④</w:t>
            </w:r>
            <w:r>
              <w:rPr>
                <w:color w:val="000000"/>
                <w:kern w:val="0"/>
                <w:sz w:val="21"/>
                <w:szCs w:val="21"/>
              </w:rPr>
              <w:t>户外声传播衰减计算公式</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center"/>
              <w:rPr>
                <w:color w:val="000000"/>
                <w:sz w:val="21"/>
                <w:szCs w:val="21"/>
              </w:rPr>
            </w:pPr>
            <w:r>
              <w:rPr>
                <w:color w:val="000000"/>
                <w:sz w:val="21"/>
                <w:szCs w:val="21"/>
              </w:rPr>
              <w:t>L( r )=L ref (r0)-(Adiv+Abar+Aatm+A exe)</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式中：A</w:t>
            </w:r>
            <w:r>
              <w:rPr>
                <w:color w:val="000000"/>
                <w:kern w:val="0"/>
                <w:sz w:val="21"/>
                <w:szCs w:val="21"/>
                <w:vertAlign w:val="subscript"/>
              </w:rPr>
              <w:t xml:space="preserve"> div</w:t>
            </w:r>
            <w:r>
              <w:rPr>
                <w:color w:val="000000"/>
                <w:kern w:val="0"/>
                <w:sz w:val="21"/>
                <w:szCs w:val="21"/>
                <w:vertAlign w:val="subscript"/>
              </w:rPr>
              <w:softHyphen/>
            </w:r>
            <w:r>
              <w:rPr>
                <w:color w:val="000000"/>
                <w:kern w:val="0"/>
                <w:sz w:val="21"/>
                <w:szCs w:val="21"/>
              </w:rPr>
              <w:t>—几何发散；</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 xml:space="preserve">      A</w:t>
            </w:r>
            <w:r>
              <w:rPr>
                <w:color w:val="000000"/>
                <w:kern w:val="0"/>
                <w:sz w:val="21"/>
                <w:szCs w:val="21"/>
                <w:vertAlign w:val="subscript"/>
              </w:rPr>
              <w:t xml:space="preserve">bar </w:t>
            </w:r>
            <w:r>
              <w:rPr>
                <w:color w:val="000000"/>
                <w:kern w:val="0"/>
                <w:sz w:val="21"/>
                <w:szCs w:val="21"/>
                <w:vertAlign w:val="subscript"/>
              </w:rPr>
              <w:softHyphen/>
            </w:r>
            <w:r>
              <w:rPr>
                <w:color w:val="000000"/>
                <w:kern w:val="0"/>
                <w:sz w:val="21"/>
                <w:szCs w:val="21"/>
              </w:rPr>
              <w:t>—遮挡物衰减；</w:t>
            </w:r>
          </w:p>
          <w:p>
            <w:pPr>
              <w:keepNext w:val="0"/>
              <w:keepLines w:val="0"/>
              <w:pageBreakBefore w:val="0"/>
              <w:widowControl w:val="0"/>
              <w:kinsoku/>
              <w:wordWrap/>
              <w:overflowPunct/>
              <w:topLinePunct w:val="0"/>
              <w:autoSpaceDE/>
              <w:autoSpaceDN/>
              <w:bidi w:val="0"/>
              <w:adjustRightInd w:val="0"/>
              <w:snapToGrid w:val="0"/>
              <w:spacing w:line="520" w:lineRule="exact"/>
              <w:ind w:firstLine="1050" w:firstLineChars="500"/>
              <w:textAlignment w:val="baseline"/>
              <w:rPr>
                <w:color w:val="000000"/>
                <w:kern w:val="0"/>
                <w:sz w:val="21"/>
                <w:szCs w:val="21"/>
              </w:rPr>
            </w:pPr>
            <w:r>
              <w:rPr>
                <w:color w:val="000000"/>
                <w:kern w:val="0"/>
                <w:sz w:val="21"/>
                <w:szCs w:val="21"/>
              </w:rPr>
              <w:t>A</w:t>
            </w:r>
            <w:r>
              <w:rPr>
                <w:color w:val="000000"/>
                <w:kern w:val="0"/>
                <w:sz w:val="21"/>
                <w:szCs w:val="21"/>
                <w:vertAlign w:val="subscript"/>
              </w:rPr>
              <w:t>atm</w:t>
            </w:r>
            <w:r>
              <w:rPr>
                <w:color w:val="000000"/>
                <w:kern w:val="0"/>
                <w:sz w:val="21"/>
                <w:szCs w:val="21"/>
              </w:rPr>
              <w:t>—大气吸收；</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textAlignment w:val="baseline"/>
              <w:rPr>
                <w:color w:val="000000"/>
                <w:kern w:val="0"/>
                <w:sz w:val="21"/>
                <w:szCs w:val="21"/>
              </w:rPr>
            </w:pPr>
            <w:r>
              <w:rPr>
                <w:color w:val="000000"/>
                <w:kern w:val="0"/>
                <w:sz w:val="21"/>
                <w:szCs w:val="21"/>
              </w:rPr>
              <w:t xml:space="preserve">      A</w:t>
            </w:r>
            <w:r>
              <w:rPr>
                <w:color w:val="000000"/>
                <w:kern w:val="0"/>
                <w:sz w:val="21"/>
                <w:szCs w:val="21"/>
                <w:vertAlign w:val="subscript"/>
              </w:rPr>
              <w:t>exe</w:t>
            </w:r>
            <w:r>
              <w:rPr>
                <w:color w:val="000000"/>
                <w:kern w:val="0"/>
                <w:sz w:val="21"/>
                <w:szCs w:val="21"/>
              </w:rPr>
              <w:t>—附加衰减；</w:t>
            </w:r>
          </w:p>
          <w:p>
            <w:pPr>
              <w:pStyle w:val="36"/>
              <w:keepNext w:val="0"/>
              <w:keepLines w:val="0"/>
              <w:pageBreakBefore w:val="0"/>
              <w:widowControl w:val="0"/>
              <w:kinsoku/>
              <w:wordWrap/>
              <w:overflowPunct/>
              <w:topLinePunct w:val="0"/>
              <w:autoSpaceDE/>
              <w:autoSpaceDN/>
              <w:bidi w:val="0"/>
              <w:adjustRightInd w:val="0"/>
              <w:snapToGrid w:val="0"/>
              <w:spacing w:line="520" w:lineRule="exact"/>
              <w:ind w:firstLine="422" w:firstLineChars="200"/>
              <w:rPr>
                <w:b/>
                <w:color w:val="000000"/>
                <w:sz w:val="21"/>
                <w:szCs w:val="21"/>
                <w:lang w:val="en-US"/>
              </w:rPr>
            </w:pPr>
            <w:r>
              <w:rPr>
                <w:rFonts w:hint="eastAsia" w:eastAsia="宋体"/>
                <w:b/>
                <w:color w:val="000000"/>
                <w:sz w:val="21"/>
                <w:szCs w:val="21"/>
                <w:lang w:val="en-US" w:eastAsia="zh-CN"/>
              </w:rPr>
              <w:t>3.3车间边界</w:t>
            </w:r>
            <w:r>
              <w:rPr>
                <w:rFonts w:hint="eastAsia"/>
                <w:b/>
                <w:color w:val="000000"/>
                <w:sz w:val="21"/>
                <w:szCs w:val="21"/>
                <w:lang w:val="en-US"/>
              </w:rPr>
              <w:t>预测结果及评价</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rPr>
                <w:color w:val="000000"/>
                <w:sz w:val="21"/>
                <w:szCs w:val="21"/>
              </w:rPr>
            </w:pPr>
            <w:r>
              <w:rPr>
                <w:color w:val="000000"/>
                <w:sz w:val="21"/>
                <w:szCs w:val="21"/>
              </w:rPr>
              <w:t>根据工程噪声源在</w:t>
            </w:r>
            <w:r>
              <w:rPr>
                <w:rFonts w:hint="eastAsia"/>
                <w:color w:val="000000"/>
                <w:sz w:val="21"/>
                <w:szCs w:val="21"/>
                <w:lang w:val="en-US" w:eastAsia="zh-CN"/>
              </w:rPr>
              <w:t>车间</w:t>
            </w:r>
            <w:r>
              <w:rPr>
                <w:color w:val="000000"/>
                <w:sz w:val="21"/>
                <w:szCs w:val="21"/>
              </w:rPr>
              <w:t>的分布和源强，以及其衰减状况，计算出各声源对四周</w:t>
            </w:r>
            <w:r>
              <w:rPr>
                <w:rFonts w:hint="eastAsia"/>
                <w:color w:val="000000"/>
                <w:sz w:val="21"/>
                <w:szCs w:val="21"/>
                <w:lang w:val="en-US" w:eastAsia="zh-CN"/>
              </w:rPr>
              <w:t>车间边界</w:t>
            </w:r>
            <w:r>
              <w:rPr>
                <w:color w:val="000000"/>
                <w:sz w:val="21"/>
                <w:szCs w:val="21"/>
              </w:rPr>
              <w:t>的噪声贡献值，结合背景值，对本工程完成后各</w:t>
            </w:r>
            <w:r>
              <w:rPr>
                <w:rFonts w:hint="eastAsia"/>
                <w:color w:val="000000"/>
                <w:sz w:val="21"/>
                <w:szCs w:val="21"/>
                <w:lang w:val="en-US" w:eastAsia="zh-CN"/>
              </w:rPr>
              <w:t>车间边界</w:t>
            </w:r>
            <w:r>
              <w:rPr>
                <w:color w:val="000000"/>
                <w:sz w:val="21"/>
                <w:szCs w:val="21"/>
              </w:rPr>
              <w:t>噪声值进行预测，各</w:t>
            </w:r>
            <w:r>
              <w:rPr>
                <w:rFonts w:hint="eastAsia"/>
                <w:color w:val="000000"/>
                <w:sz w:val="21"/>
                <w:szCs w:val="21"/>
                <w:lang w:val="en-US" w:eastAsia="zh-CN"/>
              </w:rPr>
              <w:t>车间边界</w:t>
            </w:r>
            <w:r>
              <w:rPr>
                <w:color w:val="000000"/>
                <w:sz w:val="21"/>
                <w:szCs w:val="21"/>
              </w:rPr>
              <w:t>噪声影响情况预测结果见下表。</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车间</w:t>
            </w:r>
            <w:r>
              <w:rPr>
                <w:rFonts w:hint="default" w:ascii="Times New Roman" w:hAnsi="Times New Roman" w:eastAsia="宋体" w:cs="Times New Roman"/>
                <w:lang w:val="pt-BR" w:eastAsia="zh-CN"/>
              </w:rPr>
              <w:t>四周</w:t>
            </w:r>
            <w:r>
              <w:rPr>
                <w:rFonts w:hint="eastAsia" w:ascii="Times New Roman" w:hAnsi="Times New Roman" w:eastAsia="宋体" w:cs="Times New Roman"/>
                <w:lang w:val="en-US" w:eastAsia="zh-CN"/>
              </w:rPr>
              <w:t>边</w:t>
            </w:r>
            <w:r>
              <w:rPr>
                <w:rFonts w:hint="default" w:ascii="Times New Roman" w:hAnsi="Times New Roman" w:eastAsia="宋体" w:cs="Times New Roman"/>
                <w:lang w:val="pt-BR" w:eastAsia="zh-CN"/>
              </w:rPr>
              <w:t>界噪声贡献值叠加结果</w:t>
            </w:r>
          </w:p>
          <w:tbl>
            <w:tblPr>
              <w:tblStyle w:val="18"/>
              <w:tblW w:w="49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097"/>
              <w:gridCol w:w="2098"/>
              <w:gridCol w:w="2098"/>
              <w:gridCol w:w="2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cs="宋体"/>
                      <w:b/>
                      <w:color w:val="000000"/>
                      <w:sz w:val="21"/>
                      <w:szCs w:val="21"/>
                    </w:rPr>
                  </w:pPr>
                  <w:r>
                    <w:rPr>
                      <w:rFonts w:hint="eastAsia" w:cs="宋体"/>
                      <w:b/>
                      <w:color w:val="000000"/>
                      <w:sz w:val="21"/>
                      <w:szCs w:val="21"/>
                    </w:rPr>
                    <w:t>预测点</w:t>
                  </w:r>
                </w:p>
              </w:tc>
              <w:tc>
                <w:tcPr>
                  <w:tcW w:w="2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cs="宋体"/>
                      <w:b/>
                      <w:color w:val="000000"/>
                      <w:sz w:val="21"/>
                      <w:szCs w:val="21"/>
                    </w:rPr>
                  </w:pPr>
                  <w:r>
                    <w:rPr>
                      <w:rFonts w:hint="eastAsia" w:cs="宋体"/>
                      <w:b/>
                      <w:color w:val="000000"/>
                      <w:sz w:val="21"/>
                      <w:szCs w:val="21"/>
                    </w:rPr>
                    <w:t>主要噪声源</w:t>
                  </w:r>
                </w:p>
              </w:tc>
              <w:tc>
                <w:tcPr>
                  <w:tcW w:w="2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cs="宋体"/>
                      <w:b/>
                      <w:color w:val="000000"/>
                      <w:sz w:val="21"/>
                      <w:szCs w:val="21"/>
                    </w:rPr>
                  </w:pPr>
                  <w:r>
                    <w:rPr>
                      <w:rFonts w:hint="default" w:cs="宋体"/>
                      <w:b/>
                      <w:color w:val="000000"/>
                      <w:sz w:val="21"/>
                      <w:szCs w:val="21"/>
                    </w:rPr>
                    <w:t>治理后</w:t>
                  </w:r>
                  <w:r>
                    <w:rPr>
                      <w:rFonts w:hint="eastAsia" w:cs="宋体"/>
                      <w:b/>
                      <w:color w:val="000000"/>
                      <w:sz w:val="21"/>
                      <w:szCs w:val="21"/>
                      <w:lang w:val="en-US" w:eastAsia="zh-CN"/>
                    </w:rPr>
                    <w:t>车间边界叠加</w:t>
                  </w:r>
                  <w:r>
                    <w:rPr>
                      <w:rFonts w:hint="default" w:cs="宋体"/>
                      <w:b/>
                      <w:color w:val="000000"/>
                      <w:sz w:val="21"/>
                      <w:szCs w:val="21"/>
                    </w:rPr>
                    <w:t>噪声值dB(A)</w:t>
                  </w:r>
                </w:p>
              </w:tc>
              <w:tc>
                <w:tcPr>
                  <w:tcW w:w="2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cs="宋体"/>
                      <w:b/>
                      <w:color w:val="000000"/>
                      <w:sz w:val="21"/>
                      <w:szCs w:val="21"/>
                    </w:rPr>
                  </w:pPr>
                  <w:r>
                    <w:rPr>
                      <w:rFonts w:hint="eastAsia" w:cs="宋体"/>
                      <w:b/>
                      <w:color w:val="000000"/>
                      <w:sz w:val="21"/>
                      <w:szCs w:val="21"/>
                    </w:rPr>
                    <w:t>贡献值</w:t>
                  </w:r>
                  <w:r>
                    <w:rPr>
                      <w:rFonts w:hint="default" w:cs="宋体"/>
                      <w:b/>
                      <w:color w:val="000000"/>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contextualSpacing/>
                    <w:jc w:val="center"/>
                    <w:textAlignment w:val="baseline"/>
                    <w:rPr>
                      <w:rFonts w:hint="eastAsia" w:eastAsia="宋体"/>
                      <w:color w:val="000000"/>
                      <w:kern w:val="0"/>
                      <w:sz w:val="21"/>
                      <w:szCs w:val="21"/>
                      <w:lang w:eastAsia="zh-CN"/>
                    </w:rPr>
                  </w:pPr>
                  <w:r>
                    <w:rPr>
                      <w:rFonts w:hint="eastAsia"/>
                      <w:color w:val="000000"/>
                      <w:kern w:val="0"/>
                      <w:sz w:val="21"/>
                      <w:szCs w:val="21"/>
                    </w:rPr>
                    <w:t>东</w:t>
                  </w:r>
                  <w:r>
                    <w:rPr>
                      <w:rFonts w:hint="eastAsia"/>
                      <w:color w:val="000000"/>
                      <w:kern w:val="0"/>
                      <w:sz w:val="21"/>
                      <w:szCs w:val="21"/>
                      <w:lang w:val="en-US" w:eastAsia="zh-CN"/>
                    </w:rPr>
                    <w:t>边界</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color w:val="auto"/>
                      <w:sz w:val="21"/>
                      <w:szCs w:val="21"/>
                      <w:lang w:val="en-US" w:eastAsia="zh-CN"/>
                    </w:rPr>
                  </w:pPr>
                  <w:r>
                    <w:rPr>
                      <w:rFonts w:hint="eastAsia"/>
                      <w:color w:val="auto"/>
                      <w:sz w:val="21"/>
                      <w:szCs w:val="21"/>
                      <w:lang w:val="en-US" w:eastAsia="zh-CN"/>
                    </w:rPr>
                    <w:t>生产车间</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45.33 </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contextualSpacing/>
                    <w:jc w:val="center"/>
                    <w:textAlignment w:val="baseline"/>
                    <w:rPr>
                      <w:rFonts w:hint="eastAsia" w:eastAsia="宋体"/>
                      <w:color w:val="000000"/>
                      <w:kern w:val="0"/>
                      <w:sz w:val="21"/>
                      <w:szCs w:val="21"/>
                      <w:lang w:val="en-US" w:eastAsia="zh-CN"/>
                    </w:rPr>
                  </w:pPr>
                  <w:r>
                    <w:rPr>
                      <w:rFonts w:hint="eastAsia"/>
                      <w:color w:val="000000"/>
                      <w:kern w:val="0"/>
                      <w:sz w:val="21"/>
                      <w:szCs w:val="21"/>
                    </w:rPr>
                    <w:t>南</w:t>
                  </w:r>
                  <w:r>
                    <w:rPr>
                      <w:rFonts w:hint="eastAsia"/>
                      <w:color w:val="000000"/>
                      <w:kern w:val="0"/>
                      <w:sz w:val="21"/>
                      <w:szCs w:val="21"/>
                      <w:lang w:val="en-US" w:eastAsia="zh-CN"/>
                    </w:rPr>
                    <w:t>边界</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45.09 </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contextualSpacing/>
                    <w:jc w:val="center"/>
                    <w:textAlignment w:val="baseline"/>
                    <w:rPr>
                      <w:rFonts w:hint="default"/>
                      <w:color w:val="000000"/>
                      <w:kern w:val="0"/>
                      <w:sz w:val="21"/>
                      <w:szCs w:val="21"/>
                    </w:rPr>
                  </w:pPr>
                  <w:r>
                    <w:rPr>
                      <w:rFonts w:hint="eastAsia"/>
                      <w:color w:val="000000"/>
                      <w:kern w:val="0"/>
                      <w:sz w:val="21"/>
                      <w:szCs w:val="21"/>
                    </w:rPr>
                    <w:t>西</w:t>
                  </w:r>
                  <w:r>
                    <w:rPr>
                      <w:rFonts w:hint="eastAsia"/>
                      <w:color w:val="000000"/>
                      <w:kern w:val="0"/>
                      <w:sz w:val="21"/>
                      <w:szCs w:val="21"/>
                      <w:lang w:val="en-US" w:eastAsia="zh-CN"/>
                    </w:rPr>
                    <w:t>边界</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37.41 </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37.41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contextualSpacing/>
                    <w:jc w:val="center"/>
                    <w:textAlignment w:val="baseline"/>
                    <w:rPr>
                      <w:rFonts w:hint="default"/>
                      <w:color w:val="000000"/>
                      <w:kern w:val="0"/>
                      <w:sz w:val="21"/>
                      <w:szCs w:val="21"/>
                    </w:rPr>
                  </w:pPr>
                  <w:r>
                    <w:rPr>
                      <w:rFonts w:hint="eastAsia"/>
                      <w:color w:val="000000"/>
                      <w:kern w:val="0"/>
                      <w:sz w:val="21"/>
                      <w:szCs w:val="21"/>
                    </w:rPr>
                    <w:t>北</w:t>
                  </w:r>
                  <w:r>
                    <w:rPr>
                      <w:rFonts w:hint="eastAsia"/>
                      <w:color w:val="000000"/>
                      <w:kern w:val="0"/>
                      <w:sz w:val="21"/>
                      <w:szCs w:val="21"/>
                      <w:lang w:val="en-US" w:eastAsia="zh-CN"/>
                    </w:rPr>
                    <w:t>边界</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27.72 </w:t>
                  </w:r>
                </w:p>
              </w:tc>
              <w:tc>
                <w:tcPr>
                  <w:tcW w:w="20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27.72 </w:t>
                  </w:r>
                </w:p>
              </w:tc>
            </w:tr>
          </w:tbl>
          <w:p>
            <w:pPr>
              <w:pageBreakBefore w:val="0"/>
              <w:kinsoku/>
              <w:wordWrap/>
              <w:overflowPunct/>
              <w:topLinePunct w:val="0"/>
              <w:autoSpaceDE/>
              <w:autoSpaceDN/>
              <w:bidi w:val="0"/>
              <w:adjustRightInd w:val="0"/>
              <w:snapToGrid w:val="0"/>
              <w:spacing w:line="520" w:lineRule="exact"/>
              <w:ind w:firstLine="420" w:firstLineChars="200"/>
              <w:rPr>
                <w:rFonts w:ascii="宋体" w:hAnsi="宋体" w:cs="宋体"/>
                <w:sz w:val="21"/>
                <w:szCs w:val="21"/>
              </w:rPr>
            </w:pPr>
            <w:r>
              <w:rPr>
                <w:rFonts w:hint="eastAsia" w:ascii="宋体" w:hAnsi="宋体" w:cs="宋体"/>
                <w:sz w:val="21"/>
                <w:szCs w:val="21"/>
              </w:rPr>
              <w:t>本项目</w:t>
            </w:r>
            <w:r>
              <w:rPr>
                <w:rFonts w:hint="eastAsia" w:ascii="宋体" w:hAnsi="宋体" w:cs="宋体"/>
                <w:sz w:val="21"/>
                <w:szCs w:val="21"/>
                <w:lang w:val="en-US" w:eastAsia="zh-CN"/>
              </w:rPr>
              <w:t>车间边界</w:t>
            </w:r>
            <w:r>
              <w:rPr>
                <w:rFonts w:hint="eastAsia" w:ascii="宋体" w:hAnsi="宋体" w:cs="宋体"/>
                <w:sz w:val="21"/>
                <w:szCs w:val="21"/>
              </w:rPr>
              <w:t>四周噪声</w:t>
            </w:r>
            <w:r>
              <w:rPr>
                <w:rFonts w:hint="eastAsia" w:ascii="宋体" w:hAnsi="宋体" w:cs="宋体"/>
                <w:sz w:val="21"/>
                <w:szCs w:val="21"/>
                <w:lang w:val="en-US" w:eastAsia="zh-CN"/>
              </w:rPr>
              <w:t>贡献值</w:t>
            </w:r>
            <w:r>
              <w:rPr>
                <w:rFonts w:hint="eastAsia" w:ascii="宋体" w:hAnsi="宋体" w:cs="宋体"/>
                <w:sz w:val="21"/>
                <w:szCs w:val="21"/>
              </w:rPr>
              <w:t>见下表。</w:t>
            </w:r>
          </w:p>
          <w:p>
            <w:pPr>
              <w:pStyle w:val="31"/>
              <w:keepLines w:val="0"/>
              <w:pageBreakBefore w:val="0"/>
              <w:kinsoku/>
              <w:wordWrap/>
              <w:overflowPunct/>
              <w:topLinePunct w:val="0"/>
              <w:autoSpaceDE/>
              <w:autoSpaceDN/>
              <w:bidi w:val="0"/>
              <w:spacing w:line="520" w:lineRule="exact"/>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噪声预测值结果一览表</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单位：dB(A）</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1227"/>
              <w:gridCol w:w="1228"/>
              <w:gridCol w:w="1403"/>
              <w:gridCol w:w="1227"/>
              <w:gridCol w:w="1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kern w:val="0"/>
                      <w:sz w:val="21"/>
                      <w:szCs w:val="21"/>
                    </w:rPr>
                  </w:pPr>
                  <w:r>
                    <w:rPr>
                      <w:rFonts w:hint="default"/>
                      <w:b/>
                      <w:bCs/>
                      <w:kern w:val="0"/>
                      <w:sz w:val="21"/>
                      <w:szCs w:val="21"/>
                    </w:rPr>
                    <w:t>预测点</w:t>
                  </w:r>
                </w:p>
              </w:tc>
              <w:tc>
                <w:tcPr>
                  <w:tcW w:w="122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kern w:val="0"/>
                      <w:sz w:val="21"/>
                      <w:szCs w:val="21"/>
                    </w:rPr>
                  </w:pPr>
                  <w:r>
                    <w:rPr>
                      <w:rFonts w:hint="default"/>
                      <w:b/>
                      <w:bCs/>
                      <w:color w:val="auto"/>
                      <w:kern w:val="0"/>
                      <w:sz w:val="21"/>
                      <w:szCs w:val="21"/>
                    </w:rPr>
                    <w:t>东厂界</w:t>
                  </w:r>
                </w:p>
              </w:tc>
              <w:tc>
                <w:tcPr>
                  <w:tcW w:w="122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color w:val="auto"/>
                      <w:kern w:val="0"/>
                      <w:sz w:val="21"/>
                      <w:szCs w:val="21"/>
                    </w:rPr>
                  </w:pPr>
                  <w:r>
                    <w:rPr>
                      <w:rFonts w:hint="default"/>
                      <w:b/>
                      <w:color w:val="auto"/>
                      <w:kern w:val="0"/>
                      <w:sz w:val="21"/>
                      <w:szCs w:val="21"/>
                    </w:rPr>
                    <w:t>南厂界</w:t>
                  </w:r>
                </w:p>
              </w:tc>
              <w:tc>
                <w:tcPr>
                  <w:tcW w:w="140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color w:val="auto"/>
                      <w:kern w:val="0"/>
                      <w:sz w:val="21"/>
                      <w:szCs w:val="21"/>
                    </w:rPr>
                  </w:pPr>
                  <w:r>
                    <w:rPr>
                      <w:rFonts w:hint="default"/>
                      <w:b/>
                      <w:color w:val="auto"/>
                      <w:kern w:val="0"/>
                      <w:sz w:val="21"/>
                      <w:szCs w:val="21"/>
                    </w:rPr>
                    <w:t>西厂界</w:t>
                  </w:r>
                </w:p>
              </w:tc>
              <w:tc>
                <w:tcPr>
                  <w:tcW w:w="122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color w:val="auto"/>
                      <w:kern w:val="0"/>
                      <w:sz w:val="21"/>
                      <w:szCs w:val="21"/>
                    </w:rPr>
                  </w:pPr>
                  <w:r>
                    <w:rPr>
                      <w:rFonts w:hint="default"/>
                      <w:b/>
                      <w:color w:val="auto"/>
                      <w:kern w:val="0"/>
                      <w:sz w:val="21"/>
                      <w:szCs w:val="21"/>
                    </w:rPr>
                    <w:t>北厂界</w:t>
                  </w:r>
                </w:p>
              </w:tc>
              <w:tc>
                <w:tcPr>
                  <w:tcW w:w="137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Times New Roman"/>
                      <w:b/>
                      <w:bCs/>
                      <w:kern w:val="0"/>
                      <w:sz w:val="21"/>
                      <w:szCs w:val="21"/>
                    </w:rPr>
                  </w:pPr>
                  <w:r>
                    <w:rPr>
                      <w:rFonts w:hint="default"/>
                      <w:b/>
                      <w:bCs/>
                      <w:kern w:val="0"/>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Times New Roman"/>
                      <w:kern w:val="0"/>
                      <w:sz w:val="21"/>
                      <w:szCs w:val="21"/>
                    </w:rPr>
                  </w:pPr>
                  <w:r>
                    <w:rPr>
                      <w:rFonts w:hint="eastAsia"/>
                      <w:kern w:val="0"/>
                      <w:sz w:val="21"/>
                      <w:szCs w:val="21"/>
                    </w:rPr>
                    <w:t>本项目</w:t>
                  </w:r>
                  <w:r>
                    <w:rPr>
                      <w:rFonts w:hint="default"/>
                      <w:kern w:val="0"/>
                      <w:sz w:val="21"/>
                      <w:szCs w:val="21"/>
                    </w:rPr>
                    <w:t>贡献值</w:t>
                  </w:r>
                </w:p>
              </w:tc>
              <w:tc>
                <w:tcPr>
                  <w:tcW w:w="122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45.33</w:t>
                  </w:r>
                </w:p>
              </w:tc>
              <w:tc>
                <w:tcPr>
                  <w:tcW w:w="122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45.09</w:t>
                  </w:r>
                </w:p>
              </w:tc>
              <w:tc>
                <w:tcPr>
                  <w:tcW w:w="1403"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37.41</w:t>
                  </w:r>
                </w:p>
              </w:tc>
              <w:tc>
                <w:tcPr>
                  <w:tcW w:w="1227"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27.72</w:t>
                  </w:r>
                </w:p>
              </w:tc>
              <w:tc>
                <w:tcPr>
                  <w:tcW w:w="137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color w:val="000000"/>
                      <w:sz w:val="21"/>
                      <w:szCs w:val="21"/>
                    </w:rPr>
                  </w:pPr>
                  <w:r>
                    <w:rPr>
                      <w:rFonts w:hint="default"/>
                      <w:color w:val="000000"/>
                      <w:sz w:val="21"/>
                      <w:szCs w:val="21"/>
                    </w:rPr>
                    <w:t>昼间</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kern w:val="0"/>
                      <w:sz w:val="21"/>
                      <w:szCs w:val="21"/>
                      <w:lang w:val="en-US" w:eastAsia="zh-CN"/>
                    </w:rPr>
                  </w:pPr>
                  <w:r>
                    <w:rPr>
                      <w:rFonts w:hint="default"/>
                      <w:color w:val="000000"/>
                      <w:sz w:val="21"/>
                      <w:szCs w:val="21"/>
                    </w:rPr>
                    <w:t>6</w:t>
                  </w:r>
                  <w:r>
                    <w:rPr>
                      <w:rFonts w:hint="eastAsia"/>
                      <w:color w:val="000000"/>
                      <w:sz w:val="21"/>
                      <w:szCs w:val="21"/>
                      <w:lang w:val="en-US" w:eastAsia="zh-CN"/>
                    </w:rPr>
                    <w:t>0</w:t>
                  </w:r>
                  <w:r>
                    <w:rPr>
                      <w:rFonts w:hint="default"/>
                      <w:color w:val="000000"/>
                      <w:sz w:val="21"/>
                      <w:szCs w:val="21"/>
                    </w:rPr>
                    <w:t>dB(A)</w:t>
                  </w:r>
                  <w:r>
                    <w:rPr>
                      <w:rFonts w:hint="eastAsia"/>
                      <w:color w:val="000000"/>
                      <w:sz w:val="21"/>
                      <w:szCs w:val="21"/>
                      <w:lang w:val="en-US" w:eastAsia="zh-CN"/>
                    </w:rPr>
                    <w:t>/夜间50</w:t>
                  </w:r>
                  <w:r>
                    <w:rPr>
                      <w:rFonts w:hint="default"/>
                      <w:color w:val="000000"/>
                      <w:sz w:val="21"/>
                      <w:szCs w:val="21"/>
                    </w:rPr>
                    <w:t>dB(A)</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rPr>
                <w:rFonts w:hint="eastAsia"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rPr>
              <w:t>项目生产期间高噪声设备经基础减振、厂房隔声后，项目厂区四周噪声</w:t>
            </w:r>
            <w:r>
              <w:rPr>
                <w:rFonts w:hint="eastAsia" w:ascii="Times New Roman" w:hAnsi="Times New Roman" w:eastAsia="宋体" w:cs="Times New Roman"/>
                <w:color w:val="000000"/>
                <w:sz w:val="21"/>
                <w:szCs w:val="21"/>
                <w:lang w:val="en-US" w:eastAsia="zh-CN"/>
              </w:rPr>
              <w:t>贡献</w:t>
            </w:r>
            <w:r>
              <w:rPr>
                <w:rFonts w:hint="eastAsia" w:ascii="Times New Roman" w:hAnsi="Times New Roman" w:eastAsia="宋体" w:cs="Times New Roman"/>
                <w:color w:val="000000"/>
                <w:sz w:val="21"/>
                <w:szCs w:val="21"/>
              </w:rPr>
              <w:t>值</w:t>
            </w:r>
            <w:r>
              <w:rPr>
                <w:rFonts w:ascii="Times New Roman" w:hAnsi="Times New Roman" w:eastAsia="宋体" w:cs="Times New Roman"/>
                <w:color w:val="000000"/>
                <w:sz w:val="21"/>
                <w:szCs w:val="21"/>
              </w:rPr>
              <w:t>能够满足《工业企业厂界环境噪声排放标准》（GB12348-2008）</w:t>
            </w:r>
            <w:r>
              <w:rPr>
                <w:rFonts w:hint="eastAsia" w:ascii="Times New Roman" w:hAnsi="Times New Roman" w:eastAsia="宋体" w:cs="Times New Roman"/>
                <w:color w:val="000000"/>
                <w:sz w:val="21"/>
                <w:szCs w:val="21"/>
                <w:lang w:val="en-US" w:eastAsia="zh-CN"/>
              </w:rPr>
              <w:t>2</w:t>
            </w:r>
            <w:r>
              <w:rPr>
                <w:rFonts w:ascii="Times New Roman" w:hAnsi="Times New Roman" w:eastAsia="宋体" w:cs="Times New Roman"/>
                <w:color w:val="000000"/>
                <w:sz w:val="21"/>
                <w:szCs w:val="21"/>
              </w:rPr>
              <w:t>类昼间6</w:t>
            </w:r>
            <w:r>
              <w:rPr>
                <w:rFonts w:hint="eastAsia" w:ascii="Times New Roman" w:hAnsi="Times New Roman" w:eastAsia="宋体" w:cs="Times New Roman"/>
                <w:color w:val="000000"/>
                <w:sz w:val="21"/>
                <w:szCs w:val="21"/>
                <w:lang w:val="en-US" w:eastAsia="zh-CN"/>
              </w:rPr>
              <w:t>0</w:t>
            </w:r>
            <w:r>
              <w:rPr>
                <w:rFonts w:ascii="Times New Roman" w:hAnsi="Times New Roman" w:eastAsia="宋体" w:cs="Times New Roman"/>
                <w:color w:val="000000"/>
                <w:sz w:val="21"/>
                <w:szCs w:val="21"/>
              </w:rPr>
              <w:t>dB(A)</w:t>
            </w:r>
            <w:r>
              <w:rPr>
                <w:rFonts w:hint="eastAsia" w:ascii="Times New Roman" w:hAnsi="Times New Roman" w:eastAsia="宋体" w:cs="Times New Roman"/>
                <w:color w:val="000000"/>
                <w:sz w:val="21"/>
                <w:szCs w:val="21"/>
                <w:lang w:val="en-US" w:eastAsia="zh-CN"/>
              </w:rPr>
              <w:t>/夜间50</w:t>
            </w:r>
            <w:r>
              <w:rPr>
                <w:rFonts w:ascii="Times New Roman" w:hAnsi="Times New Roman" w:eastAsia="宋体" w:cs="Times New Roman"/>
                <w:color w:val="000000"/>
                <w:sz w:val="21"/>
                <w:szCs w:val="21"/>
              </w:rPr>
              <w:t>dB(A)的标准要求，工程噪声对周围声环境影响不大</w:t>
            </w:r>
            <w:r>
              <w:rPr>
                <w:rFonts w:hint="eastAsia" w:ascii="Times New Roman" w:hAnsi="Times New Roman" w:eastAsia="宋体" w:cs="Times New Roman"/>
                <w:color w:val="000000"/>
                <w:sz w:val="21"/>
                <w:szCs w:val="21"/>
              </w:rPr>
              <w:t>，可接受</w:t>
            </w:r>
            <w:r>
              <w:rPr>
                <w:rFonts w:ascii="Times New Roman" w:hAnsi="Times New Roman" w:eastAsia="宋体" w:cs="Times New Roman"/>
                <w:color w:val="000000"/>
                <w:sz w:val="21"/>
                <w:szCs w:val="21"/>
              </w:rPr>
              <w:t>。</w:t>
            </w:r>
          </w:p>
          <w:p>
            <w:pPr>
              <w:pStyle w:val="36"/>
              <w:keepNext w:val="0"/>
              <w:keepLines w:val="0"/>
              <w:pageBreakBefore w:val="0"/>
              <w:widowControl w:val="0"/>
              <w:kinsoku/>
              <w:wordWrap/>
              <w:overflowPunct/>
              <w:topLinePunct w:val="0"/>
              <w:autoSpaceDE/>
              <w:autoSpaceDN/>
              <w:bidi w:val="0"/>
              <w:adjustRightInd w:val="0"/>
              <w:snapToGrid w:val="0"/>
              <w:spacing w:line="520" w:lineRule="exact"/>
              <w:ind w:firstLine="422" w:firstLineChars="200"/>
              <w:rPr>
                <w:b/>
                <w:sz w:val="21"/>
                <w:szCs w:val="21"/>
                <w:lang w:val="en-US"/>
              </w:rPr>
            </w:pPr>
            <w:r>
              <w:rPr>
                <w:b/>
                <w:sz w:val="21"/>
                <w:szCs w:val="21"/>
                <w:lang w:val="en-US"/>
              </w:rPr>
              <w:t>4、监测要求</w:t>
            </w:r>
          </w:p>
          <w:p>
            <w:pPr>
              <w:pageBreakBefore w:val="0"/>
              <w:kinsoku/>
              <w:wordWrap/>
              <w:overflowPunct/>
              <w:topLinePunct w:val="0"/>
              <w:autoSpaceDE/>
              <w:autoSpaceDN/>
              <w:bidi w:val="0"/>
              <w:spacing w:line="520" w:lineRule="exact"/>
              <w:ind w:firstLine="420" w:firstLineChars="200"/>
              <w:rPr>
                <w:rFonts w:hint="eastAsia"/>
                <w:sz w:val="21"/>
                <w:szCs w:val="21"/>
              </w:rPr>
            </w:pPr>
            <w:r>
              <w:rPr>
                <w:rFonts w:hint="eastAsia"/>
                <w:color w:val="000000"/>
                <w:sz w:val="21"/>
                <w:szCs w:val="21"/>
              </w:rPr>
              <w:t>根据</w:t>
            </w:r>
            <w:r>
              <w:rPr>
                <w:rFonts w:hint="default" w:ascii="Times New Roman" w:hAnsi="Times New Roman" w:eastAsia="宋体" w:cs="Times New Roman"/>
                <w:color w:val="auto"/>
                <w:lang w:val="en-US" w:eastAsia="zh-CN"/>
              </w:rPr>
              <w:t>《排污许可证申请与核发技术规范 废弃资源加工工业</w:t>
            </w:r>
            <w:r>
              <w:rPr>
                <w:rFonts w:hint="eastAsia" w:ascii="Times New Roman" w:hAnsi="Times New Roman" w:eastAsia="宋体" w:cs="Times New Roman"/>
                <w:color w:val="auto"/>
                <w:lang w:val="en-US" w:eastAsia="zh-CN"/>
              </w:rPr>
              <w:t>》</w:t>
            </w:r>
            <w:r>
              <w:rPr>
                <w:rFonts w:hint="eastAsia" w:cs="Times New Roman"/>
                <w:color w:val="auto"/>
                <w:lang w:val="en-US" w:eastAsia="zh-CN"/>
              </w:rPr>
              <w:t>（</w:t>
            </w:r>
            <w:r>
              <w:rPr>
                <w:rFonts w:hint="eastAsia" w:ascii="Times New Roman" w:hAnsi="Times New Roman" w:eastAsia="宋体" w:cs="Times New Roman"/>
                <w:color w:val="auto"/>
                <w:lang w:val="en-US" w:eastAsia="zh-CN"/>
              </w:rPr>
              <w:t>HJ 1034—2019</w:t>
            </w:r>
            <w:r>
              <w:rPr>
                <w:rFonts w:hint="eastAsia" w:cs="Times New Roman"/>
                <w:color w:val="auto"/>
                <w:lang w:val="en-US" w:eastAsia="zh-CN"/>
              </w:rPr>
              <w:t>）</w:t>
            </w:r>
            <w:r>
              <w:rPr>
                <w:rFonts w:hint="eastAsia" w:ascii="Times New Roman" w:hAnsi="Times New Roman" w:eastAsia="宋体" w:cs="Times New Roman"/>
                <w:b w:val="0"/>
                <w:bCs w:val="0"/>
                <w:color w:val="auto"/>
                <w:u w:val="none"/>
                <w:lang w:val="en-US" w:eastAsia="zh-CN"/>
              </w:rPr>
              <w:t>》</w:t>
            </w:r>
            <w:r>
              <w:rPr>
                <w:rFonts w:hint="eastAsia"/>
                <w:color w:val="000000"/>
                <w:sz w:val="21"/>
                <w:szCs w:val="21"/>
              </w:rPr>
              <w:t>要求进行监测，监测要求见下表</w:t>
            </w:r>
            <w:r>
              <w:rPr>
                <w:bCs/>
                <w:sz w:val="21"/>
                <w:szCs w:val="21"/>
              </w:rPr>
              <w:t>。</w:t>
            </w:r>
          </w:p>
          <w:p>
            <w:pPr>
              <w:pStyle w:val="31"/>
              <w:keepLines w:val="0"/>
              <w:pageBreakBefore w:val="0"/>
              <w:kinsoku/>
              <w:wordWrap/>
              <w:overflowPunct/>
              <w:topLinePunct w:val="0"/>
              <w:autoSpaceDE/>
              <w:autoSpaceDN/>
              <w:bidi w:val="0"/>
              <w:spacing w:line="5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本项目噪声监测要求</w:t>
            </w:r>
          </w:p>
          <w:tbl>
            <w:tblPr>
              <w:tblStyle w:val="19"/>
              <w:tblW w:w="8418" w:type="dxa"/>
              <w:tblInd w:w="5"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927"/>
              <w:gridCol w:w="1714"/>
              <w:gridCol w:w="1644"/>
              <w:gridCol w:w="17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tcBorders>
                    <w:left w:val="nil"/>
                  </w:tcBorders>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污染物</w:t>
                  </w:r>
                </w:p>
              </w:tc>
              <w:tc>
                <w:tcPr>
                  <w:tcW w:w="1927" w:type="dxa"/>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监测点位</w:t>
                  </w:r>
                </w:p>
              </w:tc>
              <w:tc>
                <w:tcPr>
                  <w:tcW w:w="1714" w:type="dxa"/>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监测指标</w:t>
                  </w:r>
                </w:p>
              </w:tc>
              <w:tc>
                <w:tcPr>
                  <w:tcW w:w="1644" w:type="dxa"/>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监测频率</w:t>
                  </w:r>
                </w:p>
              </w:tc>
              <w:tc>
                <w:tcPr>
                  <w:tcW w:w="1715" w:type="dxa"/>
                  <w:tcBorders>
                    <w:right w:val="nil"/>
                  </w:tcBorders>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实施单位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tcBorders>
                    <w:left w:val="nil"/>
                  </w:tcBorders>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w:t>
                  </w:r>
                </w:p>
              </w:tc>
              <w:tc>
                <w:tcPr>
                  <w:tcW w:w="1927" w:type="dxa"/>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四周</w:t>
                  </w:r>
                  <w:r>
                    <w:rPr>
                      <w:rFonts w:hint="default" w:ascii="Times New Roman" w:hAnsi="Times New Roman" w:eastAsia="宋体" w:cs="Times New Roman"/>
                      <w:sz w:val="21"/>
                      <w:szCs w:val="21"/>
                      <w:vertAlign w:val="baseline"/>
                      <w:lang w:val="en-US" w:eastAsia="zh-CN"/>
                    </w:rPr>
                    <w:t>厂界外1米</w:t>
                  </w:r>
                </w:p>
              </w:tc>
              <w:tc>
                <w:tcPr>
                  <w:tcW w:w="1714" w:type="dxa"/>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等效连续A声级</w:t>
                  </w:r>
                </w:p>
              </w:tc>
              <w:tc>
                <w:tcPr>
                  <w:tcW w:w="1644" w:type="dxa"/>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每季度一次</w:t>
                  </w:r>
                </w:p>
              </w:tc>
              <w:tc>
                <w:tcPr>
                  <w:tcW w:w="1715" w:type="dxa"/>
                  <w:tcBorders>
                    <w:right w:val="nil"/>
                  </w:tcBorders>
                  <w:vAlign w:val="center"/>
                </w:tcPr>
                <w:p>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委托有资质单位</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b/>
                <w:bCs/>
                <w:color w:val="auto"/>
              </w:rPr>
            </w:pPr>
            <w:r>
              <w:rPr>
                <w:rFonts w:hint="eastAsia" w:eastAsia="宋体"/>
                <w:b/>
                <w:bCs/>
                <w:color w:val="auto"/>
                <w:lang w:eastAsia="zh-CN"/>
              </w:rPr>
              <w:t>四、</w:t>
            </w:r>
            <w:r>
              <w:rPr>
                <w:b/>
                <w:bCs/>
                <w:color w:val="auto"/>
              </w:rPr>
              <w:t>固体废物</w:t>
            </w:r>
          </w:p>
          <w:p>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hint="default"/>
                <w:b/>
                <w:bCs/>
                <w:color w:val="auto"/>
                <w:lang w:val="en-US" w:eastAsia="zh-CN"/>
              </w:rPr>
            </w:pPr>
            <w:r>
              <w:rPr>
                <w:rFonts w:hint="eastAsia"/>
                <w:b/>
                <w:bCs/>
                <w:color w:val="auto"/>
                <w:lang w:val="en-US" w:eastAsia="zh-CN"/>
              </w:rPr>
              <w:t>1、固体废弃物产生情况</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lang w:eastAsia="zh-CN"/>
              </w:rPr>
            </w:pPr>
            <w:r>
              <w:rPr>
                <w:rFonts w:hint="eastAsia"/>
                <w:lang w:eastAsia="zh-CN"/>
              </w:rPr>
              <w:t>本项目固废主要是</w:t>
            </w:r>
            <w:r>
              <w:rPr>
                <w:rFonts w:hint="eastAsia"/>
                <w:lang w:val="en-US" w:eastAsia="zh-CN"/>
              </w:rPr>
              <w:t>生活垃圾、</w:t>
            </w:r>
            <w:r>
              <w:rPr>
                <w:rFonts w:hint="eastAsia"/>
                <w:lang w:eastAsia="zh-CN"/>
              </w:rPr>
              <w:t>废包装</w:t>
            </w:r>
            <w:r>
              <w:rPr>
                <w:rFonts w:hint="eastAsia"/>
                <w:lang w:val="en-US" w:eastAsia="zh-CN"/>
              </w:rPr>
              <w:t>袋，无危险废物</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lang w:eastAsia="zh-CN"/>
              </w:rPr>
            </w:pPr>
            <w:r>
              <w:rPr>
                <w:rFonts w:hint="eastAsia"/>
                <w:lang w:eastAsia="zh-CN"/>
              </w:rPr>
              <w:t>一般固废：</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lang w:eastAsia="zh-CN"/>
              </w:rPr>
            </w:pPr>
            <w:r>
              <w:rPr>
                <w:rFonts w:hint="eastAsia"/>
                <w:lang w:eastAsia="zh-CN"/>
              </w:rPr>
              <w:t>①生活垃圾：本项目劳动定员</w:t>
            </w:r>
            <w:r>
              <w:rPr>
                <w:rFonts w:hint="eastAsia"/>
                <w:lang w:val="en-US" w:eastAsia="zh-CN"/>
              </w:rPr>
              <w:t>15</w:t>
            </w:r>
            <w:r>
              <w:rPr>
                <w:rFonts w:hint="eastAsia"/>
                <w:lang w:eastAsia="zh-CN"/>
              </w:rPr>
              <w:t>人，生活垃圾按0.5kg/人·d，则生活垃圾产生量为</w:t>
            </w:r>
            <w:r>
              <w:rPr>
                <w:rFonts w:hint="eastAsia"/>
                <w:lang w:val="en-US" w:eastAsia="zh-CN"/>
              </w:rPr>
              <w:t>1.95</w:t>
            </w:r>
            <w:r>
              <w:rPr>
                <w:rFonts w:hint="eastAsia"/>
                <w:lang w:eastAsia="zh-CN"/>
              </w:rPr>
              <w:t>t/a。定点收集后交由环卫部门处理。</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lang w:eastAsia="zh-CN"/>
              </w:rPr>
            </w:pPr>
            <w:r>
              <w:rPr>
                <w:rFonts w:hint="eastAsia"/>
                <w:lang w:eastAsia="zh-CN"/>
              </w:rPr>
              <w:t>②废包装</w:t>
            </w:r>
            <w:r>
              <w:rPr>
                <w:rFonts w:hint="eastAsia"/>
                <w:lang w:val="en-US" w:eastAsia="zh-CN"/>
              </w:rPr>
              <w:t>袋</w:t>
            </w:r>
            <w:r>
              <w:rPr>
                <w:rFonts w:hint="eastAsia"/>
                <w:lang w:eastAsia="zh-CN"/>
              </w:rPr>
              <w:t>：本项目</w:t>
            </w:r>
            <w:r>
              <w:rPr>
                <w:rFonts w:hint="eastAsia"/>
                <w:lang w:val="en-US" w:eastAsia="zh-CN"/>
              </w:rPr>
              <w:t>所用腐植酸钾尾料为袋装，每袋装1t，编织袋的重量约为500g，腐植酸钾尾料年用量为4000t，则产生废编织袋2t/a；硅土为袋装，每袋装1t，编织袋的重量约为500g，年用量为1000t，则产生废编织袋0.5t/a。</w:t>
            </w:r>
            <w:r>
              <w:rPr>
                <w:rFonts w:hint="eastAsia"/>
                <w:lang w:eastAsia="zh-CN"/>
              </w:rPr>
              <w:t>废包装</w:t>
            </w:r>
            <w:r>
              <w:rPr>
                <w:rFonts w:hint="eastAsia"/>
                <w:lang w:val="en-US" w:eastAsia="zh-CN"/>
              </w:rPr>
              <w:t>袋</w:t>
            </w:r>
            <w:r>
              <w:rPr>
                <w:rFonts w:hint="eastAsia"/>
                <w:lang w:eastAsia="zh-CN"/>
              </w:rPr>
              <w:t>的产生量约为</w:t>
            </w:r>
            <w:r>
              <w:rPr>
                <w:rFonts w:hint="eastAsia"/>
                <w:lang w:val="en-US" w:eastAsia="zh-CN"/>
              </w:rPr>
              <w:t>2.5</w:t>
            </w:r>
            <w:r>
              <w:rPr>
                <w:rFonts w:hint="eastAsia"/>
                <w:lang w:eastAsia="zh-CN"/>
              </w:rPr>
              <w:t>t/a。</w:t>
            </w:r>
            <w:r>
              <w:rPr>
                <w:rFonts w:hint="eastAsia"/>
                <w:lang w:val="en-US" w:eastAsia="zh-CN"/>
              </w:rPr>
              <w:t>依托现有</w:t>
            </w:r>
            <w:r>
              <w:rPr>
                <w:rFonts w:hint="eastAsia"/>
                <w:lang w:eastAsia="zh-CN"/>
              </w:rPr>
              <w:t>一般固废暂存间一座，评价提出，废包装材料在一般固废暂存间暂存后，</w:t>
            </w:r>
            <w:r>
              <w:rPr>
                <w:rFonts w:hint="eastAsia"/>
                <w:lang w:val="en-US" w:eastAsia="zh-CN"/>
              </w:rPr>
              <w:t>厂家</w:t>
            </w:r>
            <w:r>
              <w:rPr>
                <w:rFonts w:hint="eastAsia"/>
                <w:lang w:eastAsia="zh-CN"/>
              </w:rPr>
              <w:t>定期</w:t>
            </w:r>
            <w:r>
              <w:rPr>
                <w:rFonts w:hint="eastAsia"/>
                <w:lang w:val="en-US" w:eastAsia="zh-CN"/>
              </w:rPr>
              <w:t>回收</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③</w:t>
            </w:r>
            <w:r>
              <w:rPr>
                <w:rFonts w:hint="default" w:ascii="Times New Roman" w:hAnsi="Times New Roman" w:eastAsia="宋体" w:cs="Times New Roman"/>
                <w:lang w:eastAsia="zh-CN"/>
              </w:rPr>
              <w:t>除尘器收集粉尘：产生量为</w:t>
            </w:r>
            <w:r>
              <w:rPr>
                <w:rFonts w:hint="eastAsia" w:ascii="Times New Roman" w:hAnsi="Times New Roman" w:eastAsia="宋体" w:cs="Times New Roman"/>
                <w:highlight w:val="none"/>
                <w:lang w:val="en-US" w:eastAsia="zh-CN"/>
              </w:rPr>
              <w:t>3.9969</w:t>
            </w:r>
            <w:r>
              <w:rPr>
                <w:rFonts w:hint="default" w:ascii="Times New Roman" w:hAnsi="Times New Roman" w:eastAsia="宋体" w:cs="Times New Roman"/>
                <w:highlight w:val="none"/>
                <w:lang w:val="en-US" w:eastAsia="zh-CN"/>
              </w:rPr>
              <w:t>t</w:t>
            </w:r>
            <w:r>
              <w:rPr>
                <w:rFonts w:hint="default" w:ascii="Times New Roman" w:hAnsi="Times New Roman" w:eastAsia="宋体" w:cs="Times New Roman"/>
                <w:highlight w:val="none"/>
                <w:lang w:eastAsia="zh-CN"/>
              </w:rPr>
              <w:t>/a</w:t>
            </w:r>
            <w:r>
              <w:rPr>
                <w:rFonts w:hint="default" w:ascii="Times New Roman" w:hAnsi="Times New Roman" w:eastAsia="宋体" w:cs="Times New Roman"/>
                <w:lang w:eastAsia="zh-CN"/>
              </w:rPr>
              <w:t>，</w:t>
            </w:r>
            <w:r>
              <w:rPr>
                <w:rFonts w:hint="eastAsia" w:ascii="Times New Roman" w:hAnsi="Times New Roman" w:eastAsia="宋体" w:cs="Times New Roman"/>
                <w:lang w:val="en-US" w:eastAsia="zh-CN"/>
              </w:rPr>
              <w:t>粉尘</w:t>
            </w:r>
            <w:r>
              <w:rPr>
                <w:rFonts w:hint="default" w:ascii="Times New Roman" w:hAnsi="Times New Roman" w:eastAsia="宋体" w:cs="Times New Roman"/>
                <w:lang w:eastAsia="zh-CN"/>
              </w:rPr>
              <w:t>收集后</w:t>
            </w:r>
            <w:r>
              <w:rPr>
                <w:rFonts w:hint="eastAsia" w:ascii="Times New Roman" w:hAnsi="Times New Roman" w:eastAsia="宋体" w:cs="Times New Roman"/>
                <w:lang w:val="en-US" w:eastAsia="zh-CN"/>
              </w:rPr>
              <w:t>存放一般固废间，定期回用于生产。</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b/>
                <w:bCs/>
              </w:rPr>
            </w:pPr>
            <w:r>
              <w:rPr>
                <w:rFonts w:hint="eastAsia"/>
                <w:lang w:eastAsia="zh-CN"/>
              </w:rPr>
              <w:t>综上，本项目固体废物产生量及处理措施见</w:t>
            </w:r>
            <w:r>
              <w:rPr>
                <w:rFonts w:hint="eastAsia"/>
                <w:lang w:val="en-US" w:eastAsia="zh-CN"/>
              </w:rPr>
              <w:t>下表</w:t>
            </w:r>
            <w:r>
              <w:rPr>
                <w:rFonts w:hint="eastAsia"/>
                <w:lang w:eastAsia="zh-CN"/>
              </w:rPr>
              <w:t>。</w:t>
            </w:r>
          </w:p>
          <w:p>
            <w:pPr>
              <w:pStyle w:val="31"/>
              <w:keepLines w:val="0"/>
              <w:pageBreakBefore w:val="0"/>
              <w:kinsoku/>
              <w:wordWrap/>
              <w:overflowPunct/>
              <w:topLinePunct w:val="0"/>
              <w:autoSpaceDE/>
              <w:autoSpaceDN/>
              <w:bidi w:val="0"/>
              <w:spacing w:line="520" w:lineRule="exact"/>
              <w:rPr>
                <w:rFonts w:hint="eastAsia" w:ascii="Times New Roman" w:hAnsi="Times New Roman" w:eastAsia="宋体" w:cs="Times New Roman"/>
                <w:lang w:val="pt-BR" w:eastAsia="zh-CN"/>
              </w:rPr>
            </w:pPr>
            <w:r>
              <w:rPr>
                <w:rFonts w:hint="default" w:ascii="Times New Roman" w:hAnsi="Times New Roman" w:eastAsia="宋体" w:cs="Times New Roman"/>
                <w:lang w:val="pt-BR" w:eastAsia="zh-CN"/>
              </w:rPr>
              <w:t xml:space="preserve"> 固废产生及处置</w:t>
            </w:r>
            <w:r>
              <w:rPr>
                <w:rFonts w:hint="eastAsia" w:ascii="Times New Roman" w:hAnsi="Times New Roman" w:eastAsia="宋体" w:cs="Times New Roman"/>
                <w:lang w:val="pt-BR" w:eastAsia="zh-CN"/>
              </w:rPr>
              <w:t>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137"/>
              <w:gridCol w:w="1175"/>
              <w:gridCol w:w="1537"/>
              <w:gridCol w:w="2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33" w:type="pct"/>
                  <w:tcBorders>
                    <w:tl2br w:val="nil"/>
                    <w:tr2bl w:val="nil"/>
                  </w:tcBorders>
                  <w:noWrap w:val="0"/>
                  <w:vAlign w:val="center"/>
                </w:tcPr>
                <w:p>
                  <w:pPr>
                    <w:adjustRightInd w:val="0"/>
                    <w:snapToGrid w:val="0"/>
                    <w:jc w:val="center"/>
                    <w:rPr>
                      <w:b/>
                      <w:bCs/>
                      <w:szCs w:val="21"/>
                    </w:rPr>
                  </w:pPr>
                  <w:r>
                    <w:rPr>
                      <w:b/>
                      <w:bCs/>
                      <w:szCs w:val="21"/>
                    </w:rPr>
                    <w:t>序号</w:t>
                  </w:r>
                </w:p>
              </w:tc>
              <w:tc>
                <w:tcPr>
                  <w:tcW w:w="1268" w:type="pct"/>
                  <w:tcBorders>
                    <w:tl2br w:val="nil"/>
                    <w:tr2bl w:val="nil"/>
                  </w:tcBorders>
                  <w:noWrap w:val="0"/>
                  <w:vAlign w:val="center"/>
                </w:tcPr>
                <w:p>
                  <w:pPr>
                    <w:adjustRightInd w:val="0"/>
                    <w:snapToGrid w:val="0"/>
                    <w:jc w:val="center"/>
                    <w:rPr>
                      <w:b/>
                      <w:bCs/>
                      <w:szCs w:val="21"/>
                    </w:rPr>
                  </w:pPr>
                  <w:r>
                    <w:rPr>
                      <w:b/>
                      <w:bCs/>
                      <w:szCs w:val="21"/>
                    </w:rPr>
                    <w:t>固废名称</w:t>
                  </w:r>
                </w:p>
              </w:tc>
              <w:tc>
                <w:tcPr>
                  <w:tcW w:w="697" w:type="pct"/>
                  <w:tcBorders>
                    <w:tl2br w:val="nil"/>
                    <w:tr2bl w:val="nil"/>
                  </w:tcBorders>
                  <w:noWrap w:val="0"/>
                  <w:vAlign w:val="center"/>
                </w:tcPr>
                <w:p>
                  <w:pPr>
                    <w:adjustRightInd w:val="0"/>
                    <w:snapToGrid w:val="0"/>
                    <w:jc w:val="center"/>
                    <w:rPr>
                      <w:b/>
                      <w:bCs/>
                      <w:szCs w:val="21"/>
                    </w:rPr>
                  </w:pPr>
                  <w:r>
                    <w:rPr>
                      <w:b/>
                      <w:bCs/>
                      <w:szCs w:val="21"/>
                    </w:rPr>
                    <w:t>产生量t/a</w:t>
                  </w:r>
                </w:p>
              </w:tc>
              <w:tc>
                <w:tcPr>
                  <w:tcW w:w="912" w:type="pct"/>
                  <w:tcBorders>
                    <w:tl2br w:val="nil"/>
                    <w:tr2bl w:val="nil"/>
                  </w:tcBorders>
                  <w:noWrap w:val="0"/>
                  <w:vAlign w:val="center"/>
                </w:tcPr>
                <w:p>
                  <w:pPr>
                    <w:adjustRightInd w:val="0"/>
                    <w:snapToGrid w:val="0"/>
                    <w:jc w:val="center"/>
                    <w:rPr>
                      <w:b/>
                      <w:bCs/>
                      <w:szCs w:val="21"/>
                    </w:rPr>
                  </w:pPr>
                  <w:r>
                    <w:rPr>
                      <w:b/>
                      <w:bCs/>
                      <w:color w:val="000000"/>
                      <w:szCs w:val="21"/>
                    </w:rPr>
                    <w:t>固废属性</w:t>
                  </w:r>
                </w:p>
              </w:tc>
              <w:tc>
                <w:tcPr>
                  <w:tcW w:w="1688" w:type="pct"/>
                  <w:tcBorders>
                    <w:tl2br w:val="nil"/>
                    <w:tr2bl w:val="nil"/>
                  </w:tcBorders>
                  <w:noWrap w:val="0"/>
                  <w:vAlign w:val="center"/>
                </w:tcPr>
                <w:p>
                  <w:pPr>
                    <w:adjustRightInd w:val="0"/>
                    <w:snapToGrid w:val="0"/>
                    <w:jc w:val="center"/>
                    <w:rPr>
                      <w:b/>
                      <w:bCs/>
                      <w:szCs w:val="21"/>
                    </w:rPr>
                  </w:pPr>
                  <w:r>
                    <w:rPr>
                      <w:b/>
                      <w:bCs/>
                      <w:szCs w:val="21"/>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tcBorders>
                    <w:tl2br w:val="nil"/>
                    <w:tr2bl w:val="nil"/>
                  </w:tcBorders>
                  <w:noWrap w:val="0"/>
                  <w:vAlign w:val="center"/>
                </w:tcPr>
                <w:p>
                  <w:pPr>
                    <w:adjustRightInd w:val="0"/>
                    <w:snapToGrid w:val="0"/>
                    <w:jc w:val="center"/>
                    <w:rPr>
                      <w:szCs w:val="21"/>
                    </w:rPr>
                  </w:pPr>
                  <w:r>
                    <w:rPr>
                      <w:szCs w:val="21"/>
                    </w:rPr>
                    <w:t>1</w:t>
                  </w:r>
                </w:p>
              </w:tc>
              <w:tc>
                <w:tcPr>
                  <w:tcW w:w="1268" w:type="pct"/>
                  <w:tcBorders>
                    <w:tl2br w:val="nil"/>
                    <w:tr2bl w:val="nil"/>
                  </w:tcBorders>
                  <w:noWrap w:val="0"/>
                  <w:vAlign w:val="center"/>
                </w:tcPr>
                <w:p>
                  <w:pPr>
                    <w:adjustRightInd w:val="0"/>
                    <w:snapToGrid w:val="0"/>
                    <w:jc w:val="center"/>
                    <w:rPr>
                      <w:rFonts w:hint="eastAsia"/>
                      <w:szCs w:val="21"/>
                    </w:rPr>
                  </w:pPr>
                  <w:r>
                    <w:rPr>
                      <w:rFonts w:hint="eastAsia"/>
                      <w:szCs w:val="21"/>
                    </w:rPr>
                    <w:t>生活垃圾</w:t>
                  </w:r>
                </w:p>
              </w:tc>
              <w:tc>
                <w:tcPr>
                  <w:tcW w:w="697" w:type="pct"/>
                  <w:tcBorders>
                    <w:tl2br w:val="nil"/>
                    <w:tr2bl w:val="nil"/>
                  </w:tcBorders>
                  <w:noWrap w:val="0"/>
                  <w:vAlign w:val="center"/>
                </w:tcPr>
                <w:p>
                  <w:pPr>
                    <w:adjustRightInd w:val="0"/>
                    <w:snapToGrid w:val="0"/>
                    <w:jc w:val="center"/>
                    <w:rPr>
                      <w:rFonts w:hint="default" w:eastAsia="宋体"/>
                      <w:szCs w:val="21"/>
                      <w:lang w:val="en-US" w:eastAsia="zh-CN"/>
                    </w:rPr>
                  </w:pPr>
                  <w:r>
                    <w:rPr>
                      <w:rFonts w:hint="eastAsia"/>
                      <w:szCs w:val="21"/>
                      <w:lang w:val="en-US" w:eastAsia="zh-CN"/>
                    </w:rPr>
                    <w:t>1.95</w:t>
                  </w:r>
                </w:p>
              </w:tc>
              <w:tc>
                <w:tcPr>
                  <w:tcW w:w="912" w:type="pct"/>
                  <w:tcBorders>
                    <w:tl2br w:val="nil"/>
                    <w:tr2bl w:val="nil"/>
                  </w:tcBorders>
                  <w:noWrap w:val="0"/>
                  <w:vAlign w:val="center"/>
                </w:tcPr>
                <w:p>
                  <w:pPr>
                    <w:adjustRightInd w:val="0"/>
                    <w:snapToGrid w:val="0"/>
                    <w:jc w:val="center"/>
                    <w:rPr>
                      <w:rFonts w:hint="eastAsia"/>
                      <w:szCs w:val="21"/>
                    </w:rPr>
                  </w:pPr>
                  <w:r>
                    <w:rPr>
                      <w:rFonts w:hint="eastAsia"/>
                      <w:szCs w:val="21"/>
                    </w:rPr>
                    <w:t>一般固废</w:t>
                  </w:r>
                </w:p>
              </w:tc>
              <w:tc>
                <w:tcPr>
                  <w:tcW w:w="1688" w:type="pct"/>
                  <w:tcBorders>
                    <w:tl2br w:val="nil"/>
                    <w:tr2bl w:val="nil"/>
                  </w:tcBorders>
                  <w:noWrap w:val="0"/>
                  <w:vAlign w:val="center"/>
                </w:tcPr>
                <w:p>
                  <w:pPr>
                    <w:adjustRightInd w:val="0"/>
                    <w:snapToGrid w:val="0"/>
                    <w:jc w:val="center"/>
                    <w:rPr>
                      <w:szCs w:val="21"/>
                    </w:rPr>
                  </w:pPr>
                  <w:r>
                    <w:rPr>
                      <w:rFonts w:hint="eastAsia"/>
                      <w:szCs w:val="21"/>
                    </w:rPr>
                    <w:t>定期交由环卫部门处置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tcBorders>
                    <w:tl2br w:val="nil"/>
                    <w:tr2bl w:val="nil"/>
                  </w:tcBorders>
                  <w:noWrap w:val="0"/>
                  <w:vAlign w:val="center"/>
                </w:tcPr>
                <w:p>
                  <w:pPr>
                    <w:adjustRightInd w:val="0"/>
                    <w:snapToGrid w:val="0"/>
                    <w:jc w:val="center"/>
                    <w:rPr>
                      <w:szCs w:val="21"/>
                    </w:rPr>
                  </w:pPr>
                  <w:r>
                    <w:rPr>
                      <w:szCs w:val="21"/>
                    </w:rPr>
                    <w:t>2</w:t>
                  </w:r>
                </w:p>
              </w:tc>
              <w:tc>
                <w:tcPr>
                  <w:tcW w:w="1268" w:type="pct"/>
                  <w:tcBorders>
                    <w:tl2br w:val="nil"/>
                    <w:tr2bl w:val="nil"/>
                  </w:tcBorders>
                  <w:noWrap w:val="0"/>
                  <w:vAlign w:val="center"/>
                </w:tcPr>
                <w:p>
                  <w:pPr>
                    <w:adjustRightInd w:val="0"/>
                    <w:snapToGrid w:val="0"/>
                    <w:jc w:val="center"/>
                    <w:rPr>
                      <w:rFonts w:hint="eastAsia"/>
                      <w:szCs w:val="21"/>
                    </w:rPr>
                  </w:pPr>
                  <w:r>
                    <w:rPr>
                      <w:rFonts w:hint="eastAsia"/>
                      <w:szCs w:val="21"/>
                    </w:rPr>
                    <w:t>废包装物</w:t>
                  </w:r>
                </w:p>
              </w:tc>
              <w:tc>
                <w:tcPr>
                  <w:tcW w:w="697" w:type="pct"/>
                  <w:tcBorders>
                    <w:tl2br w:val="nil"/>
                    <w:tr2bl w:val="nil"/>
                  </w:tcBorders>
                  <w:noWrap w:val="0"/>
                  <w:vAlign w:val="center"/>
                </w:tcPr>
                <w:p>
                  <w:pPr>
                    <w:adjustRightInd w:val="0"/>
                    <w:snapToGrid w:val="0"/>
                    <w:jc w:val="center"/>
                    <w:rPr>
                      <w:rFonts w:hint="default" w:eastAsia="宋体"/>
                      <w:szCs w:val="21"/>
                      <w:lang w:val="en-US" w:eastAsia="zh-CN"/>
                    </w:rPr>
                  </w:pPr>
                  <w:r>
                    <w:rPr>
                      <w:rFonts w:hint="eastAsia"/>
                      <w:szCs w:val="21"/>
                      <w:lang w:val="en-US" w:eastAsia="zh-CN"/>
                    </w:rPr>
                    <w:t>2.5</w:t>
                  </w:r>
                </w:p>
              </w:tc>
              <w:tc>
                <w:tcPr>
                  <w:tcW w:w="912" w:type="pct"/>
                  <w:tcBorders>
                    <w:tl2br w:val="nil"/>
                    <w:tr2bl w:val="nil"/>
                  </w:tcBorders>
                  <w:noWrap w:val="0"/>
                  <w:vAlign w:val="center"/>
                </w:tcPr>
                <w:p>
                  <w:pPr>
                    <w:adjustRightInd w:val="0"/>
                    <w:snapToGrid w:val="0"/>
                    <w:jc w:val="center"/>
                    <w:rPr>
                      <w:rFonts w:hint="default" w:eastAsia="宋体"/>
                      <w:szCs w:val="21"/>
                      <w:lang w:val="en-US" w:eastAsia="zh-CN"/>
                    </w:rPr>
                  </w:pPr>
                  <w:r>
                    <w:rPr>
                      <w:rFonts w:hint="eastAsia"/>
                      <w:szCs w:val="21"/>
                    </w:rPr>
                    <w:t>一般固废</w:t>
                  </w:r>
                </w:p>
              </w:tc>
              <w:tc>
                <w:tcPr>
                  <w:tcW w:w="1688" w:type="pct"/>
                  <w:tcBorders>
                    <w:tl2br w:val="nil"/>
                    <w:tr2bl w:val="nil"/>
                  </w:tcBorders>
                  <w:noWrap w:val="0"/>
                  <w:vAlign w:val="center"/>
                </w:tcPr>
                <w:p>
                  <w:pPr>
                    <w:adjustRightInd w:val="0"/>
                    <w:snapToGrid w:val="0"/>
                    <w:jc w:val="center"/>
                    <w:rPr>
                      <w:szCs w:val="21"/>
                    </w:rPr>
                  </w:pPr>
                  <w:r>
                    <w:rPr>
                      <w:rFonts w:hint="eastAsia"/>
                      <w:lang w:eastAsia="zh-CN"/>
                    </w:rPr>
                    <w:t>一般固废暂存间暂存后，</w:t>
                  </w:r>
                  <w:r>
                    <w:rPr>
                      <w:rFonts w:hint="eastAsia"/>
                      <w:lang w:val="en-US" w:eastAsia="zh-CN"/>
                    </w:rPr>
                    <w:t>厂家</w:t>
                  </w:r>
                  <w:r>
                    <w:rPr>
                      <w:rFonts w:hint="eastAsia"/>
                      <w:lang w:eastAsia="zh-CN"/>
                    </w:rPr>
                    <w:t>定期</w:t>
                  </w:r>
                  <w:r>
                    <w:rPr>
                      <w:rFonts w:hint="eastAsia"/>
                      <w:lang w:val="en-US" w:eastAsia="zh-CN"/>
                    </w:rPr>
                    <w:t>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tcBorders>
                    <w:tl2br w:val="nil"/>
                    <w:tr2bl w:val="nil"/>
                  </w:tcBorders>
                  <w:noWrap w:val="0"/>
                  <w:vAlign w:val="center"/>
                </w:tcPr>
                <w:p>
                  <w:pPr>
                    <w:adjustRightInd w:val="0"/>
                    <w:snapToGrid w:val="0"/>
                    <w:jc w:val="center"/>
                    <w:rPr>
                      <w:rFonts w:hint="eastAsia" w:eastAsia="宋体"/>
                      <w:szCs w:val="21"/>
                      <w:lang w:val="en-US" w:eastAsia="zh-CN"/>
                    </w:rPr>
                  </w:pPr>
                  <w:r>
                    <w:rPr>
                      <w:rFonts w:hint="eastAsia"/>
                      <w:szCs w:val="21"/>
                      <w:lang w:val="en-US" w:eastAsia="zh-CN"/>
                    </w:rPr>
                    <w:t>3</w:t>
                  </w:r>
                </w:p>
              </w:tc>
              <w:tc>
                <w:tcPr>
                  <w:tcW w:w="1268" w:type="pct"/>
                  <w:tcBorders>
                    <w:tl2br w:val="nil"/>
                    <w:tr2bl w:val="nil"/>
                  </w:tcBorders>
                  <w:noWrap w:val="0"/>
                  <w:vAlign w:val="center"/>
                </w:tcPr>
                <w:p>
                  <w:pPr>
                    <w:adjustRightInd w:val="0"/>
                    <w:snapToGrid w:val="0"/>
                    <w:jc w:val="center"/>
                    <w:rPr>
                      <w:rFonts w:hint="default" w:eastAsia="宋体"/>
                      <w:szCs w:val="21"/>
                      <w:lang w:val="en-US" w:eastAsia="zh-CN"/>
                    </w:rPr>
                  </w:pPr>
                  <w:r>
                    <w:rPr>
                      <w:rFonts w:hint="eastAsia"/>
                      <w:szCs w:val="21"/>
                      <w:lang w:val="en-US" w:eastAsia="zh-CN"/>
                    </w:rPr>
                    <w:t>除尘器收集粉尘</w:t>
                  </w:r>
                </w:p>
              </w:tc>
              <w:tc>
                <w:tcPr>
                  <w:tcW w:w="697" w:type="pct"/>
                  <w:tcBorders>
                    <w:tl2br w:val="nil"/>
                    <w:tr2bl w:val="nil"/>
                  </w:tcBorders>
                  <w:noWrap w:val="0"/>
                  <w:vAlign w:val="center"/>
                </w:tcPr>
                <w:p>
                  <w:pPr>
                    <w:adjustRightInd w:val="0"/>
                    <w:snapToGrid w:val="0"/>
                    <w:jc w:val="center"/>
                    <w:rPr>
                      <w:rFonts w:hint="default"/>
                      <w:szCs w:val="21"/>
                      <w:lang w:val="en-US" w:eastAsia="zh-CN"/>
                    </w:rPr>
                  </w:pPr>
                  <w:r>
                    <w:rPr>
                      <w:rFonts w:hint="eastAsia"/>
                      <w:szCs w:val="21"/>
                      <w:lang w:val="en-US" w:eastAsia="zh-CN"/>
                    </w:rPr>
                    <w:t>3.9969</w:t>
                  </w:r>
                </w:p>
              </w:tc>
              <w:tc>
                <w:tcPr>
                  <w:tcW w:w="1537" w:type="dxa"/>
                  <w:tcBorders>
                    <w:tl2br w:val="nil"/>
                    <w:tr2bl w:val="nil"/>
                  </w:tcBorders>
                  <w:noWrap w:val="0"/>
                  <w:vAlign w:val="center"/>
                </w:tcPr>
                <w:p>
                  <w:pPr>
                    <w:adjustRightInd w:val="0"/>
                    <w:snapToGrid w:val="0"/>
                    <w:jc w:val="center"/>
                    <w:rPr>
                      <w:rFonts w:hint="eastAsia"/>
                      <w:szCs w:val="21"/>
                    </w:rPr>
                  </w:pPr>
                  <w:r>
                    <w:rPr>
                      <w:rFonts w:hint="eastAsia"/>
                      <w:szCs w:val="21"/>
                    </w:rPr>
                    <w:t>一般固废</w:t>
                  </w:r>
                </w:p>
              </w:tc>
              <w:tc>
                <w:tcPr>
                  <w:tcW w:w="2846" w:type="dxa"/>
                  <w:tcBorders>
                    <w:tl2br w:val="nil"/>
                    <w:tr2bl w:val="nil"/>
                  </w:tcBorders>
                  <w:noWrap w:val="0"/>
                  <w:vAlign w:val="center"/>
                </w:tcPr>
                <w:p>
                  <w:pPr>
                    <w:adjustRightInd w:val="0"/>
                    <w:snapToGrid w:val="0"/>
                    <w:jc w:val="center"/>
                    <w:rPr>
                      <w:rFonts w:hint="eastAsia"/>
                      <w:lang w:eastAsia="zh-CN"/>
                    </w:rPr>
                  </w:pPr>
                  <w:r>
                    <w:rPr>
                      <w:rFonts w:hint="eastAsia"/>
                      <w:lang w:eastAsia="zh-CN"/>
                    </w:rPr>
                    <w:t>一般固废暂存间暂存后，</w:t>
                  </w:r>
                  <w:r>
                    <w:rPr>
                      <w:rFonts w:hint="eastAsia"/>
                      <w:lang w:val="en-US" w:eastAsia="zh-CN"/>
                    </w:rPr>
                    <w:t>定期回用于生产</w:t>
                  </w:r>
                </w:p>
              </w:tc>
            </w:tr>
          </w:tbl>
          <w:p>
            <w:pPr>
              <w:pStyle w:val="36"/>
              <w:keepNext w:val="0"/>
              <w:keepLines w:val="0"/>
              <w:pageBreakBefore w:val="0"/>
              <w:widowControl w:val="0"/>
              <w:kinsoku/>
              <w:wordWrap/>
              <w:overflowPunct/>
              <w:topLinePunct w:val="0"/>
              <w:autoSpaceDE/>
              <w:autoSpaceDN/>
              <w:bidi w:val="0"/>
              <w:adjustRightInd/>
              <w:snapToGrid/>
              <w:spacing w:line="520" w:lineRule="exact"/>
              <w:ind w:left="0" w:leftChars="0" w:firstLine="422" w:firstLineChars="200"/>
              <w:textAlignment w:val="auto"/>
              <w:rPr>
                <w:rFonts w:hint="default" w:ascii="Times New Roman" w:hAnsi="Times New Roman" w:eastAsia="宋体" w:cs="Times New Roman"/>
                <w:b/>
                <w:bCs/>
                <w:sz w:val="21"/>
                <w:szCs w:val="21"/>
              </w:rPr>
            </w:pPr>
            <w:r>
              <w:rPr>
                <w:rFonts w:hint="eastAsia" w:cs="Times New Roman"/>
                <w:b/>
                <w:bCs/>
                <w:sz w:val="21"/>
                <w:szCs w:val="21"/>
                <w:lang w:val="en-US" w:eastAsia="zh-CN"/>
              </w:rPr>
              <w:t>2</w:t>
            </w:r>
            <w:r>
              <w:rPr>
                <w:rFonts w:hint="default" w:ascii="Times New Roman" w:hAnsi="Times New Roman" w:eastAsia="宋体" w:cs="Times New Roman"/>
                <w:b/>
                <w:bCs/>
                <w:sz w:val="21"/>
                <w:szCs w:val="21"/>
              </w:rPr>
              <w:t>、环境管理要求</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企业应严格按照</w:t>
            </w:r>
            <w:r>
              <w:rPr>
                <w:rFonts w:hint="eastAsia" w:ascii="Times New Roman" w:hAnsi="Times New Roman" w:eastAsia="宋体" w:cs="Times New Roman"/>
                <w:lang w:eastAsia="zh-CN"/>
              </w:rPr>
              <w:t>《一般工业固体废物贮存和填埋污染控制标准》（</w:t>
            </w:r>
            <w:r>
              <w:rPr>
                <w:rFonts w:hint="default" w:ascii="Times New Roman" w:hAnsi="Times New Roman" w:eastAsia="宋体" w:cs="Times New Roman"/>
                <w:lang w:eastAsia="zh-CN"/>
              </w:rPr>
              <w:t>GB18599-2020</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相关要求对上述一般固废进行暂存。本项目产生的一般固废经一般固废暂存间进行暂存，一般固废暂存间</w:t>
            </w:r>
            <w:r>
              <w:rPr>
                <w:rFonts w:hint="eastAsia" w:cs="Times New Roman"/>
                <w:lang w:eastAsia="zh-CN"/>
              </w:rPr>
              <w:t>（</w:t>
            </w:r>
            <w:r>
              <w:rPr>
                <w:rFonts w:hint="eastAsia" w:cs="Times New Roman"/>
                <w:lang w:val="en-US" w:eastAsia="zh-CN"/>
              </w:rPr>
              <w:t>10m</w:t>
            </w:r>
            <w:r>
              <w:rPr>
                <w:rFonts w:hint="eastAsia" w:cs="Times New Roman"/>
                <w:vertAlign w:val="superscript"/>
                <w:lang w:val="en-US" w:eastAsia="zh-CN"/>
              </w:rPr>
              <w:t>2</w:t>
            </w:r>
            <w:r>
              <w:rPr>
                <w:rFonts w:hint="eastAsia" w:cs="Times New Roman"/>
                <w:lang w:eastAsia="zh-CN"/>
              </w:rPr>
              <w:t>）</w:t>
            </w:r>
            <w:r>
              <w:rPr>
                <w:rFonts w:hint="default" w:ascii="Times New Roman" w:hAnsi="Times New Roman" w:eastAsia="宋体" w:cs="Times New Roman"/>
                <w:lang w:eastAsia="zh-CN"/>
              </w:rPr>
              <w:t>应做到防风、防雨、防渗漏等措施。</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2" w:firstLineChars="200"/>
              <w:jc w:val="both"/>
              <w:textAlignment w:val="auto"/>
              <w:rPr>
                <w:rFonts w:hint="eastAsia" w:ascii="Times New Roman" w:eastAsia="宋体"/>
                <w:color w:val="auto"/>
                <w:lang w:val="en-US" w:eastAsia="zh-CN"/>
              </w:rPr>
            </w:pPr>
            <w:r>
              <w:rPr>
                <w:rFonts w:hint="eastAsia"/>
                <w:b/>
                <w:bCs/>
                <w:color w:val="auto"/>
                <w:lang w:val="en-US" w:eastAsia="zh-CN"/>
              </w:rPr>
              <w:t>五、土壤、地下水</w:t>
            </w:r>
            <w:r>
              <w:rPr>
                <w:rFonts w:hint="default"/>
                <w:b/>
                <w:bCs/>
                <w:color w:val="auto"/>
                <w:lang w:val="en-US" w:eastAsia="zh-CN"/>
              </w:rPr>
              <w:t>环境影响分析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本项目可能对地下水、土壤有影响的污染物主要为</w:t>
            </w:r>
            <w:r>
              <w:rPr>
                <w:rFonts w:hint="eastAsia" w:ascii="Times New Roman" w:hAnsi="Times New Roman" w:eastAsia="宋体" w:cs="Times New Roman"/>
                <w:color w:val="auto"/>
                <w:lang w:val="en-US" w:eastAsia="zh-CN"/>
              </w:rPr>
              <w:t>化粪池</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化粪池按照</w:t>
            </w:r>
            <w:r>
              <w:rPr>
                <w:rFonts w:hint="eastAsia" w:ascii="Times New Roman" w:hAnsi="Times New Roman" w:eastAsia="宋体" w:cs="Times New Roman"/>
                <w:color w:val="auto"/>
                <w:lang w:eastAsia="zh-CN"/>
              </w:rPr>
              <w:t>要求设置防渗措施，不存在污染下渗的途径。</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本项目不与土壤接触，不下渗影响地下水。因此本项目不存在地下水、土壤污染途径，不再进行地下水及土壤环境影响分析。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20" w:lineRule="exact"/>
              <w:ind w:left="0" w:right="0" w:firstLine="422" w:firstLineChars="200"/>
              <w:textAlignment w:val="auto"/>
              <w:rPr>
                <w:rFonts w:hint="eastAsia"/>
                <w:b/>
                <w:bCs/>
                <w:color w:val="auto"/>
                <w:lang w:eastAsia="zh-CN"/>
              </w:rPr>
            </w:pPr>
            <w:r>
              <w:rPr>
                <w:rFonts w:hint="eastAsia" w:eastAsia="宋体"/>
                <w:b/>
                <w:bCs/>
                <w:color w:val="auto"/>
                <w:lang w:eastAsia="zh-CN"/>
              </w:rPr>
              <w:t>六</w:t>
            </w:r>
            <w:r>
              <w:rPr>
                <w:b/>
                <w:bCs/>
                <w:color w:val="auto"/>
              </w:rPr>
              <w:t>、</w:t>
            </w:r>
            <w:r>
              <w:rPr>
                <w:rFonts w:hint="eastAsia" w:eastAsia="宋体"/>
                <w:b/>
                <w:bCs/>
                <w:color w:val="auto"/>
                <w:lang w:eastAsia="zh-CN"/>
              </w:rPr>
              <w:t>生态环境影响分析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color w:val="auto"/>
              </w:rPr>
            </w:pPr>
            <w:r>
              <w:rPr>
                <w:rFonts w:hint="eastAsia" w:eastAsia="宋体"/>
                <w:color w:val="auto"/>
                <w:lang w:eastAsia="zh-CN"/>
              </w:rPr>
              <w:t>本项目不涉及</w:t>
            </w:r>
            <w:r>
              <w:rPr>
                <w:color w:val="auto"/>
              </w:rPr>
              <w:t>。</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520" w:lineRule="exact"/>
              <w:ind w:left="0" w:right="0" w:firstLine="422" w:firstLineChars="200"/>
              <w:textAlignment w:val="auto"/>
              <w:rPr>
                <w:rFonts w:hint="eastAsia"/>
                <w:b/>
                <w:bCs/>
                <w:color w:val="auto"/>
                <w:lang w:eastAsia="zh-CN"/>
              </w:rPr>
            </w:pPr>
            <w:r>
              <w:rPr>
                <w:rFonts w:hint="eastAsia" w:eastAsia="宋体"/>
                <w:b/>
                <w:bCs/>
                <w:color w:val="auto"/>
                <w:lang w:eastAsia="zh-CN"/>
              </w:rPr>
              <w:t>七、环境风险影响分析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color w:val="auto"/>
                <w:lang w:val="en-US" w:eastAsia="zh-CN"/>
              </w:rPr>
            </w:pPr>
            <w:r>
              <w:rPr>
                <w:rFonts w:hint="eastAsia"/>
                <w:color w:val="auto"/>
                <w:lang w:val="en-US" w:eastAsia="zh-CN"/>
              </w:rPr>
              <w:t>本项目不涉及。</w:t>
            </w:r>
          </w:p>
          <w:p>
            <w:pPr>
              <w:keepNext w:val="0"/>
              <w:keepLines w:val="0"/>
              <w:suppressLineNumbers w:val="0"/>
              <w:adjustRightInd w:val="0"/>
              <w:snapToGrid w:val="0"/>
              <w:spacing w:before="0" w:beforeAutospacing="0" w:after="0" w:afterAutospacing="0" w:line="520" w:lineRule="exact"/>
              <w:ind w:left="0" w:right="0" w:firstLine="422" w:firstLineChars="200"/>
              <w:rPr>
                <w:rFonts w:hint="eastAsia"/>
                <w:b/>
                <w:bCs/>
                <w:color w:val="auto"/>
                <w:lang w:val="en-US" w:eastAsia="zh-CN"/>
              </w:rPr>
            </w:pPr>
            <w:r>
              <w:rPr>
                <w:rFonts w:hint="eastAsia" w:eastAsia="宋体"/>
                <w:b/>
                <w:bCs/>
                <w:color w:val="auto"/>
                <w:lang w:eastAsia="zh-CN"/>
              </w:rPr>
              <w:t>八、电磁辐射</w:t>
            </w:r>
          </w:p>
          <w:p>
            <w:pPr>
              <w:keepNext w:val="0"/>
              <w:keepLines w:val="0"/>
              <w:suppressLineNumbers w:val="0"/>
              <w:adjustRightInd w:val="0"/>
              <w:snapToGrid w:val="0"/>
              <w:spacing w:before="0" w:beforeAutospacing="0" w:after="0" w:afterAutospacing="0" w:line="520" w:lineRule="exact"/>
              <w:ind w:left="0" w:right="0" w:firstLine="420" w:firstLineChars="200"/>
              <w:jc w:val="left"/>
              <w:rPr>
                <w:rFonts w:hint="eastAsia"/>
                <w:color w:val="auto"/>
                <w:lang w:val="en-US" w:eastAsia="zh-CN"/>
              </w:rPr>
            </w:pPr>
            <w:r>
              <w:rPr>
                <w:rFonts w:hint="eastAsia" w:ascii="Times New Roman" w:eastAsia="宋体"/>
                <w:color w:val="auto"/>
                <w:lang w:val="en-US" w:eastAsia="zh-CN"/>
              </w:rPr>
              <w:t>本项目不涉及。</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kern w:val="0"/>
                <w:sz w:val="21"/>
                <w:szCs w:val="20"/>
                <w:highlight w:val="none"/>
                <w:lang w:val="en-US" w:eastAsia="zh-CN" w:bidi="ar-SA"/>
              </w:rPr>
            </w:pPr>
            <w:r>
              <w:rPr>
                <w:rFonts w:hint="default" w:ascii="Times New Roman" w:hAnsi="Times New Roman" w:eastAsia="宋体" w:cs="Times New Roman"/>
                <w:b/>
                <w:bCs/>
                <w:color w:val="auto"/>
                <w:kern w:val="0"/>
                <w:sz w:val="21"/>
                <w:szCs w:val="20"/>
                <w:highlight w:val="none"/>
                <w:lang w:val="en-US" w:eastAsia="zh-CN" w:bidi="ar-SA"/>
              </w:rPr>
              <w:t>九、工程环保投资概算及环保设施验收</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FF0000"/>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本项目总投资</w:t>
            </w:r>
            <w:r>
              <w:rPr>
                <w:rFonts w:hint="eastAsia" w:cs="Times New Roman"/>
                <w:color w:val="auto"/>
                <w:kern w:val="0"/>
                <w:sz w:val="21"/>
                <w:szCs w:val="20"/>
                <w:lang w:val="en-US" w:eastAsia="zh-CN" w:bidi="ar-SA"/>
              </w:rPr>
              <w:t>100</w:t>
            </w:r>
            <w:r>
              <w:rPr>
                <w:rFonts w:hint="default" w:ascii="Times New Roman" w:hAnsi="Times New Roman" w:eastAsia="宋体" w:cs="Times New Roman"/>
                <w:color w:val="auto"/>
                <w:kern w:val="0"/>
                <w:sz w:val="21"/>
                <w:szCs w:val="20"/>
                <w:lang w:val="en-US" w:eastAsia="zh-CN" w:bidi="ar-SA"/>
              </w:rPr>
              <w:t>万元，环保投资为</w:t>
            </w:r>
            <w:r>
              <w:rPr>
                <w:rFonts w:hint="eastAsia" w:cs="Times New Roman"/>
                <w:color w:val="auto"/>
                <w:kern w:val="0"/>
                <w:sz w:val="21"/>
                <w:szCs w:val="20"/>
                <w:lang w:val="en-US" w:eastAsia="zh-CN" w:bidi="ar-SA"/>
              </w:rPr>
              <w:t>11</w:t>
            </w:r>
            <w:r>
              <w:rPr>
                <w:rFonts w:hint="default" w:ascii="Times New Roman" w:hAnsi="Times New Roman" w:eastAsia="宋体" w:cs="Times New Roman"/>
                <w:color w:val="auto"/>
                <w:kern w:val="0"/>
                <w:sz w:val="21"/>
                <w:szCs w:val="20"/>
                <w:lang w:val="en-US" w:eastAsia="zh-CN" w:bidi="ar-SA"/>
              </w:rPr>
              <w:t>万元，环保投资占总投资的</w:t>
            </w:r>
            <w:r>
              <w:rPr>
                <w:rFonts w:hint="eastAsia" w:cs="Times New Roman"/>
                <w:color w:val="auto"/>
                <w:kern w:val="0"/>
                <w:sz w:val="21"/>
                <w:szCs w:val="20"/>
                <w:lang w:val="en-US" w:eastAsia="zh-CN" w:bidi="ar-SA"/>
              </w:rPr>
              <w:t>11</w:t>
            </w:r>
            <w:r>
              <w:rPr>
                <w:rFonts w:hint="default" w:ascii="Times New Roman" w:hAnsi="Times New Roman" w:eastAsia="宋体" w:cs="Times New Roman"/>
                <w:color w:val="auto"/>
                <w:kern w:val="0"/>
                <w:sz w:val="21"/>
                <w:szCs w:val="20"/>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left"/>
              <w:textAlignment w:val="auto"/>
              <w:rPr>
                <w:rFonts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环保投资情况详见下表：</w:t>
            </w:r>
          </w:p>
          <w:p>
            <w:pPr>
              <w:keepNext w:val="0"/>
              <w:keepLines w:val="0"/>
              <w:widowControl/>
              <w:suppressLineNumbers w:val="0"/>
              <w:snapToGrid w:val="0"/>
              <w:spacing w:before="0" w:beforeAutospacing="0" w:after="0" w:afterAutospacing="0" w:line="400" w:lineRule="exact"/>
              <w:ind w:left="0" w:leftChars="0" w:right="0" w:firstLine="0" w:firstLineChars="0"/>
              <w:jc w:val="center"/>
              <w:rPr>
                <w:rFonts w:ascii="Times New Roman" w:hAnsi="Times New Roman" w:eastAsia="宋体" w:cs="Times New Roman"/>
                <w:b/>
                <w:bCs/>
                <w:color w:val="auto"/>
                <w:kern w:val="0"/>
                <w:sz w:val="21"/>
                <w:szCs w:val="20"/>
                <w:lang w:val="en-US" w:eastAsia="zh-CN" w:bidi="ar-SA"/>
              </w:rPr>
            </w:pPr>
            <w:r>
              <w:rPr>
                <w:rFonts w:ascii="Times New Roman" w:hAnsi="Times New Roman" w:eastAsia="宋体" w:cs="Times New Roman"/>
                <w:b/>
                <w:bCs/>
                <w:color w:val="auto"/>
                <w:kern w:val="0"/>
                <w:sz w:val="21"/>
                <w:szCs w:val="20"/>
                <w:lang w:val="en-US" w:eastAsia="zh-CN" w:bidi="ar-SA"/>
              </w:rPr>
              <w:t>表</w:t>
            </w:r>
            <w:r>
              <w:rPr>
                <w:rFonts w:hint="eastAsia" w:cs="Times New Roman"/>
                <w:b/>
                <w:bCs/>
                <w:color w:val="auto"/>
                <w:kern w:val="0"/>
                <w:sz w:val="21"/>
                <w:szCs w:val="20"/>
                <w:lang w:val="en-US" w:eastAsia="zh-CN" w:bidi="ar-SA"/>
              </w:rPr>
              <w:t xml:space="preserve">41  </w:t>
            </w:r>
            <w:r>
              <w:rPr>
                <w:rFonts w:ascii="Times New Roman" w:hAnsi="Times New Roman" w:eastAsia="宋体" w:cs="Times New Roman"/>
                <w:b/>
                <w:bCs/>
                <w:color w:val="auto"/>
                <w:kern w:val="0"/>
                <w:sz w:val="21"/>
                <w:szCs w:val="20"/>
                <w:lang w:val="en-US" w:eastAsia="zh-CN" w:bidi="ar-SA"/>
              </w:rPr>
              <w:t>工程环保投资一览表</w:t>
            </w:r>
            <w:r>
              <w:rPr>
                <w:rFonts w:hint="eastAsia" w:ascii="Times New Roman" w:hAnsi="Times New Roman" w:eastAsia="宋体" w:cs="Times New Roman"/>
                <w:b/>
                <w:bCs/>
                <w:color w:val="auto"/>
                <w:kern w:val="0"/>
                <w:sz w:val="21"/>
                <w:szCs w:val="20"/>
                <w:lang w:val="en-US" w:eastAsia="zh-CN" w:bidi="ar-SA"/>
              </w:rPr>
              <w:t xml:space="preserve">   单位：万元</w:t>
            </w:r>
          </w:p>
          <w:tbl>
            <w:tblPr>
              <w:tblStyle w:val="18"/>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674"/>
              <w:gridCol w:w="2295"/>
              <w:gridCol w:w="985"/>
              <w:gridCol w:w="943"/>
              <w:gridCol w:w="1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项目</w:t>
                  </w: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污染因子</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环保设施</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单位</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数量</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废气治理</w:t>
                  </w: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颗粒物</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集气罩+袋式除尘器+15m高排气筒</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eastAsia="zh-CN"/>
                    </w:rPr>
                  </w:pPr>
                  <w:r>
                    <w:rPr>
                      <w:color w:val="auto"/>
                    </w:rPr>
                    <w:t>套</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1</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废水治理</w:t>
                  </w:r>
                </w:p>
              </w:tc>
              <w:tc>
                <w:tcPr>
                  <w:tcW w:w="167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lang w:val="en-US" w:eastAsia="zh-CN"/>
                    </w:rPr>
                  </w:pPr>
                  <w:r>
                    <w:rPr>
                      <w:rFonts w:hint="eastAsia"/>
                      <w:color w:val="auto"/>
                      <w:lang w:val="en-US" w:eastAsia="zh-CN"/>
                    </w:rPr>
                    <w:t>COD、SS、氨氮</w:t>
                  </w:r>
                </w:p>
              </w:tc>
              <w:tc>
                <w:tcPr>
                  <w:tcW w:w="229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eastAsia="宋体"/>
                      <w:color w:val="auto"/>
                      <w:lang w:eastAsia="zh-CN"/>
                    </w:rPr>
                  </w:pPr>
                  <w:r>
                    <w:rPr>
                      <w:rFonts w:hint="eastAsia"/>
                      <w:color w:val="auto"/>
                      <w:lang w:eastAsia="zh-CN"/>
                    </w:rPr>
                    <w:t>依托现有化粪池</w:t>
                  </w:r>
                </w:p>
              </w:tc>
              <w:tc>
                <w:tcPr>
                  <w:tcW w:w="98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eastAsia="宋体"/>
                      <w:color w:val="auto"/>
                      <w:lang w:eastAsia="zh-CN"/>
                    </w:rPr>
                  </w:pPr>
                  <w:r>
                    <w:rPr>
                      <w:rFonts w:hint="eastAsia"/>
                      <w:color w:val="auto"/>
                      <w:lang w:eastAsia="zh-CN"/>
                    </w:rPr>
                    <w:t>座</w:t>
                  </w:r>
                </w:p>
              </w:tc>
              <w:tc>
                <w:tcPr>
                  <w:tcW w:w="94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eastAsia="宋体"/>
                      <w:color w:val="auto"/>
                      <w:lang w:eastAsia="zh-CN"/>
                    </w:rPr>
                  </w:pPr>
                  <w:r>
                    <w:rPr>
                      <w:rFonts w:hint="eastAsia"/>
                      <w:color w:val="auto"/>
                      <w:lang w:val="en-US" w:eastAsia="zh-CN"/>
                    </w:rPr>
                    <w:t>1</w:t>
                  </w:r>
                </w:p>
              </w:tc>
              <w:tc>
                <w:tcPr>
                  <w:tcW w:w="10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噪声治理</w:t>
                  </w: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val="en-US" w:eastAsia="zh-CN"/>
                    </w:rPr>
                    <w:t>设备噪声</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厂房隔音、距离衰减</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rFonts w:hint="eastAsia"/>
                      <w:color w:val="auto"/>
                    </w:rPr>
                    <w:t>其他</w:t>
                  </w:r>
                </w:p>
              </w:tc>
              <w:tc>
                <w:tcPr>
                  <w:tcW w:w="5897" w:type="dxa"/>
                  <w:gridSpan w:val="4"/>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rFonts w:hint="eastAsia"/>
                      <w:color w:val="auto"/>
                    </w:rPr>
                    <w:t>用电量监控系统</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8" w:type="dxa"/>
                  <w:gridSpan w:val="5"/>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合计</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11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jc w:val="both"/>
              <w:textAlignment w:val="auto"/>
              <w:rPr>
                <w:rFonts w:hint="eastAsia"/>
                <w:color w:val="auto"/>
                <w:lang w:val="en-US" w:eastAsia="zh-CN"/>
              </w:rPr>
            </w:pPr>
            <w:r>
              <w:rPr>
                <w:rFonts w:hint="default"/>
                <w:color w:val="auto"/>
                <w:lang w:val="en-US" w:eastAsia="zh-CN"/>
              </w:rPr>
              <w:t>工程竣工验收情况详见下表</w:t>
            </w:r>
            <w:r>
              <w:rPr>
                <w:rFonts w:hint="eastAsia" w:ascii="Times New Roman" w:eastAsia="宋体"/>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b/>
                <w:bCs/>
                <w:color w:val="auto"/>
              </w:rPr>
            </w:pPr>
            <w:r>
              <w:rPr>
                <w:b/>
                <w:bCs/>
                <w:color w:val="auto"/>
              </w:rPr>
              <w:t>表</w:t>
            </w:r>
            <w:r>
              <w:rPr>
                <w:rFonts w:hint="eastAsia"/>
                <w:b/>
                <w:bCs/>
                <w:color w:val="auto"/>
                <w:lang w:val="en-US" w:eastAsia="zh-CN"/>
              </w:rPr>
              <w:t xml:space="preserve">42  </w:t>
            </w:r>
            <w:r>
              <w:rPr>
                <w:b/>
                <w:bCs/>
                <w:color w:val="auto"/>
              </w:rPr>
              <w:t>环保验收一览表</w:t>
            </w:r>
          </w:p>
          <w:tbl>
            <w:tblPr>
              <w:tblStyle w:val="18"/>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20"/>
              <w:gridCol w:w="973"/>
              <w:gridCol w:w="2141"/>
              <w:gridCol w:w="1095"/>
              <w:gridCol w:w="2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61"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项目</w:t>
                  </w:r>
                </w:p>
              </w:tc>
              <w:tc>
                <w:tcPr>
                  <w:tcW w:w="1793" w:type="dxa"/>
                  <w:gridSpan w:val="2"/>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污染物名称</w:t>
                  </w:r>
                </w:p>
              </w:tc>
              <w:tc>
                <w:tcPr>
                  <w:tcW w:w="2141"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治理措施</w:t>
                  </w:r>
                </w:p>
              </w:tc>
              <w:tc>
                <w:tcPr>
                  <w:tcW w:w="1095"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治理效果</w:t>
                  </w:r>
                </w:p>
              </w:tc>
              <w:tc>
                <w:tcPr>
                  <w:tcW w:w="2247" w:type="dxa"/>
                  <w:tcBorders>
                    <w:tl2br w:val="nil"/>
                    <w:tr2bl w:val="nil"/>
                  </w:tcBorders>
                  <w:vAlign w:val="center"/>
                </w:tcPr>
                <w:p>
                  <w:pPr>
                    <w:keepNext w:val="0"/>
                    <w:keepLines w:val="0"/>
                    <w:suppressLineNumbers w:val="0"/>
                    <w:spacing w:before="0" w:beforeAutospacing="0" w:after="0" w:afterAutospacing="0"/>
                    <w:ind w:left="0" w:right="0"/>
                    <w:jc w:val="center"/>
                    <w:rPr>
                      <w:b/>
                      <w:bCs/>
                      <w:color w:val="auto"/>
                    </w:rPr>
                  </w:pPr>
                  <w:r>
                    <w:rPr>
                      <w:b/>
                      <w:bCs/>
                      <w:color w:val="auto"/>
                    </w:rPr>
                    <w:t>验收指标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6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废气治理</w:t>
                  </w:r>
                </w:p>
              </w:tc>
              <w:tc>
                <w:tcPr>
                  <w:tcW w:w="820"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投料</w:t>
                  </w:r>
                </w:p>
              </w:tc>
              <w:tc>
                <w:tcPr>
                  <w:tcW w:w="97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颗粒物</w:t>
                  </w:r>
                </w:p>
              </w:tc>
              <w:tc>
                <w:tcPr>
                  <w:tcW w:w="214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集气罩+袋式除尘器+15m高排气筒（P1）</w:t>
                  </w:r>
                </w:p>
              </w:tc>
              <w:tc>
                <w:tcPr>
                  <w:tcW w:w="109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eastAsia="zh-CN"/>
                    </w:rPr>
                  </w:pPr>
                  <w:r>
                    <w:rPr>
                      <w:color w:val="auto"/>
                    </w:rPr>
                    <w:t>达标排放</w:t>
                  </w:r>
                </w:p>
              </w:tc>
              <w:tc>
                <w:tcPr>
                  <w:tcW w:w="224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lang w:eastAsia="zh-CN"/>
                    </w:rPr>
                    <w:t>颗粒物：</w:t>
                  </w:r>
                  <w:r>
                    <w:rPr>
                      <w:rFonts w:hint="default"/>
                    </w:rPr>
                    <w:t>《新乡市生态环境局关于进一步规范工业企业颗粒物排放限值的通知》其他所有涉气工业企业排放口颗粒物排放浓度不高于10mg/m</w:t>
                  </w:r>
                  <w:r>
                    <w:rPr>
                      <w:rFonts w:hint="default"/>
                      <w:vertAlign w:val="superscript"/>
                    </w:rPr>
                    <w:t>3</w:t>
                  </w:r>
                  <w:r>
                    <w:rPr>
                      <w:rFonts w:hint="default"/>
                    </w:rPr>
                    <w:t>的要求</w:t>
                  </w:r>
                  <w:r>
                    <w:rPr>
                      <w:rFonts w:hint="eastAsia"/>
                      <w:lang w:eastAsia="zh-CN"/>
                    </w:rPr>
                    <w:t>，</w:t>
                  </w:r>
                  <w:r>
                    <w:rPr>
                      <w:rFonts w:hint="eastAsia"/>
                    </w:rPr>
                    <w:t>厂界颗粒物排放浓度不高于0.5mg/m</w:t>
                  </w:r>
                  <w:r>
                    <w:rPr>
                      <w:rFonts w:hint="eastAsia"/>
                      <w:vertAlign w:val="superscript"/>
                    </w:rPr>
                    <w:t>3</w:t>
                  </w:r>
                  <w:r>
                    <w:rPr>
                      <w:rFonts w:hint="eastAsia"/>
                    </w:rPr>
                    <w:t>的要求。</w:t>
                  </w:r>
                  <w:r>
                    <w:rPr>
                      <w:rFonts w:hint="eastAsia"/>
                      <w:lang w:val="en-US" w:eastAsia="zh-CN"/>
                    </w:rPr>
                    <w:t>排放速率执行</w:t>
                  </w:r>
                  <w:r>
                    <w:rPr>
                      <w:rFonts w:hint="default"/>
                      <w:color w:val="000000"/>
                      <w:sz w:val="21"/>
                      <w:szCs w:val="21"/>
                    </w:rPr>
                    <w:t>《大气污染物综合排放标准》（GB16297-1996）表2二级标准</w:t>
                  </w:r>
                  <w:r>
                    <w:rPr>
                      <w:rFonts w:hint="eastAsia"/>
                      <w:color w:val="000000"/>
                      <w:sz w:val="21"/>
                      <w:szCs w:val="21"/>
                      <w:lang w:val="en-US" w:eastAsia="zh-CN"/>
                    </w:rPr>
                    <w:t>排气筒15m高排放速率3.5kg/h。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color w:val="FF0000"/>
                    </w:rPr>
                  </w:pPr>
                </w:p>
              </w:tc>
              <w:tc>
                <w:tcPr>
                  <w:tcW w:w="820"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搅拌</w:t>
                  </w:r>
                </w:p>
              </w:tc>
              <w:tc>
                <w:tcPr>
                  <w:tcW w:w="97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eastAsia="zh-CN"/>
                    </w:rPr>
                  </w:pPr>
                </w:p>
              </w:tc>
              <w:tc>
                <w:tcPr>
                  <w:tcW w:w="214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FF0000"/>
                      <w:lang w:eastAsia="zh-CN"/>
                    </w:rPr>
                  </w:pPr>
                </w:p>
              </w:tc>
              <w:tc>
                <w:tcPr>
                  <w:tcW w:w="109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eastAsia="zh-CN"/>
                    </w:rPr>
                  </w:pPr>
                </w:p>
              </w:tc>
              <w:tc>
                <w:tcPr>
                  <w:tcW w:w="22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color w:val="FF0000"/>
                    </w:rPr>
                  </w:pPr>
                </w:p>
              </w:tc>
              <w:tc>
                <w:tcPr>
                  <w:tcW w:w="820" w:type="dxa"/>
                  <w:tcBorders>
                    <w:tl2br w:val="nil"/>
                    <w:tr2bl w:val="nil"/>
                  </w:tcBorders>
                  <w:vAlign w:val="center"/>
                </w:tcPr>
                <w:p>
                  <w:pPr>
                    <w:adjustRightInd w:val="0"/>
                    <w:snapToGrid w:val="0"/>
                    <w:jc w:val="center"/>
                    <w:rPr>
                      <w:rFonts w:hint="eastAsia"/>
                      <w:color w:val="auto"/>
                      <w:lang w:eastAsia="zh-CN"/>
                    </w:rPr>
                  </w:pPr>
                  <w:r>
                    <w:rPr>
                      <w:rFonts w:hint="eastAsia"/>
                      <w:color w:val="auto"/>
                      <w:lang w:val="en-US" w:eastAsia="zh-CN"/>
                    </w:rPr>
                    <w:t>挤压</w:t>
                  </w:r>
                </w:p>
              </w:tc>
              <w:tc>
                <w:tcPr>
                  <w:tcW w:w="97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eastAsia="zh-CN"/>
                    </w:rPr>
                  </w:pPr>
                </w:p>
              </w:tc>
              <w:tc>
                <w:tcPr>
                  <w:tcW w:w="214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FF0000"/>
                      <w:lang w:eastAsia="zh-CN"/>
                    </w:rPr>
                  </w:pPr>
                </w:p>
              </w:tc>
              <w:tc>
                <w:tcPr>
                  <w:tcW w:w="109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color w:val="auto"/>
                    </w:rPr>
                  </w:pPr>
                </w:p>
              </w:tc>
              <w:tc>
                <w:tcPr>
                  <w:tcW w:w="22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color w:val="FF0000"/>
                    </w:rPr>
                  </w:pPr>
                </w:p>
              </w:tc>
              <w:tc>
                <w:tcPr>
                  <w:tcW w:w="820" w:type="dxa"/>
                  <w:tcBorders>
                    <w:tl2br w:val="nil"/>
                    <w:tr2bl w:val="nil"/>
                  </w:tcBorders>
                  <w:vAlign w:val="center"/>
                </w:tcPr>
                <w:p>
                  <w:pPr>
                    <w:adjustRightInd w:val="0"/>
                    <w:snapToGrid w:val="0"/>
                    <w:jc w:val="center"/>
                    <w:rPr>
                      <w:rFonts w:hint="eastAsia"/>
                      <w:color w:val="auto"/>
                      <w:lang w:eastAsia="zh-CN"/>
                    </w:rPr>
                  </w:pPr>
                  <w:r>
                    <w:rPr>
                      <w:rFonts w:hint="eastAsia"/>
                      <w:color w:val="auto"/>
                      <w:lang w:val="en-US" w:eastAsia="zh-CN"/>
                    </w:rPr>
                    <w:t>筛分</w:t>
                  </w:r>
                </w:p>
              </w:tc>
              <w:tc>
                <w:tcPr>
                  <w:tcW w:w="97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eastAsia="zh-CN"/>
                    </w:rPr>
                  </w:pPr>
                </w:p>
              </w:tc>
              <w:tc>
                <w:tcPr>
                  <w:tcW w:w="214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FF0000"/>
                      <w:lang w:eastAsia="zh-CN"/>
                    </w:rPr>
                  </w:pPr>
                </w:p>
              </w:tc>
              <w:tc>
                <w:tcPr>
                  <w:tcW w:w="109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color w:val="auto"/>
                    </w:rPr>
                  </w:pPr>
                </w:p>
              </w:tc>
              <w:tc>
                <w:tcPr>
                  <w:tcW w:w="22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废水治理</w:t>
                  </w:r>
                </w:p>
              </w:tc>
              <w:tc>
                <w:tcPr>
                  <w:tcW w:w="82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eastAsia="zh-CN"/>
                    </w:rPr>
                  </w:pPr>
                  <w:r>
                    <w:rPr>
                      <w:rFonts w:hint="eastAsia"/>
                      <w:color w:val="auto"/>
                      <w:lang w:eastAsia="zh-CN"/>
                    </w:rPr>
                    <w:t>生活废水</w:t>
                  </w:r>
                </w:p>
              </w:tc>
              <w:tc>
                <w:tcPr>
                  <w:tcW w:w="973"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COD、</w:t>
                  </w:r>
                  <w:r>
                    <w:rPr>
                      <w:rFonts w:hint="eastAsia"/>
                      <w:color w:val="auto"/>
                    </w:rPr>
                    <w:t>SS、</w:t>
                  </w:r>
                  <w:r>
                    <w:rPr>
                      <w:color w:val="auto"/>
                    </w:rPr>
                    <w:t>氨氮</w:t>
                  </w:r>
                </w:p>
              </w:tc>
              <w:tc>
                <w:tcPr>
                  <w:tcW w:w="214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依托现有化粪池</w:t>
                  </w:r>
                </w:p>
              </w:tc>
              <w:tc>
                <w:tcPr>
                  <w:tcW w:w="109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定期清运</w:t>
                  </w:r>
                </w:p>
              </w:tc>
              <w:tc>
                <w:tcPr>
                  <w:tcW w:w="224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噪声治理</w:t>
                  </w:r>
                </w:p>
              </w:tc>
              <w:tc>
                <w:tcPr>
                  <w:tcW w:w="1793" w:type="dxa"/>
                  <w:gridSpan w:val="2"/>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生产设备运行</w:t>
                  </w:r>
                </w:p>
              </w:tc>
              <w:tc>
                <w:tcPr>
                  <w:tcW w:w="2141"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厂房隔音、距离衰减</w:t>
                  </w:r>
                </w:p>
              </w:tc>
              <w:tc>
                <w:tcPr>
                  <w:tcW w:w="1095"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达标排放</w:t>
                  </w:r>
                </w:p>
              </w:tc>
              <w:tc>
                <w:tcPr>
                  <w:tcW w:w="2247" w:type="dxa"/>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color w:val="auto"/>
                    </w:rPr>
                    <w:t>《工业企业厂界环境噪声排放标准》（GB12348－2008）</w:t>
                  </w:r>
                  <w:r>
                    <w:rPr>
                      <w:rFonts w:hint="eastAsia"/>
                      <w:color w:val="auto"/>
                      <w:lang w:val="en-US" w:eastAsia="zh-CN"/>
                    </w:rPr>
                    <w:t>2</w:t>
                  </w:r>
                  <w:r>
                    <w:rPr>
                      <w:color w:val="auto"/>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6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固体废物</w:t>
                  </w:r>
                </w:p>
              </w:tc>
              <w:tc>
                <w:tcPr>
                  <w:tcW w:w="1793" w:type="dxa"/>
                  <w:gridSpan w:val="2"/>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生活垃圾</w:t>
                  </w:r>
                </w:p>
              </w:tc>
              <w:tc>
                <w:tcPr>
                  <w:tcW w:w="21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厂区垃圾桶暂存</w:t>
                  </w:r>
                </w:p>
              </w:tc>
              <w:tc>
                <w:tcPr>
                  <w:tcW w:w="10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val="en-US" w:eastAsia="zh-CN"/>
                    </w:rPr>
                    <w:t>环卫工定期清运</w:t>
                  </w:r>
                </w:p>
              </w:tc>
              <w:tc>
                <w:tcPr>
                  <w:tcW w:w="224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rPr>
                    <w:t>《一般工业固体废物贮存和填埋污染控制标准》（GB18599-2020）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val="en-US" w:eastAsia="zh-CN"/>
                    </w:rPr>
                  </w:pPr>
                </w:p>
              </w:tc>
              <w:tc>
                <w:tcPr>
                  <w:tcW w:w="1793" w:type="dxa"/>
                  <w:gridSpan w:val="2"/>
                  <w:tcBorders>
                    <w:tl2br w:val="nil"/>
                    <w:tr2bl w:val="nil"/>
                  </w:tcBorders>
                  <w:vAlign w:val="center"/>
                </w:tcPr>
                <w:p>
                  <w:pPr>
                    <w:adjustRightInd w:val="0"/>
                    <w:snapToGrid w:val="0"/>
                    <w:jc w:val="center"/>
                    <w:rPr>
                      <w:rFonts w:hint="eastAsia" w:eastAsia="宋体"/>
                      <w:szCs w:val="21"/>
                      <w:lang w:val="en-US" w:eastAsia="zh-CN"/>
                    </w:rPr>
                  </w:pPr>
                  <w:r>
                    <w:rPr>
                      <w:rFonts w:hint="eastAsia"/>
                      <w:szCs w:val="21"/>
                    </w:rPr>
                    <w:t>废包装</w:t>
                  </w:r>
                  <w:r>
                    <w:rPr>
                      <w:rFonts w:hint="eastAsia"/>
                      <w:szCs w:val="21"/>
                      <w:lang w:val="en-US" w:eastAsia="zh-CN"/>
                    </w:rPr>
                    <w:t>袋</w:t>
                  </w:r>
                </w:p>
              </w:tc>
              <w:tc>
                <w:tcPr>
                  <w:tcW w:w="2141" w:type="dxa"/>
                  <w:tcBorders>
                    <w:top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eastAsia="zh-CN"/>
                    </w:rPr>
                  </w:pPr>
                  <w:r>
                    <w:rPr>
                      <w:rFonts w:hint="eastAsia"/>
                      <w:lang w:eastAsia="zh-CN"/>
                    </w:rPr>
                    <w:t>一般固废暂存间</w:t>
                  </w:r>
                  <w:r>
                    <w:rPr>
                      <w:rFonts w:hint="eastAsia"/>
                      <w:lang w:val="en-US" w:eastAsia="zh-CN"/>
                    </w:rPr>
                    <w:t>10m</w:t>
                  </w:r>
                  <w:r>
                    <w:rPr>
                      <w:rFonts w:hint="eastAsia"/>
                      <w:vertAlign w:val="superscript"/>
                      <w:lang w:val="en-US" w:eastAsia="zh-CN"/>
                    </w:rPr>
                    <w:t>2</w:t>
                  </w:r>
                  <w:r>
                    <w:rPr>
                      <w:rFonts w:hint="eastAsia"/>
                      <w:lang w:eastAsia="zh-CN"/>
                    </w:rPr>
                    <w:t>暂存</w:t>
                  </w:r>
                </w:p>
              </w:tc>
              <w:tc>
                <w:tcPr>
                  <w:tcW w:w="1095" w:type="dxa"/>
                  <w:tcBorders>
                    <w:top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eastAsia"/>
                      <w:lang w:eastAsia="zh-CN"/>
                    </w:rPr>
                  </w:pPr>
                  <w:r>
                    <w:rPr>
                      <w:rFonts w:hint="eastAsia"/>
                      <w:lang w:val="en-US" w:eastAsia="zh-CN"/>
                    </w:rPr>
                    <w:t>厂家</w:t>
                  </w:r>
                  <w:r>
                    <w:rPr>
                      <w:rFonts w:hint="eastAsia"/>
                      <w:lang w:eastAsia="zh-CN"/>
                    </w:rPr>
                    <w:t>定期</w:t>
                  </w:r>
                  <w:r>
                    <w:rPr>
                      <w:rFonts w:hint="eastAsia"/>
                      <w:lang w:val="en-US" w:eastAsia="zh-CN"/>
                    </w:rPr>
                    <w:t>回收</w:t>
                  </w:r>
                </w:p>
              </w:tc>
              <w:tc>
                <w:tcPr>
                  <w:tcW w:w="22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lang w:val="en-US" w:eastAsia="zh-CN"/>
                    </w:rPr>
                  </w:pPr>
                </w:p>
              </w:tc>
              <w:tc>
                <w:tcPr>
                  <w:tcW w:w="1793" w:type="dxa"/>
                  <w:gridSpan w:val="2"/>
                  <w:tcBorders>
                    <w:tl2br w:val="nil"/>
                    <w:tr2bl w:val="nil"/>
                  </w:tcBorders>
                  <w:vAlign w:val="center"/>
                </w:tcPr>
                <w:p>
                  <w:pPr>
                    <w:adjustRightInd w:val="0"/>
                    <w:snapToGrid w:val="0"/>
                    <w:jc w:val="center"/>
                    <w:rPr>
                      <w:rFonts w:hint="default" w:eastAsia="宋体"/>
                      <w:szCs w:val="21"/>
                      <w:lang w:val="en-US" w:eastAsia="zh-CN"/>
                    </w:rPr>
                  </w:pPr>
                  <w:r>
                    <w:rPr>
                      <w:rFonts w:hint="eastAsia"/>
                      <w:szCs w:val="21"/>
                      <w:lang w:val="en-US" w:eastAsia="zh-CN"/>
                    </w:rPr>
                    <w:t>除尘器收集粉尘</w:t>
                  </w:r>
                </w:p>
              </w:tc>
              <w:tc>
                <w:tcPr>
                  <w:tcW w:w="2141"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lang w:eastAsia="zh-CN"/>
                    </w:rPr>
                  </w:pPr>
                  <w:r>
                    <w:rPr>
                      <w:rFonts w:hint="eastAsia"/>
                      <w:lang w:eastAsia="zh-CN"/>
                    </w:rPr>
                    <w:t>一般固废暂存间</w:t>
                  </w:r>
                  <w:r>
                    <w:rPr>
                      <w:rFonts w:hint="eastAsia"/>
                      <w:lang w:val="en-US" w:eastAsia="zh-CN"/>
                    </w:rPr>
                    <w:t>10m</w:t>
                  </w:r>
                  <w:r>
                    <w:rPr>
                      <w:rFonts w:hint="eastAsia"/>
                      <w:vertAlign w:val="superscript"/>
                      <w:lang w:val="en-US" w:eastAsia="zh-CN"/>
                    </w:rPr>
                    <w:t>2</w:t>
                  </w:r>
                  <w:r>
                    <w:rPr>
                      <w:rFonts w:hint="eastAsia"/>
                      <w:lang w:eastAsia="zh-CN"/>
                    </w:rPr>
                    <w:t>暂存</w:t>
                  </w:r>
                </w:p>
              </w:tc>
              <w:tc>
                <w:tcPr>
                  <w:tcW w:w="1095"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eastAsia"/>
                      <w:lang w:val="en-US" w:eastAsia="zh-CN"/>
                    </w:rPr>
                    <w:t>定期回用于生产</w:t>
                  </w:r>
                </w:p>
              </w:tc>
              <w:tc>
                <w:tcPr>
                  <w:tcW w:w="224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6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其他</w:t>
                  </w:r>
                </w:p>
              </w:tc>
              <w:tc>
                <w:tcPr>
                  <w:tcW w:w="7276"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rPr>
                  </w:pPr>
                  <w:r>
                    <w:rPr>
                      <w:rFonts w:hint="eastAsia" w:ascii="Times New Roman" w:hAnsi="Times New Roman" w:eastAsia="宋体"/>
                      <w:b w:val="0"/>
                      <w:bCs w:val="0"/>
                      <w:snapToGrid w:val="0"/>
                      <w:sz w:val="21"/>
                      <w:szCs w:val="21"/>
                      <w:lang w:val="en-US" w:eastAsia="zh-CN"/>
                    </w:rPr>
                    <w:t>按照</w:t>
                  </w:r>
                  <w:r>
                    <w:rPr>
                      <w:rFonts w:hint="default" w:ascii="Times New Roman" w:hAnsi="Times New Roman" w:eastAsia="宋体" w:cs="Times New Roman"/>
                      <w:color w:val="auto"/>
                      <w:kern w:val="0"/>
                      <w:sz w:val="21"/>
                      <w:szCs w:val="20"/>
                      <w:highlight w:val="none"/>
                      <w:lang w:val="en-US" w:eastAsia="zh-CN" w:bidi="ar-SA"/>
                    </w:rPr>
                    <w:t>《河南省重污染天气通用行业应急减排措施制定技术指南 》</w:t>
                  </w:r>
                  <w:r>
                    <w:rPr>
                      <w:rFonts w:hint="eastAsia" w:ascii="Times New Roman" w:hAnsi="Times New Roman" w:eastAsia="宋体" w:cs="Times New Roman"/>
                      <w:color w:val="auto"/>
                      <w:kern w:val="0"/>
                      <w:sz w:val="21"/>
                      <w:szCs w:val="20"/>
                      <w:highlight w:val="none"/>
                      <w:lang w:val="en-US" w:eastAsia="zh-CN" w:bidi="ar-SA"/>
                    </w:rPr>
                    <w:t>（2021年修订版）</w:t>
                  </w:r>
                  <w:r>
                    <w:rPr>
                      <w:rFonts w:hint="eastAsia" w:ascii="Times New Roman" w:hAnsi="Times New Roman" w:eastAsia="宋体"/>
                      <w:b w:val="0"/>
                      <w:bCs w:val="0"/>
                      <w:snapToGrid w:val="0"/>
                      <w:sz w:val="21"/>
                      <w:szCs w:val="21"/>
                      <w:lang w:val="en-US" w:eastAsia="zh-CN"/>
                    </w:rPr>
                    <w:t>相关要求，</w:t>
                  </w:r>
                  <w:r>
                    <w:rPr>
                      <w:rFonts w:hint="eastAsia" w:ascii="Times New Roman" w:hAnsi="Times New Roman" w:eastAsia="宋体"/>
                      <w:b w:val="0"/>
                      <w:bCs w:val="0"/>
                      <w:snapToGrid w:val="0"/>
                      <w:sz w:val="21"/>
                      <w:szCs w:val="21"/>
                    </w:rPr>
                    <w:t>安装</w:t>
                  </w:r>
                  <w:r>
                    <w:rPr>
                      <w:rFonts w:hint="eastAsia" w:ascii="Times New Roman" w:hAnsi="Times New Roman" w:eastAsia="宋体"/>
                      <w:b w:val="0"/>
                      <w:bCs w:val="0"/>
                      <w:snapToGrid w:val="0"/>
                      <w:sz w:val="21"/>
                      <w:szCs w:val="21"/>
                      <w:lang w:val="en-US" w:eastAsia="zh-CN"/>
                    </w:rPr>
                    <w:t>相应的</w:t>
                  </w:r>
                  <w:r>
                    <w:rPr>
                      <w:rFonts w:hint="eastAsia" w:ascii="Times New Roman" w:hAnsi="Times New Roman" w:eastAsia="宋体"/>
                      <w:b w:val="0"/>
                      <w:bCs w:val="0"/>
                      <w:snapToGrid w:val="0"/>
                      <w:sz w:val="21"/>
                      <w:szCs w:val="21"/>
                    </w:rPr>
                    <w:t>在线监测及监控设施</w:t>
                  </w:r>
                  <w:r>
                    <w:rPr>
                      <w:rFonts w:hint="eastAsia" w:ascii="Times New Roman" w:hAnsi="Times New Roman" w:eastAsia="宋体"/>
                      <w:b w:val="0"/>
                      <w:bCs w:val="0"/>
                      <w:snapToGrid w:val="0"/>
                      <w:sz w:val="21"/>
                      <w:szCs w:val="21"/>
                      <w:lang w:eastAsia="zh-CN"/>
                    </w:rPr>
                    <w:t>，</w:t>
                  </w:r>
                  <w:r>
                    <w:rPr>
                      <w:rFonts w:hint="eastAsia" w:ascii="Times New Roman" w:hAnsi="Times New Roman" w:eastAsia="宋体"/>
                      <w:b w:val="0"/>
                      <w:bCs w:val="0"/>
                      <w:snapToGrid w:val="0"/>
                      <w:sz w:val="21"/>
                      <w:szCs w:val="21"/>
                    </w:rPr>
                    <w:t>并与生态</w:t>
                  </w:r>
                  <w:r>
                    <w:rPr>
                      <w:rFonts w:hint="eastAsia" w:ascii="Times New Roman" w:hAnsi="Times New Roman" w:eastAsia="宋体"/>
                      <w:b w:val="0"/>
                      <w:bCs w:val="0"/>
                      <w:snapToGrid w:val="0"/>
                      <w:sz w:val="21"/>
                      <w:szCs w:val="21"/>
                      <w:lang w:val="en-US" w:eastAsia="zh-CN"/>
                    </w:rPr>
                    <w:t>环境</w:t>
                  </w:r>
                  <w:r>
                    <w:rPr>
                      <w:rFonts w:hint="eastAsia" w:ascii="Times New Roman" w:hAnsi="Times New Roman" w:eastAsia="宋体"/>
                      <w:b w:val="0"/>
                      <w:bCs w:val="0"/>
                      <w:snapToGrid w:val="0"/>
                      <w:sz w:val="21"/>
                      <w:szCs w:val="21"/>
                    </w:rPr>
                    <w:t>部门联网</w:t>
                  </w:r>
                  <w:r>
                    <w:rPr>
                      <w:rFonts w:hint="eastAsia" w:ascii="Times New Roman" w:hAnsi="Times New Roman" w:eastAsia="宋体"/>
                      <w:b w:val="0"/>
                      <w:bCs w:val="0"/>
                      <w:snapToGrid w:val="0"/>
                      <w:sz w:val="21"/>
                      <w:szCs w:val="21"/>
                      <w:lang w:eastAsia="zh-CN"/>
                    </w:rPr>
                    <w:t>。</w:t>
                  </w:r>
                </w:p>
              </w:tc>
            </w:tr>
          </w:tbl>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p>
          <w:p>
            <w:pPr>
              <w:rPr>
                <w:rFonts w:hint="eastAsia"/>
                <w:color w:val="FF0000"/>
                <w:lang w:val="en-US" w:eastAsia="zh-CN"/>
              </w:rPr>
            </w:pPr>
            <w:r>
              <w:rPr>
                <w:rFonts w:hint="eastAsia"/>
                <w:color w:val="FF0000"/>
                <w:lang w:val="en-US" w:eastAsia="zh-CN"/>
              </w:rPr>
              <w:t xml:space="preserve"> </w:t>
            </w:r>
          </w:p>
          <w:p>
            <w:pPr>
              <w:rPr>
                <w:rFonts w:hint="eastAsia"/>
                <w:color w:val="FF0000"/>
                <w:lang w:val="en-US" w:eastAsia="zh-CN"/>
              </w:rPr>
            </w:pPr>
          </w:p>
          <w:p>
            <w:pPr>
              <w:rPr>
                <w:rFonts w:hint="default"/>
                <w:color w:val="FF0000"/>
                <w:lang w:val="en-US" w:eastAsia="zh-CN"/>
              </w:rPr>
            </w:pPr>
          </w:p>
        </w:tc>
      </w:tr>
    </w:tbl>
    <w:p>
      <w:pPr>
        <w:rPr>
          <w:rFonts w:hint="eastAsia"/>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jc w:val="center"/>
        <w:outlineLvl w:val="0"/>
        <w:rPr>
          <w:rFonts w:ascii="黑体" w:hAnsi="黑体" w:eastAsia="黑体"/>
          <w:snapToGrid w:val="0"/>
          <w:color w:val="FF0000"/>
          <w:sz w:val="30"/>
          <w:szCs w:val="30"/>
        </w:rPr>
      </w:pPr>
      <w:r>
        <w:rPr>
          <w:rFonts w:hint="eastAsia" w:ascii="黑体" w:hAnsi="黑体" w:eastAsia="黑体"/>
          <w:snapToGrid w:val="0"/>
          <w:color w:val="auto"/>
          <w:sz w:val="30"/>
          <w:szCs w:val="30"/>
        </w:rPr>
        <w:t>五、</w:t>
      </w:r>
      <w:bookmarkStart w:id="2" w:name="_Hlk54167917"/>
      <w:r>
        <w:rPr>
          <w:rFonts w:hint="eastAsia" w:ascii="黑体" w:hAnsi="黑体" w:eastAsia="黑体"/>
          <w:snapToGrid w:val="0"/>
          <w:color w:val="auto"/>
          <w:sz w:val="30"/>
          <w:szCs w:val="30"/>
        </w:rPr>
        <w:t>环境保护措施监督检查清单</w:t>
      </w:r>
      <w:bookmarkEnd w:id="2"/>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47"/>
        <w:gridCol w:w="8"/>
        <w:gridCol w:w="1751"/>
        <w:gridCol w:w="4"/>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要素</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排放口(编号、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名称)/污染源</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污染物项目</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环境保护措施</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color w:val="FF0000"/>
                <w:sz w:val="21"/>
                <w:szCs w:val="21"/>
              </w:rPr>
            </w:pPr>
            <w:r>
              <w:rPr>
                <w:color w:val="auto"/>
                <w:sz w:val="21"/>
                <w:szCs w:val="21"/>
              </w:rPr>
              <w:t>大气环境</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FF0000"/>
                <w:sz w:val="21"/>
                <w:szCs w:val="21"/>
                <w:lang w:val="en-US" w:eastAsia="zh-CN"/>
              </w:rPr>
            </w:pPr>
            <w:r>
              <w:rPr>
                <w:rFonts w:hint="eastAsia" w:ascii="Times New Roman" w:hAnsi="Times New Roman" w:eastAsia="宋体" w:cs="Times New Roman"/>
                <w:color w:val="auto"/>
                <w:lang w:val="en-US" w:eastAsia="zh-CN"/>
              </w:rPr>
              <w:t>排放口：</w:t>
            </w:r>
            <w:r>
              <w:rPr>
                <w:rFonts w:hint="eastAsia" w:cs="Times New Roman"/>
                <w:color w:val="auto"/>
                <w:lang w:val="en-US" w:eastAsia="zh-CN"/>
              </w:rPr>
              <w:t>P1/投料、搅拌、挤压、筛分</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lang w:val="en-US" w:eastAsia="zh-CN"/>
              </w:rPr>
            </w:pPr>
            <w:r>
              <w:rPr>
                <w:rFonts w:hint="eastAsia"/>
                <w:lang w:val="en-US" w:eastAsia="zh-CN"/>
              </w:rPr>
              <w:t>颗粒物</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FF0000"/>
                <w:sz w:val="21"/>
                <w:szCs w:val="21"/>
                <w:lang w:val="en-US" w:eastAsia="zh-CN"/>
              </w:rPr>
            </w:pPr>
            <w:r>
              <w:rPr>
                <w:rFonts w:hint="eastAsia"/>
                <w:color w:val="auto"/>
                <w:lang w:val="en-US" w:eastAsia="zh-CN"/>
              </w:rPr>
              <w:t>集气罩+袋式除尘器+15m高排气筒</w:t>
            </w:r>
          </w:p>
        </w:tc>
        <w:tc>
          <w:tcPr>
            <w:tcW w:w="175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FF0000"/>
                <w:sz w:val="21"/>
                <w:szCs w:val="21"/>
                <w:lang w:val="en-US" w:eastAsia="zh-CN"/>
              </w:rPr>
            </w:pPr>
            <w:r>
              <w:rPr>
                <w:rFonts w:hint="eastAsia"/>
                <w:lang w:eastAsia="zh-CN"/>
              </w:rPr>
              <w:t>颗粒物：</w:t>
            </w:r>
            <w:r>
              <w:rPr>
                <w:rFonts w:hint="default"/>
              </w:rPr>
              <w:t>《新乡市生态环境局关于进一步规范工业企业颗粒物排放限值的通知》其他所有涉气工业企业排放口颗粒物排放浓度不高于10mg/m</w:t>
            </w:r>
            <w:r>
              <w:rPr>
                <w:rFonts w:hint="default"/>
                <w:vertAlign w:val="superscript"/>
              </w:rPr>
              <w:t>3</w:t>
            </w:r>
            <w:r>
              <w:rPr>
                <w:rFonts w:hint="default"/>
              </w:rPr>
              <w:t>的要求</w:t>
            </w:r>
            <w:r>
              <w:rPr>
                <w:rFonts w:hint="eastAsia"/>
                <w:lang w:eastAsia="zh-CN"/>
              </w:rPr>
              <w:t>，</w:t>
            </w:r>
            <w:r>
              <w:rPr>
                <w:rFonts w:hint="eastAsia"/>
              </w:rPr>
              <w:t>厂界颗粒物排放浓度不高于0.5mg/m</w:t>
            </w:r>
            <w:r>
              <w:rPr>
                <w:rFonts w:hint="eastAsia"/>
                <w:vertAlign w:val="superscript"/>
              </w:rPr>
              <w:t>3</w:t>
            </w:r>
            <w:r>
              <w:rPr>
                <w:rFonts w:hint="eastAsia"/>
              </w:rPr>
              <w:t>的要求。</w:t>
            </w:r>
            <w:r>
              <w:rPr>
                <w:rFonts w:hint="eastAsia"/>
                <w:lang w:val="en-US" w:eastAsia="zh-CN"/>
              </w:rPr>
              <w:t>排放速率执行</w:t>
            </w:r>
            <w:r>
              <w:rPr>
                <w:rFonts w:hint="default"/>
                <w:color w:val="000000"/>
                <w:sz w:val="21"/>
                <w:szCs w:val="21"/>
              </w:rPr>
              <w:t>《大气污染物综合排放标准》（GB16297-1996）表2二级标准</w:t>
            </w:r>
            <w:r>
              <w:rPr>
                <w:rFonts w:hint="eastAsia"/>
                <w:color w:val="000000"/>
                <w:sz w:val="21"/>
                <w:szCs w:val="21"/>
                <w:lang w:val="en-US" w:eastAsia="zh-CN"/>
              </w:rPr>
              <w:t>排气筒15m高排放速率3.5kg/h。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3"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FF0000"/>
                <w:sz w:val="21"/>
                <w:szCs w:val="21"/>
              </w:rPr>
            </w:pP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val="en-US" w:eastAsia="zh-CN"/>
              </w:rPr>
            </w:pPr>
            <w:r>
              <w:rPr>
                <w:rFonts w:hint="eastAsia" w:ascii="Times New Roman" w:eastAsia="宋体"/>
                <w:color w:val="auto"/>
                <w:sz w:val="21"/>
                <w:szCs w:val="21"/>
                <w:lang w:val="en-US" w:eastAsia="zh-CN"/>
              </w:rPr>
              <w:t>无组织</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lang w:val="en-US" w:eastAsia="zh-CN"/>
              </w:rPr>
              <w:t>颗粒物</w:t>
            </w:r>
          </w:p>
        </w:tc>
        <w:tc>
          <w:tcPr>
            <w:tcW w:w="1755" w:type="dxa"/>
            <w:noWrap w:val="0"/>
            <w:vAlign w:val="center"/>
          </w:tcPr>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a.本项目</w:t>
            </w:r>
            <w:r>
              <w:rPr>
                <w:rFonts w:hint="eastAsia" w:cs="Times New Roman"/>
                <w:color w:val="auto"/>
                <w:szCs w:val="21"/>
                <w:highlight w:val="none"/>
                <w:lang w:val="en-US" w:eastAsia="zh-CN"/>
              </w:rPr>
              <w:t>生产设备全部二次密闭，</w:t>
            </w:r>
            <w:r>
              <w:rPr>
                <w:rFonts w:hint="default" w:ascii="Times New Roman" w:hAnsi="Times New Roman" w:eastAsia="宋体" w:cs="Times New Roman"/>
                <w:color w:val="auto"/>
                <w:szCs w:val="21"/>
                <w:highlight w:val="none"/>
                <w:lang w:val="en-US" w:eastAsia="zh-CN"/>
              </w:rPr>
              <w:t>厂区内无露天堆放；</w:t>
            </w:r>
          </w:p>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FF0000"/>
                <w:sz w:val="21"/>
                <w:szCs w:val="21"/>
                <w:lang w:eastAsia="zh-CN"/>
              </w:rPr>
            </w:pPr>
            <w:r>
              <w:rPr>
                <w:rFonts w:hint="eastAsia" w:cs="Times New Roman"/>
                <w:color w:val="auto"/>
                <w:szCs w:val="21"/>
                <w:highlight w:val="none"/>
                <w:lang w:val="en-US" w:eastAsia="zh-CN"/>
              </w:rPr>
              <w:t>b</w:t>
            </w:r>
            <w:r>
              <w:rPr>
                <w:rFonts w:hint="default" w:ascii="Times New Roman" w:hAnsi="Times New Roman" w:eastAsia="宋体" w:cs="Times New Roman"/>
                <w:color w:val="auto"/>
                <w:szCs w:val="21"/>
                <w:highlight w:val="none"/>
                <w:lang w:val="en-US" w:eastAsia="zh-CN"/>
              </w:rPr>
              <w:t>.物料位于</w:t>
            </w:r>
            <w:r>
              <w:rPr>
                <w:rFonts w:hint="eastAsia" w:cs="Times New Roman"/>
                <w:color w:val="auto"/>
                <w:szCs w:val="21"/>
                <w:highlight w:val="none"/>
                <w:lang w:val="en-US" w:eastAsia="zh-CN"/>
              </w:rPr>
              <w:t>密闭储存间</w:t>
            </w:r>
            <w:r>
              <w:rPr>
                <w:rFonts w:hint="default" w:ascii="Times New Roman" w:hAnsi="Times New Roman" w:eastAsia="宋体" w:cs="Times New Roman"/>
                <w:color w:val="auto"/>
                <w:szCs w:val="21"/>
                <w:highlight w:val="none"/>
                <w:lang w:val="en-US" w:eastAsia="zh-CN"/>
              </w:rPr>
              <w:t>内</w:t>
            </w:r>
            <w:r>
              <w:rPr>
                <w:rFonts w:hint="eastAsia" w:cs="Times New Roman"/>
                <w:color w:val="auto"/>
                <w:szCs w:val="21"/>
                <w:highlight w:val="none"/>
                <w:lang w:val="en-US" w:eastAsia="zh-CN"/>
              </w:rPr>
              <w:t>袋装</w:t>
            </w:r>
            <w:r>
              <w:rPr>
                <w:rFonts w:hint="default" w:ascii="Times New Roman" w:hAnsi="Times New Roman" w:eastAsia="宋体" w:cs="Times New Roman"/>
                <w:color w:val="auto"/>
                <w:szCs w:val="21"/>
                <w:highlight w:val="none"/>
                <w:lang w:val="en-US" w:eastAsia="zh-CN"/>
              </w:rPr>
              <w:t>，车间全密闭；</w:t>
            </w: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FF000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地表水环境</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生活废水</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rPr>
              <w:t>COD、</w:t>
            </w:r>
            <w:r>
              <w:rPr>
                <w:rFonts w:hint="eastAsia"/>
                <w:color w:val="auto"/>
              </w:rPr>
              <w:t>SS、</w:t>
            </w:r>
            <w:r>
              <w:rPr>
                <w:color w:val="auto"/>
              </w:rPr>
              <w:t>氨氮</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eastAsia="zh-CN"/>
              </w:rPr>
              <w:t>依托现有化粪池</w:t>
            </w:r>
            <w:r>
              <w:rPr>
                <w:rFonts w:hint="eastAsia"/>
                <w:color w:val="auto"/>
                <w:sz w:val="21"/>
                <w:szCs w:val="21"/>
                <w:lang w:val="en-US" w:eastAsia="zh-CN"/>
              </w:rPr>
              <w:t>处理，定期清运</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lang w:val="en-US"/>
              </w:rPr>
            </w:pPr>
            <w:r>
              <w:rPr>
                <w:rFonts w:hint="eastAsia" w:cs="Times New Roman"/>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声环境</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设备噪声</w:t>
            </w:r>
          </w:p>
        </w:tc>
        <w:tc>
          <w:tcPr>
            <w:tcW w:w="175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等效连续噪声级Leq(A)</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基础减振、厂房隔声</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rFonts w:hint="eastAsia"/>
                <w:color w:val="auto"/>
                <w:sz w:val="21"/>
                <w:szCs w:val="21"/>
              </w:rPr>
              <w:t>《工业企业厂界环境噪声排放标准》（GB12348-2008）</w:t>
            </w:r>
            <w:r>
              <w:rPr>
                <w:rFonts w:hint="eastAsia"/>
                <w:color w:val="auto"/>
                <w:sz w:val="21"/>
                <w:szCs w:val="21"/>
                <w:lang w:val="en-US" w:eastAsia="zh-CN"/>
              </w:rPr>
              <w:t>2</w:t>
            </w:r>
            <w:r>
              <w:rPr>
                <w:rFonts w:hint="eastAsia"/>
                <w:color w:val="auto"/>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固体废物</w:t>
            </w:r>
          </w:p>
        </w:tc>
        <w:tc>
          <w:tcPr>
            <w:tcW w:w="17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eastAsia="宋体"/>
                <w:color w:val="auto"/>
                <w:sz w:val="21"/>
                <w:szCs w:val="21"/>
                <w:lang w:val="en-US" w:eastAsia="zh-CN"/>
              </w:rPr>
            </w:pPr>
            <w:r>
              <w:rPr>
                <w:rFonts w:hint="eastAsia"/>
                <w:szCs w:val="21"/>
              </w:rPr>
              <w:t>生活垃圾</w:t>
            </w:r>
          </w:p>
        </w:tc>
        <w:tc>
          <w:tcPr>
            <w:tcW w:w="1759"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szCs w:val="21"/>
              </w:rPr>
            </w:pPr>
            <w:r>
              <w:rPr>
                <w:rFonts w:hint="eastAsia"/>
                <w:szCs w:val="21"/>
              </w:rPr>
              <w:t>生活垃圾</w:t>
            </w:r>
          </w:p>
        </w:tc>
        <w:tc>
          <w:tcPr>
            <w:tcW w:w="1759"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szCs w:val="21"/>
              </w:rPr>
            </w:pPr>
            <w:r>
              <w:rPr>
                <w:rFonts w:hint="eastAsia"/>
                <w:szCs w:val="21"/>
              </w:rPr>
              <w:t>厂区垃圾桶暂存</w:t>
            </w:r>
            <w:r>
              <w:rPr>
                <w:rFonts w:hint="eastAsia"/>
                <w:szCs w:val="21"/>
                <w:lang w:eastAsia="zh-CN"/>
              </w:rPr>
              <w:t>，</w:t>
            </w:r>
            <w:r>
              <w:rPr>
                <w:rFonts w:hint="eastAsia"/>
                <w:szCs w:val="21"/>
              </w:rPr>
              <w:t>环卫工定期清运</w:t>
            </w:r>
          </w:p>
        </w:tc>
        <w:tc>
          <w:tcPr>
            <w:tcW w:w="175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szCs w:val="21"/>
              </w:rPr>
            </w:pPr>
            <w:r>
              <w:rPr>
                <w:szCs w:val="21"/>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p>
        </w:tc>
        <w:tc>
          <w:tcPr>
            <w:tcW w:w="17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szCs w:val="21"/>
              </w:rPr>
            </w:pPr>
            <w:r>
              <w:rPr>
                <w:rFonts w:hint="eastAsia"/>
                <w:szCs w:val="21"/>
              </w:rPr>
              <w:t>废包装</w:t>
            </w:r>
            <w:r>
              <w:rPr>
                <w:rFonts w:hint="eastAsia"/>
                <w:szCs w:val="21"/>
                <w:lang w:val="en-US" w:eastAsia="zh-CN"/>
              </w:rPr>
              <w:t>袋</w:t>
            </w:r>
          </w:p>
        </w:tc>
        <w:tc>
          <w:tcPr>
            <w:tcW w:w="1759"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szCs w:val="21"/>
              </w:rPr>
            </w:pPr>
            <w:r>
              <w:rPr>
                <w:rFonts w:hint="eastAsia"/>
                <w:szCs w:val="21"/>
              </w:rPr>
              <w:t>废包装</w:t>
            </w:r>
            <w:r>
              <w:rPr>
                <w:rFonts w:hint="eastAsia"/>
                <w:szCs w:val="21"/>
                <w:lang w:val="en-US" w:eastAsia="zh-CN"/>
              </w:rPr>
              <w:t>袋</w:t>
            </w:r>
          </w:p>
        </w:tc>
        <w:tc>
          <w:tcPr>
            <w:tcW w:w="1759"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szCs w:val="21"/>
              </w:rPr>
            </w:pPr>
            <w:r>
              <w:rPr>
                <w:rFonts w:hint="eastAsia"/>
                <w:szCs w:val="21"/>
              </w:rPr>
              <w:t>一般固废暂存间</w:t>
            </w:r>
            <w:r>
              <w:rPr>
                <w:rFonts w:hint="eastAsia"/>
                <w:lang w:val="en-US" w:eastAsia="zh-CN"/>
              </w:rPr>
              <w:t>10m</w:t>
            </w:r>
            <w:r>
              <w:rPr>
                <w:rFonts w:hint="eastAsia"/>
                <w:vertAlign w:val="superscript"/>
                <w:lang w:val="en-US" w:eastAsia="zh-CN"/>
              </w:rPr>
              <w:t>2</w:t>
            </w:r>
            <w:r>
              <w:rPr>
                <w:rFonts w:hint="eastAsia"/>
                <w:szCs w:val="21"/>
              </w:rPr>
              <w:t>暂存</w:t>
            </w:r>
            <w:r>
              <w:rPr>
                <w:rFonts w:hint="eastAsia"/>
                <w:szCs w:val="21"/>
                <w:lang w:eastAsia="zh-CN"/>
              </w:rPr>
              <w:t>，</w:t>
            </w:r>
            <w:r>
              <w:rPr>
                <w:rFonts w:hint="eastAsia"/>
                <w:szCs w:val="21"/>
              </w:rPr>
              <w:t>厂家定期回收</w:t>
            </w:r>
          </w:p>
        </w:tc>
        <w:tc>
          <w:tcPr>
            <w:tcW w:w="175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p>
        </w:tc>
        <w:tc>
          <w:tcPr>
            <w:tcW w:w="17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eastAsia="宋体"/>
                <w:szCs w:val="21"/>
                <w:lang w:val="en-US" w:eastAsia="zh-CN"/>
              </w:rPr>
            </w:pPr>
            <w:r>
              <w:rPr>
                <w:rFonts w:hint="eastAsia"/>
                <w:szCs w:val="21"/>
                <w:lang w:val="en-US" w:eastAsia="zh-CN"/>
              </w:rPr>
              <w:t>除尘器收集粉尘</w:t>
            </w:r>
          </w:p>
        </w:tc>
        <w:tc>
          <w:tcPr>
            <w:tcW w:w="1759"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szCs w:val="21"/>
              </w:rPr>
            </w:pPr>
            <w:r>
              <w:rPr>
                <w:rFonts w:hint="eastAsia"/>
                <w:szCs w:val="21"/>
                <w:lang w:val="en-US" w:eastAsia="zh-CN"/>
              </w:rPr>
              <w:t>除尘器收集粉尘</w:t>
            </w:r>
          </w:p>
        </w:tc>
        <w:tc>
          <w:tcPr>
            <w:tcW w:w="1759"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eastAsia="宋体"/>
                <w:szCs w:val="21"/>
                <w:lang w:eastAsia="zh-CN"/>
              </w:rPr>
            </w:pPr>
            <w:r>
              <w:rPr>
                <w:rFonts w:hint="eastAsia"/>
                <w:szCs w:val="21"/>
              </w:rPr>
              <w:t>一般固废暂存间</w:t>
            </w:r>
            <w:r>
              <w:rPr>
                <w:rFonts w:hint="eastAsia"/>
                <w:lang w:val="en-US" w:eastAsia="zh-CN"/>
              </w:rPr>
              <w:t>10m</w:t>
            </w:r>
            <w:r>
              <w:rPr>
                <w:rFonts w:hint="eastAsia"/>
                <w:vertAlign w:val="superscript"/>
                <w:lang w:val="en-US" w:eastAsia="zh-CN"/>
              </w:rPr>
              <w:t>2</w:t>
            </w:r>
            <w:r>
              <w:rPr>
                <w:rFonts w:hint="eastAsia"/>
                <w:szCs w:val="21"/>
              </w:rPr>
              <w:t>暂存</w:t>
            </w:r>
            <w:r>
              <w:rPr>
                <w:rFonts w:hint="eastAsia"/>
                <w:szCs w:val="21"/>
                <w:lang w:eastAsia="zh-CN"/>
              </w:rPr>
              <w:t>，</w:t>
            </w:r>
            <w:r>
              <w:rPr>
                <w:rFonts w:hint="eastAsia"/>
                <w:szCs w:val="21"/>
                <w:lang w:val="en-US" w:eastAsia="zh-CN"/>
              </w:rPr>
              <w:t>定期回用于生产</w:t>
            </w:r>
          </w:p>
        </w:tc>
        <w:tc>
          <w:tcPr>
            <w:tcW w:w="175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土壤及地下水</w:t>
            </w:r>
          </w:p>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污染防治措施</w:t>
            </w:r>
          </w:p>
        </w:tc>
        <w:tc>
          <w:tcPr>
            <w:tcW w:w="7022" w:type="dxa"/>
            <w:gridSpan w:val="6"/>
            <w:noWrap w:val="0"/>
            <w:vAlign w:val="center"/>
          </w:tcPr>
          <w:p>
            <w:pPr>
              <w:keepNext w:val="0"/>
              <w:keepLines w:val="0"/>
              <w:suppressLineNumbers w:val="0"/>
              <w:adjustRightInd w:val="0"/>
              <w:snapToGrid w:val="0"/>
              <w:spacing w:before="0" w:beforeAutospacing="0" w:after="0" w:afterAutospacing="0"/>
              <w:ind w:right="0"/>
              <w:jc w:val="center"/>
              <w:rPr>
                <w:rFonts w:hint="eastAsia" w:eastAsia="宋体"/>
                <w:color w:val="auto"/>
                <w:sz w:val="21"/>
                <w:szCs w:val="21"/>
                <w:lang w:eastAsia="zh-CN"/>
              </w:rPr>
            </w:pPr>
            <w:r>
              <w:rPr>
                <w:rFonts w:hint="eastAsia" w:cs="宋体"/>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生态保护措施</w:t>
            </w:r>
          </w:p>
        </w:tc>
        <w:tc>
          <w:tcPr>
            <w:tcW w:w="7022" w:type="dxa"/>
            <w:gridSpan w:val="6"/>
            <w:noWrap w:val="0"/>
            <w:vAlign w:val="center"/>
          </w:tcPr>
          <w:p>
            <w:pPr>
              <w:keepNext w:val="0"/>
              <w:keepLines w:val="0"/>
              <w:suppressLineNumbers w:val="0"/>
              <w:adjustRightInd w:val="0"/>
              <w:snapToGrid w:val="0"/>
              <w:spacing w:before="0" w:beforeAutospacing="0" w:after="0" w:afterAutospacing="0"/>
              <w:ind w:right="0"/>
              <w:jc w:val="center"/>
              <w:rPr>
                <w:rFonts w:hint="eastAsia" w:eastAsia="宋体"/>
                <w:color w:val="auto"/>
                <w:sz w:val="21"/>
                <w:szCs w:val="21"/>
                <w:lang w:eastAsia="zh-CN"/>
              </w:rPr>
            </w:pPr>
            <w:r>
              <w:rPr>
                <w:rFonts w:hint="eastAsia" w:ascii="Times New Roman" w:eastAsia="宋体"/>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环境风险</w:t>
            </w:r>
          </w:p>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防范措施</w:t>
            </w:r>
          </w:p>
        </w:tc>
        <w:tc>
          <w:tcPr>
            <w:tcW w:w="7022" w:type="dxa"/>
            <w:gridSpan w:val="6"/>
            <w:noWrap w:val="0"/>
            <w:vAlign w:val="center"/>
          </w:tcPr>
          <w:p>
            <w:pPr>
              <w:keepNext w:val="0"/>
              <w:keepLines w:val="0"/>
              <w:suppressLineNumbers w:val="0"/>
              <w:adjustRightInd w:val="0"/>
              <w:snapToGrid w:val="0"/>
              <w:spacing w:before="0" w:beforeAutospacing="0" w:after="0" w:afterAutospacing="0"/>
              <w:ind w:right="0"/>
              <w:jc w:val="center"/>
              <w:rPr>
                <w:color w:val="auto"/>
                <w:sz w:val="21"/>
                <w:szCs w:val="21"/>
              </w:rPr>
            </w:pPr>
            <w:r>
              <w:rPr>
                <w:rFonts w:hint="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其他环境</w:t>
            </w:r>
          </w:p>
          <w:p>
            <w:pPr>
              <w:keepNext w:val="0"/>
              <w:keepLines w:val="0"/>
              <w:suppressLineNumbers w:val="0"/>
              <w:adjustRightInd w:val="0"/>
              <w:snapToGrid w:val="0"/>
              <w:spacing w:before="0" w:beforeAutospacing="0" w:after="0" w:afterAutospacing="0"/>
              <w:ind w:left="0" w:right="0"/>
              <w:jc w:val="center"/>
              <w:rPr>
                <w:color w:val="auto"/>
                <w:sz w:val="21"/>
                <w:szCs w:val="21"/>
              </w:rPr>
            </w:pPr>
            <w:r>
              <w:rPr>
                <w:color w:val="auto"/>
                <w:sz w:val="21"/>
                <w:szCs w:val="21"/>
              </w:rPr>
              <w:t>管理要求</w:t>
            </w:r>
          </w:p>
        </w:tc>
        <w:tc>
          <w:tcPr>
            <w:tcW w:w="7022"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b/>
                <w:bCs/>
                <w:color w:val="auto"/>
                <w:sz w:val="21"/>
                <w:szCs w:val="21"/>
              </w:rPr>
            </w:pP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①</w:t>
            </w:r>
            <w:r>
              <w:rPr>
                <w:rFonts w:hint="eastAsia" w:ascii="Times New Roman" w:hAnsi="Times New Roman" w:eastAsia="宋体" w:cs="Times New Roman"/>
                <w:color w:val="auto"/>
                <w:sz w:val="21"/>
                <w:szCs w:val="21"/>
                <w:lang w:eastAsia="zh-CN"/>
              </w:rPr>
              <w:t>车间</w:t>
            </w:r>
            <w:r>
              <w:rPr>
                <w:rFonts w:hint="eastAsia" w:ascii="Times New Roman" w:hAnsi="Times New Roman" w:eastAsia="宋体" w:cs="Times New Roman"/>
                <w:color w:val="auto"/>
                <w:sz w:val="21"/>
                <w:szCs w:val="21"/>
              </w:rPr>
              <w:t>应</w:t>
            </w:r>
            <w:r>
              <w:rPr>
                <w:rFonts w:hint="eastAsia" w:ascii="Times New Roman" w:hAnsi="Times New Roman" w:eastAsia="宋体" w:cs="Times New Roman"/>
                <w:color w:val="auto"/>
                <w:sz w:val="21"/>
                <w:szCs w:val="21"/>
                <w:lang w:eastAsia="zh-CN"/>
              </w:rPr>
              <w:t>封闭管理</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以减少无组织颗粒物扩散</w:t>
            </w:r>
            <w:r>
              <w:rPr>
                <w:rFonts w:hint="eastAsia" w:ascii="Times New Roman" w:hAnsi="Times New Roman" w:eastAsia="宋体" w:cs="Times New Roman"/>
                <w:color w:val="auto"/>
                <w:sz w:val="21"/>
                <w:szCs w:val="21"/>
              </w:rPr>
              <w:t xml:space="preserve">； </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②</w:t>
            </w:r>
            <w:r>
              <w:rPr>
                <w:rFonts w:hint="eastAsia" w:ascii="Times New Roman" w:hAnsi="Times New Roman" w:eastAsia="宋体" w:cs="Times New Roman"/>
                <w:color w:val="auto"/>
                <w:sz w:val="21"/>
                <w:szCs w:val="21"/>
              </w:rPr>
              <w:t>厂内道路硬化，厂区无裸露空地，闲置裸露空地绿化</w:t>
            </w:r>
            <w:r>
              <w:rPr>
                <w:rFonts w:hint="eastAsia" w:ascii="Times New Roman" w:hAnsi="Times New Roman" w:eastAsia="宋体" w:cs="Times New Roman"/>
                <w:color w:val="auto"/>
                <w:sz w:val="21"/>
                <w:szCs w:val="21"/>
                <w:lang w:eastAsia="zh-CN"/>
              </w:rPr>
              <w:t>；</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③</w:t>
            </w:r>
            <w:r>
              <w:rPr>
                <w:rFonts w:hint="eastAsia" w:ascii="Times New Roman" w:hAnsi="Times New Roman" w:eastAsia="宋体" w:cs="Times New Roman"/>
                <w:color w:val="auto"/>
                <w:sz w:val="21"/>
                <w:szCs w:val="21"/>
              </w:rPr>
              <w:t>按照环境监测计划对项目废气（排气筒及无组织）、厂界噪声等定期进行监测</w:t>
            </w:r>
            <w:r>
              <w:rPr>
                <w:rFonts w:hint="eastAsia" w:ascii="Times New Roman" w:hAnsi="Times New Roman" w:eastAsia="宋体" w:cs="Times New Roman"/>
                <w:color w:val="auto"/>
                <w:sz w:val="21"/>
                <w:szCs w:val="21"/>
                <w:lang w:eastAsia="zh-CN"/>
              </w:rPr>
              <w:t>；</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④</w:t>
            </w:r>
            <w:r>
              <w:rPr>
                <w:rFonts w:hint="eastAsia" w:ascii="Times New Roman" w:hAnsi="Times New Roman" w:eastAsia="宋体" w:cs="Times New Roman"/>
                <w:color w:val="auto"/>
                <w:sz w:val="21"/>
                <w:szCs w:val="21"/>
              </w:rPr>
              <w:t>按照环保主管部门要求安装工业企业用电量监控设施并于联网；按要求安装视频监控设备与环境监控平台联网。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color w:val="auto"/>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eastAsia="宋体"/>
                <w:color w:val="auto"/>
                <w:sz w:val="21"/>
                <w:szCs w:val="21"/>
                <w:lang w:val="en-US" w:eastAsia="zh-CN"/>
              </w:rPr>
            </w:pPr>
            <w:r>
              <w:rPr>
                <w:rFonts w:hint="eastAsia"/>
                <w:color w:val="auto"/>
                <w:sz w:val="21"/>
                <w:szCs w:val="21"/>
                <w:lang w:val="en-US" w:eastAsia="zh-CN"/>
              </w:rPr>
              <w:t xml:space="preserve"> </w:t>
            </w:r>
          </w:p>
          <w:p>
            <w:pPr>
              <w:pStyle w:val="3"/>
              <w:ind w:left="0" w:leftChars="0" w:firstLine="0" w:firstLineChars="0"/>
              <w:rPr>
                <w:rFonts w:hint="eastAsia" w:eastAsia="宋体"/>
                <w:color w:val="auto"/>
                <w:sz w:val="21"/>
                <w:szCs w:val="21"/>
                <w:lang w:val="en-US" w:eastAsia="zh-CN"/>
              </w:rPr>
            </w:pPr>
          </w:p>
        </w:tc>
      </w:tr>
    </w:tbl>
    <w:p>
      <w:pPr>
        <w:pStyle w:val="16"/>
        <w:jc w:val="center"/>
        <w:outlineLvl w:val="0"/>
        <w:rPr>
          <w:rFonts w:ascii="黑体" w:hAnsi="黑体" w:eastAsia="黑体"/>
          <w:snapToGrid w:val="0"/>
          <w:color w:val="FF0000"/>
          <w:sz w:val="30"/>
          <w:szCs w:val="30"/>
        </w:rPr>
      </w:pPr>
      <w:r>
        <w:rPr>
          <w:snapToGrid w:val="0"/>
          <w:color w:val="FF0000"/>
        </w:rPr>
        <w:br w:type="page"/>
      </w:r>
      <w:r>
        <w:rPr>
          <w:rFonts w:hint="eastAsia" w:ascii="黑体" w:hAnsi="黑体" w:eastAsia="黑体"/>
          <w:snapToGrid w:val="0"/>
          <w:color w:val="auto"/>
          <w:sz w:val="30"/>
          <w:szCs w:val="30"/>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lang w:eastAsia="zh-CN"/>
              </w:rPr>
            </w:pPr>
            <w:r>
              <w:rPr>
                <w:rFonts w:hint="eastAsia" w:ascii="Times New Roman" w:hAnsi="Times New Roman" w:eastAsia="宋体" w:cs="Times New Roman"/>
                <w:color w:val="auto"/>
                <w:szCs w:val="21"/>
                <w:lang w:val="en-US" w:eastAsia="zh-CN"/>
              </w:rPr>
              <w:t>新乡县沃丰农资有限公司新建腐植酸钾尾料再生循环利用项目</w:t>
            </w:r>
            <w:r>
              <w:rPr>
                <w:rFonts w:hint="default" w:ascii="Times New Roman" w:hAnsi="Times New Roman" w:eastAsia="宋体" w:cs="Times New Roman"/>
                <w:color w:val="auto"/>
                <w:lang w:eastAsia="zh-CN"/>
              </w:rPr>
              <w:t>选址可行，项目在认真落实各项环保治理措施后，工程各项污染物均能合理处置或达标排放，对周围环境影响较小，可以实现其经济效益、社会效益和环境效益的协调发展。因此，从环保角度分析，本项目建设是可行的。</w:t>
            </w: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pStyle w:val="3"/>
              <w:rPr>
                <w:lang w:val="en-US" w:eastAsia="zh-CN"/>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right="0" w:firstLine="420" w:firstLineChars="200"/>
              <w:jc w:val="both"/>
              <w:rPr>
                <w:rFonts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leftChars="0" w:right="0" w:firstLine="0" w:firstLineChars="0"/>
              <w:jc w:val="both"/>
              <w:rPr>
                <w:rFonts w:hint="eastAsia" w:ascii="Times New Roman" w:hAnsi="Times New Roman" w:eastAsia="宋体" w:cs="Times New Roman"/>
                <w:color w:val="FF0000"/>
                <w:kern w:val="0"/>
                <w:sz w:val="21"/>
                <w:szCs w:val="20"/>
                <w:lang w:val="en-US" w:eastAsia="zh-CN" w:bidi="ar-SA"/>
              </w:rPr>
            </w:pPr>
          </w:p>
          <w:p>
            <w:pPr>
              <w:keepNext w:val="0"/>
              <w:keepLines w:val="0"/>
              <w:widowControl/>
              <w:suppressLineNumbers w:val="0"/>
              <w:snapToGrid w:val="0"/>
              <w:spacing w:before="0" w:beforeAutospacing="0" w:after="0" w:afterAutospacing="0" w:line="400" w:lineRule="exact"/>
              <w:ind w:left="0" w:leftChars="0" w:right="0" w:firstLine="0" w:firstLineChars="0"/>
              <w:jc w:val="both"/>
              <w:rPr>
                <w:rFonts w:hint="default" w:ascii="Times New Roman" w:hAnsi="Times New Roman" w:eastAsia="宋体" w:cs="Times New Roman"/>
                <w:color w:val="FF0000"/>
                <w:kern w:val="0"/>
                <w:sz w:val="21"/>
                <w:szCs w:val="20"/>
                <w:lang w:val="en-US" w:eastAsia="zh-CN" w:bidi="ar-SA"/>
              </w:rPr>
            </w:pPr>
            <w:r>
              <w:rPr>
                <w:rFonts w:hint="eastAsia" w:ascii="Times New Roman" w:hAnsi="Times New Roman" w:eastAsia="宋体" w:cs="Times New Roman"/>
                <w:color w:val="FF0000"/>
                <w:kern w:val="0"/>
                <w:sz w:val="21"/>
                <w:szCs w:val="20"/>
                <w:lang w:val="en-US" w:eastAsia="zh-CN" w:bidi="ar-SA"/>
              </w:rPr>
              <w:t xml:space="preserve"> </w:t>
            </w:r>
          </w:p>
        </w:tc>
      </w:tr>
    </w:tbl>
    <w:p>
      <w:pPr>
        <w:rPr>
          <w:rFonts w:ascii="宋体"/>
          <w:color w:val="FF000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方正小标宋_GBK" w:hAnsi="黑体" w:eastAsia="方正小标宋_GBK"/>
          <w:snapToGrid w:val="0"/>
          <w:color w:val="auto"/>
          <w:sz w:val="21"/>
          <w:szCs w:val="21"/>
          <w:lang w:val="en-US" w:eastAsia="zh-CN"/>
        </w:rPr>
      </w:pPr>
      <w:r>
        <w:rPr>
          <w:rFonts w:hint="eastAsia" w:ascii="方正小标宋_GBK" w:hAnsi="黑体" w:eastAsia="方正小标宋_GBK"/>
          <w:snapToGrid w:val="0"/>
          <w:color w:val="auto"/>
          <w:sz w:val="38"/>
          <w:szCs w:val="38"/>
          <w:lang w:val="en-US" w:eastAsia="zh-CN"/>
        </w:rPr>
        <w:t xml:space="preserve">                        </w:t>
      </w:r>
      <w:r>
        <w:rPr>
          <w:rFonts w:hint="eastAsia" w:ascii="方正小标宋_GBK" w:hAnsi="黑体" w:eastAsia="方正小标宋_GBK"/>
          <w:snapToGrid w:val="0"/>
          <w:color w:val="auto"/>
          <w:sz w:val="38"/>
          <w:szCs w:val="38"/>
        </w:rPr>
        <w:t>建设项目污染物排放量汇总表</w:t>
      </w:r>
      <w:r>
        <w:rPr>
          <w:rFonts w:hint="eastAsia" w:ascii="方正小标宋_GBK" w:hAnsi="黑体" w:eastAsia="方正小标宋_GBK"/>
          <w:snapToGrid w:val="0"/>
          <w:color w:val="auto"/>
          <w:sz w:val="38"/>
          <w:szCs w:val="38"/>
          <w:lang w:val="en-US" w:eastAsia="zh-CN"/>
        </w:rPr>
        <w:t xml:space="preserve">                 </w:t>
      </w:r>
      <w:r>
        <w:rPr>
          <w:rFonts w:hint="eastAsia" w:ascii="方正小标宋_GBK" w:hAnsi="黑体" w:eastAsia="方正小标宋_GBK"/>
          <w:snapToGrid w:val="0"/>
          <w:color w:val="auto"/>
          <w:sz w:val="21"/>
          <w:szCs w:val="21"/>
          <w:lang w:val="en-US" w:eastAsia="zh-CN"/>
        </w:rPr>
        <w:t xml:space="preserve"> 单位：</w:t>
      </w:r>
      <w:r>
        <w:rPr>
          <w:rFonts w:hint="default" w:ascii="Times New Roman" w:hAnsi="Times New Roman" w:cs="Times New Roman"/>
          <w:snapToGrid w:val="0"/>
          <w:color w:val="auto"/>
          <w:kern w:val="21"/>
          <w:sz w:val="21"/>
          <w:szCs w:val="21"/>
        </w:rPr>
        <w:t>t/a</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316"/>
        <w:gridCol w:w="1638"/>
        <w:gridCol w:w="1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pPr>
              <w:pStyle w:val="32"/>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417" w:type="dxa"/>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701" w:type="dxa"/>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276" w:type="dxa"/>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pPr>
              <w:pStyle w:val="32"/>
              <w:keepNext w:val="0"/>
              <w:keepLines w:val="0"/>
              <w:suppressLineNumbers w:val="0"/>
              <w:spacing w:before="0" w:beforeLines="0" w:beforeAutospacing="0" w:after="0" w:afterLines="0" w:afterAutospacing="0"/>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701" w:type="dxa"/>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316" w:type="dxa"/>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638" w:type="dxa"/>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1592" w:type="dxa"/>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废气</w:t>
            </w:r>
          </w:p>
        </w:tc>
        <w:tc>
          <w:tcPr>
            <w:tcW w:w="1417" w:type="dxa"/>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颗粒物</w:t>
            </w:r>
          </w:p>
        </w:tc>
        <w:tc>
          <w:tcPr>
            <w:tcW w:w="1701" w:type="dxa"/>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276" w:type="dxa"/>
            <w:vAlign w:val="center"/>
          </w:tcPr>
          <w:p>
            <w:pPr>
              <w:pStyle w:val="3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701" w:type="dxa"/>
            <w:vAlign w:val="center"/>
          </w:tcPr>
          <w:p>
            <w:pPr>
              <w:pStyle w:val="3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w:t>
            </w:r>
            <w:r>
              <w:rPr>
                <w:rFonts w:hint="eastAsia" w:cs="Times New Roman"/>
                <w:szCs w:val="21"/>
                <w:lang w:val="en-US" w:eastAsia="zh-CN"/>
              </w:rPr>
              <w:t>853</w:t>
            </w:r>
          </w:p>
        </w:tc>
        <w:tc>
          <w:tcPr>
            <w:tcW w:w="1316"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638"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w:t>
            </w:r>
            <w:r>
              <w:rPr>
                <w:rFonts w:hint="eastAsia" w:cs="Times New Roman"/>
                <w:szCs w:val="21"/>
                <w:lang w:val="en-US" w:eastAsia="zh-CN"/>
              </w:rPr>
              <w:t>853</w:t>
            </w:r>
          </w:p>
        </w:tc>
        <w:tc>
          <w:tcPr>
            <w:tcW w:w="1592"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w:t>
            </w:r>
            <w:r>
              <w:rPr>
                <w:rFonts w:hint="eastAsia" w:cs="Times New Roman"/>
                <w:szCs w:val="21"/>
                <w:lang w:val="en-US" w:eastAsia="zh-CN"/>
              </w:rPr>
              <w:t>853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p>
        </w:tc>
        <w:tc>
          <w:tcPr>
            <w:tcW w:w="1417" w:type="dxa"/>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VOCs</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276"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316"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638"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592"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p>
        </w:tc>
        <w:tc>
          <w:tcPr>
            <w:tcW w:w="1417" w:type="dxa"/>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二氧化硫</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276"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316"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638"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592"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p>
        </w:tc>
        <w:tc>
          <w:tcPr>
            <w:tcW w:w="1417" w:type="dxa"/>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氮氧化物</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276"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316"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638"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592"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417" w:type="dxa"/>
            <w:vAlign w:val="center"/>
          </w:tcPr>
          <w:p>
            <w:pPr>
              <w:pStyle w:val="3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COD</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276"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316"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638"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592"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p>
        </w:tc>
        <w:tc>
          <w:tcPr>
            <w:tcW w:w="1417" w:type="dxa"/>
            <w:vAlign w:val="center"/>
          </w:tcPr>
          <w:p>
            <w:pPr>
              <w:pStyle w:val="3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氨氮</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276"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316"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638"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592"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p>
        </w:tc>
        <w:tc>
          <w:tcPr>
            <w:tcW w:w="1417" w:type="dxa"/>
            <w:vAlign w:val="center"/>
          </w:tcPr>
          <w:p>
            <w:pPr>
              <w:pStyle w:val="3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总磷</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276"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701" w:type="dxa"/>
            <w:vAlign w:val="center"/>
          </w:tcPr>
          <w:p>
            <w:pPr>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316"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638"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c>
          <w:tcPr>
            <w:tcW w:w="1592"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88" w:type="dxa"/>
            <w:vMerge w:val="restart"/>
            <w:vAlign w:val="center"/>
          </w:tcPr>
          <w:p>
            <w:pPr>
              <w:pStyle w:val="32"/>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一般工业固废</w:t>
            </w:r>
          </w:p>
        </w:tc>
        <w:tc>
          <w:tcPr>
            <w:tcW w:w="1417"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cs="Times New Roman"/>
                <w:kern w:val="0"/>
                <w:sz w:val="21"/>
                <w:szCs w:val="21"/>
                <w:lang w:val="en-US" w:eastAsia="zh-CN" w:bidi="ar-SA"/>
              </w:rPr>
              <w:t>废包装物</w:t>
            </w:r>
          </w:p>
        </w:tc>
        <w:tc>
          <w:tcPr>
            <w:tcW w:w="1701" w:type="dxa"/>
            <w:vAlign w:val="center"/>
          </w:tcPr>
          <w:p>
            <w:pPr>
              <w:adjustRightInd w:val="0"/>
              <w:snapToGrid w:val="0"/>
              <w:jc w:val="center"/>
              <w:rPr>
                <w:rFonts w:hint="eastAsia" w:ascii="Times New Roman" w:hAnsi="Times New Roman" w:eastAsia="宋体" w:cs="Times New Roman"/>
                <w:snapToGrid w:val="0"/>
                <w:color w:val="auto"/>
                <w:kern w:val="21"/>
                <w:sz w:val="21"/>
                <w:szCs w:val="21"/>
                <w:lang w:val="en-US" w:eastAsia="zh-CN" w:bidi="ar-SA"/>
              </w:rPr>
            </w:pPr>
            <w:r>
              <w:rPr>
                <w:rFonts w:hint="eastAsia"/>
                <w:szCs w:val="21"/>
                <w:lang w:val="en-US" w:eastAsia="zh-CN"/>
              </w:rPr>
              <w:t>/</w:t>
            </w:r>
          </w:p>
        </w:tc>
        <w:tc>
          <w:tcPr>
            <w:tcW w:w="1276"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rPr>
              <w:t>/</w:t>
            </w:r>
          </w:p>
        </w:tc>
        <w:tc>
          <w:tcPr>
            <w:tcW w:w="1701"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szCs w:val="21"/>
                <w:lang w:val="en-US" w:eastAsia="zh-CN"/>
              </w:rPr>
              <w:t>1.95</w:t>
            </w:r>
          </w:p>
        </w:tc>
        <w:tc>
          <w:tcPr>
            <w:tcW w:w="1316"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638" w:type="dxa"/>
            <w:vAlign w:val="center"/>
          </w:tcPr>
          <w:p>
            <w:pPr>
              <w:adjustRightInd w:val="0"/>
              <w:snapToGrid w:val="0"/>
              <w:jc w:val="center"/>
              <w:rPr>
                <w:rFonts w:hint="eastAsia" w:ascii="Times New Roman" w:hAnsi="Times New Roman" w:eastAsia="宋体" w:cs="Times New Roman"/>
                <w:snapToGrid w:val="0"/>
                <w:color w:val="auto"/>
                <w:kern w:val="21"/>
                <w:sz w:val="21"/>
                <w:szCs w:val="21"/>
                <w:lang w:val="en-US" w:eastAsia="zh-CN" w:bidi="ar-SA"/>
              </w:rPr>
            </w:pPr>
            <w:r>
              <w:rPr>
                <w:rFonts w:hint="eastAsia"/>
                <w:szCs w:val="21"/>
                <w:lang w:val="en-US" w:eastAsia="zh-CN"/>
              </w:rPr>
              <w:t>1.95</w:t>
            </w:r>
          </w:p>
        </w:tc>
        <w:tc>
          <w:tcPr>
            <w:tcW w:w="1592" w:type="dxa"/>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szCs w:val="21"/>
                <w:lang w:val="en-US" w:eastAsia="zh-CN"/>
              </w:rPr>
              <w:t>+1.95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p>
        </w:tc>
        <w:tc>
          <w:tcPr>
            <w:tcW w:w="1417"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cs="Times New Roman"/>
                <w:kern w:val="0"/>
                <w:sz w:val="21"/>
                <w:szCs w:val="21"/>
                <w:lang w:val="en-US" w:eastAsia="zh-CN" w:bidi="ar-SA"/>
              </w:rPr>
              <w:t>生活垃圾</w:t>
            </w:r>
          </w:p>
        </w:tc>
        <w:tc>
          <w:tcPr>
            <w:tcW w:w="1701" w:type="dxa"/>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szCs w:val="21"/>
                <w:lang w:val="en-US" w:eastAsia="zh-CN"/>
              </w:rPr>
              <w:t>/</w:t>
            </w:r>
          </w:p>
        </w:tc>
        <w:tc>
          <w:tcPr>
            <w:tcW w:w="1276"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rPr>
              <w:t>/</w:t>
            </w:r>
          </w:p>
        </w:tc>
        <w:tc>
          <w:tcPr>
            <w:tcW w:w="1701"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szCs w:val="21"/>
                <w:lang w:val="en-US" w:eastAsia="zh-CN"/>
              </w:rPr>
              <w:t>2.5</w:t>
            </w:r>
          </w:p>
        </w:tc>
        <w:tc>
          <w:tcPr>
            <w:tcW w:w="1316"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w:t>
            </w:r>
          </w:p>
        </w:tc>
        <w:tc>
          <w:tcPr>
            <w:tcW w:w="1638" w:type="dxa"/>
            <w:vAlign w:val="center"/>
          </w:tcPr>
          <w:p>
            <w:pPr>
              <w:adjustRightInd w:val="0"/>
              <w:snapToGrid w:val="0"/>
              <w:jc w:val="center"/>
              <w:rPr>
                <w:rFonts w:hint="eastAsia" w:ascii="Times New Roman" w:hAnsi="Times New Roman" w:eastAsia="宋体" w:cs="Times New Roman"/>
                <w:snapToGrid w:val="0"/>
                <w:color w:val="auto"/>
                <w:kern w:val="21"/>
                <w:sz w:val="21"/>
                <w:szCs w:val="21"/>
                <w:lang w:val="en-US" w:eastAsia="zh-CN" w:bidi="ar-SA"/>
              </w:rPr>
            </w:pPr>
            <w:r>
              <w:rPr>
                <w:rFonts w:hint="eastAsia"/>
                <w:szCs w:val="21"/>
                <w:lang w:val="en-US" w:eastAsia="zh-CN"/>
              </w:rPr>
              <w:t>2.5</w:t>
            </w:r>
          </w:p>
        </w:tc>
        <w:tc>
          <w:tcPr>
            <w:tcW w:w="1592" w:type="dxa"/>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szCs w:val="21"/>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rPr>
            </w:pPr>
          </w:p>
        </w:tc>
        <w:tc>
          <w:tcPr>
            <w:tcW w:w="1417"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kern w:val="0"/>
                <w:sz w:val="21"/>
                <w:szCs w:val="21"/>
                <w:lang w:val="en-US" w:eastAsia="zh-CN" w:bidi="ar-SA"/>
              </w:rPr>
            </w:pPr>
            <w:r>
              <w:rPr>
                <w:rFonts w:hint="eastAsia" w:ascii="Times New Roman" w:cs="Times New Roman"/>
                <w:kern w:val="0"/>
                <w:sz w:val="21"/>
                <w:szCs w:val="21"/>
                <w:lang w:val="en-US" w:eastAsia="zh-CN" w:bidi="ar-SA"/>
              </w:rPr>
              <w:t>除尘器收集粉尘</w:t>
            </w:r>
          </w:p>
        </w:tc>
        <w:tc>
          <w:tcPr>
            <w:tcW w:w="1701" w:type="dxa"/>
            <w:vAlign w:val="center"/>
          </w:tcPr>
          <w:p>
            <w:pPr>
              <w:adjustRightInd w:val="0"/>
              <w:snapToGrid w:val="0"/>
              <w:jc w:val="center"/>
              <w:rPr>
                <w:rFonts w:hint="eastAsia"/>
                <w:szCs w:val="21"/>
                <w:lang w:val="en-US" w:eastAsia="zh-CN"/>
              </w:rPr>
            </w:pPr>
            <w:r>
              <w:rPr>
                <w:rFonts w:hint="eastAsia"/>
                <w:szCs w:val="21"/>
                <w:lang w:val="en-US" w:eastAsia="zh-CN"/>
              </w:rPr>
              <w:t>/</w:t>
            </w:r>
          </w:p>
        </w:tc>
        <w:tc>
          <w:tcPr>
            <w:tcW w:w="1276"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701"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559" w:type="dxa"/>
            <w:vAlign w:val="center"/>
          </w:tcPr>
          <w:p>
            <w:pPr>
              <w:adjustRightInd w:val="0"/>
              <w:snapToGrid w:val="0"/>
              <w:jc w:val="center"/>
              <w:rPr>
                <w:rFonts w:hint="default"/>
                <w:szCs w:val="21"/>
                <w:lang w:val="en-US" w:eastAsia="zh-CN"/>
              </w:rPr>
            </w:pPr>
            <w:r>
              <w:rPr>
                <w:rFonts w:hint="eastAsia"/>
                <w:szCs w:val="21"/>
                <w:lang w:val="en-US" w:eastAsia="zh-CN"/>
              </w:rPr>
              <w:t>3.9969</w:t>
            </w:r>
          </w:p>
        </w:tc>
        <w:tc>
          <w:tcPr>
            <w:tcW w:w="1316" w:type="dxa"/>
            <w:vAlign w:val="center"/>
          </w:tcPr>
          <w:p>
            <w:pPr>
              <w:pStyle w:val="32"/>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w:t>
            </w:r>
          </w:p>
        </w:tc>
        <w:tc>
          <w:tcPr>
            <w:tcW w:w="1638" w:type="dxa"/>
            <w:vAlign w:val="center"/>
          </w:tcPr>
          <w:p>
            <w:pPr>
              <w:adjustRightInd w:val="0"/>
              <w:snapToGrid w:val="0"/>
              <w:jc w:val="center"/>
              <w:rPr>
                <w:rFonts w:hint="default"/>
                <w:szCs w:val="21"/>
                <w:lang w:val="en-US" w:eastAsia="zh-CN"/>
              </w:rPr>
            </w:pPr>
            <w:r>
              <w:rPr>
                <w:rFonts w:hint="eastAsia"/>
                <w:szCs w:val="21"/>
                <w:lang w:val="en-US" w:eastAsia="zh-CN"/>
              </w:rPr>
              <w:t>3.9969</w:t>
            </w:r>
          </w:p>
        </w:tc>
        <w:tc>
          <w:tcPr>
            <w:tcW w:w="1592" w:type="dxa"/>
            <w:vAlign w:val="center"/>
          </w:tcPr>
          <w:p>
            <w:pPr>
              <w:adjustRightInd w:val="0"/>
              <w:snapToGrid w:val="0"/>
              <w:jc w:val="center"/>
              <w:rPr>
                <w:rFonts w:hint="default"/>
                <w:szCs w:val="21"/>
                <w:lang w:val="en-US" w:eastAsia="zh-CN"/>
              </w:rPr>
            </w:pPr>
            <w:r>
              <w:rPr>
                <w:rFonts w:hint="eastAsia"/>
                <w:szCs w:val="21"/>
                <w:lang w:val="en-US" w:eastAsia="zh-CN"/>
              </w:rPr>
              <w:t>+3.9969</w:t>
            </w:r>
          </w:p>
        </w:tc>
      </w:tr>
    </w:tbl>
    <w:p>
      <w:pPr>
        <w:pStyle w:val="32"/>
        <w:spacing w:beforeLines="80" w:after="24"/>
        <w:jc w:val="left"/>
        <w:rPr>
          <w:rFonts w:hint="default" w:ascii="Times New Roman" w:hAnsi="Times New Roman" w:cs="Times New Roman"/>
          <w:snapToGrid w:val="0"/>
          <w:color w:val="auto"/>
          <w:kern w:val="21"/>
          <w:szCs w:val="21"/>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Cs w:val="21"/>
        </w:rPr>
        <w:t>注：⑦＝③－④－⑤，⑥＝②－④＋③ ,当 ②＝0时， ⑥＝</w:t>
      </w:r>
      <w:r>
        <w:rPr>
          <w:rFonts w:hint="default" w:ascii="Times New Roman" w:hAnsi="Times New Roman" w:cs="Times New Roman"/>
          <w:snapToGrid w:val="0"/>
          <w:color w:val="auto"/>
          <w:kern w:val="21"/>
          <w:szCs w:val="21"/>
        </w:rPr>
        <w:fldChar w:fldCharType="begin"/>
      </w:r>
      <w:r>
        <w:rPr>
          <w:rFonts w:hint="default" w:ascii="Times New Roman" w:hAnsi="Times New Roman" w:cs="Times New Roman"/>
          <w:snapToGrid w:val="0"/>
          <w:color w:val="auto"/>
          <w:kern w:val="21"/>
          <w:szCs w:val="21"/>
        </w:rPr>
        <w:instrText xml:space="preserve"> = 1 \* GB3 \* MERGEFORMAT </w:instrText>
      </w:r>
      <w:r>
        <w:rPr>
          <w:rFonts w:hint="default" w:ascii="Times New Roman" w:hAnsi="Times New Roman" w:cs="Times New Roman"/>
          <w:snapToGrid w:val="0"/>
          <w:color w:val="auto"/>
          <w:kern w:val="21"/>
          <w:szCs w:val="21"/>
        </w:rPr>
        <w:fldChar w:fldCharType="separate"/>
      </w:r>
      <w:r>
        <w:rPr>
          <w:rFonts w:hint="default" w:ascii="Times New Roman" w:hAnsi="Times New Roman" w:cs="Times New Roman"/>
          <w:snapToGrid w:val="0"/>
          <w:color w:val="auto"/>
          <w:kern w:val="21"/>
          <w:szCs w:val="21"/>
        </w:rPr>
        <w:t>①</w:t>
      </w:r>
      <w:r>
        <w:rPr>
          <w:rFonts w:hint="default" w:ascii="Times New Roman" w:hAnsi="Times New Roman" w:cs="Times New Roman"/>
          <w:snapToGrid w:val="0"/>
          <w:color w:val="auto"/>
          <w:kern w:val="21"/>
          <w:szCs w:val="21"/>
        </w:rPr>
        <w:fldChar w:fldCharType="end"/>
      </w:r>
      <w:r>
        <w:rPr>
          <w:rFonts w:hint="default" w:ascii="Times New Roman" w:hAnsi="Times New Roman" w:cs="Times New Roman"/>
          <w:snapToGrid w:val="0"/>
          <w:color w:val="auto"/>
          <w:kern w:val="21"/>
          <w:szCs w:val="21"/>
        </w:rPr>
        <w:t>-④＋③</w:t>
      </w:r>
    </w:p>
    <w:p>
      <w:pPr>
        <w:jc w:val="center"/>
        <w:rPr>
          <w:rFonts w:hint="eastAsia" w:ascii="Times New Roman" w:hAnsi="Times New Roman" w:eastAsia="宋体" w:cs="Times New Roman"/>
          <w:b/>
          <w:bCs/>
          <w:sz w:val="24"/>
          <w:szCs w:val="24"/>
          <w:lang w:eastAsia="zh-CN"/>
        </w:rPr>
      </w:pPr>
      <w:r>
        <w:rPr>
          <w:rFonts w:hint="default" w:ascii="Times New Roman" w:hAnsi="Times New Roman" w:eastAsia="黑体" w:cs="Times New Roman"/>
          <w:snapToGrid w:val="0"/>
          <w:color w:val="auto"/>
          <w:spacing w:val="-6"/>
          <w:kern w:val="21"/>
          <w:sz w:val="21"/>
          <w:szCs w:val="21"/>
        </w:rPr>
        <w:pict>
          <v:shape id="_x0000_s1034" o:spid="_x0000_s1034" o:spt="75" type="#_x0000_t75" style="position:absolute;left:0pt;margin-left:406.35pt;margin-top:8.45pt;height:61.5pt;width:45pt;z-index:251682816;mso-width-relative:page;mso-height-relative:page;" o:ole="t" filled="f" o:preferrelative="t" stroked="f" coordsize="21600,21600">
            <v:path/>
            <v:fill on="f" focussize="0,0"/>
            <v:stroke on="f"/>
            <v:imagedata r:id="rId37" o:title=""/>
            <o:lock v:ext="edit" aspectratio="f"/>
          </v:shape>
          <o:OLEObject Type="Embed" ProgID="Visio.Drawing.15" ShapeID="_x0000_s1034" DrawAspect="Content" ObjectID="_1468075726" r:id="rId36">
            <o:LockedField>false</o:LockedField>
          </o:OLEObject>
        </w:pict>
      </w:r>
      <w:r>
        <w:rPr>
          <w:rFonts w:hint="eastAsia" w:eastAsia="宋体"/>
          <w:lang w:eastAsia="zh-CN"/>
        </w:rPr>
        <w:drawing>
          <wp:anchor distT="0" distB="0" distL="114300" distR="114300" simplePos="0" relativeHeight="251666432" behindDoc="1" locked="0" layoutInCell="1" allowOverlap="1">
            <wp:simplePos x="0" y="0"/>
            <wp:positionH relativeFrom="column">
              <wp:posOffset>-127000</wp:posOffset>
            </wp:positionH>
            <wp:positionV relativeFrom="paragraph">
              <wp:posOffset>86360</wp:posOffset>
            </wp:positionV>
            <wp:extent cx="5868670" cy="8191500"/>
            <wp:effectExtent l="0" t="0" r="17780" b="0"/>
            <wp:wrapNone/>
            <wp:docPr id="83"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图片1"/>
                    <pic:cNvPicPr>
                      <a:picLocks noChangeAspect="1"/>
                    </pic:cNvPicPr>
                  </pic:nvPicPr>
                  <pic:blipFill>
                    <a:blip r:embed="rId38"/>
                    <a:stretch>
                      <a:fillRect/>
                    </a:stretch>
                  </pic:blipFill>
                  <pic:spPr>
                    <a:xfrm>
                      <a:off x="0" y="0"/>
                      <a:ext cx="5868670" cy="8191500"/>
                    </a:xfrm>
                    <a:prstGeom prst="rect">
                      <a:avLst/>
                    </a:prstGeom>
                    <a:noFill/>
                    <a:ln>
                      <a:noFill/>
                    </a:ln>
                  </pic:spPr>
                </pic:pic>
              </a:graphicData>
            </a:graphic>
          </wp:anchor>
        </w:drawing>
      </w: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901700</wp:posOffset>
                </wp:positionH>
                <wp:positionV relativeFrom="paragraph">
                  <wp:posOffset>4105910</wp:posOffset>
                </wp:positionV>
                <wp:extent cx="3810000" cy="309880"/>
                <wp:effectExtent l="0" t="0" r="0" b="13970"/>
                <wp:wrapNone/>
                <wp:docPr id="84" name="文本框 84"/>
                <wp:cNvGraphicFramePr/>
                <a:graphic xmlns:a="http://schemas.openxmlformats.org/drawingml/2006/main">
                  <a:graphicData uri="http://schemas.microsoft.com/office/word/2010/wordprocessingShape">
                    <wps:wsp>
                      <wps:cNvSpPr txBox="1"/>
                      <wps:spPr>
                        <a:xfrm>
                          <a:off x="0" y="0"/>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附图1项目位置图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pt;margin-top:323.3pt;height:24.4pt;width:300pt;z-index:251667456;mso-width-relative:page;mso-height-relative:page;" fillcolor="#FFFFFF [3201]" filled="t" stroked="f" coordsize="21600,21600" o:gfxdata="UEsDBAoAAAAAAIdO4kAAAAAAAAAAAAAAAAAEAAAAZHJzL1BLAwQUAAAACACHTuJAIIWFW9UAAAAL&#10;AQAADwAAAGRycy9kb3ducmV2LnhtbE2PzU7DMBCE70i8g7VI3KiTKgRI4/SAxBWJtvTsxts4wl5H&#10;tvv79Cxc4Dizo9lv2uXZO3HEmMZACspZAQKpD2akQcFm/fbwDCJlTUa7QKjgggmW3e1NqxsTTvSB&#10;x1UeBJdQarQCm/PUSJl6i16nWZiQ+LYP0evMMg7SRH3icu/kvChq6fVI/MHqCV8t9l+rg1ewHfx1&#10;+1lO0RrvKnq/XtabMCp1f1cWCxAZz/kvDD/4jA4dM+3CgUwSjnU15y1ZQV3VNQhOPP06O3ZeHiuQ&#10;XSv/b+i+AVBLAwQUAAAACACHTuJAZPcJcFICAACRBAAADgAAAGRycy9lMm9Eb2MueG1srVTBbhMx&#10;EL0j8Q+W73Q3bVrSqJsqtApCqmilgjg7Xm92Ja/H2E52ywfAH3Diwp3vynfw7E3aUjj0wB6c8cx4&#10;Zt6bmZyd961mG+V8Q6bgo4OcM2UklY1ZFfzjh8WrCWc+CFMKTUYV/E55fj57+eKss1N1SDXpUjmG&#10;IMZPO1vwOgQ7zTIva9UKf0BWGRgrcq0IuLpVVjrRIXqrs8M8P8k6cqV1JJX30F4ORr6L6J4TkKqq&#10;keqS5LpVJgxRndIiAJKvG+v5LFVbVUqG66ryKjBdcCAN6UQSyMt4ZrMzMV05YetG7koQzynhCaZW&#10;NAZJ70NdiiDY2jV/hWob6chTFQ4ktdkAJDECFKP8CTe3tbAqYQHV3t6T7v9fWPl+c+NYUxZ8MubM&#10;iBYd337/tv3xa/vzK4MOBHXWT+F3a+EZ+jfUY2z2eg9lxN1Xro2/QMRgB7139/SqPjAJ5dFklOPj&#10;TMJ2lJ9OJon/7OG1dT68VdSyKBTcoX2JVbG58gGVwHXvEpN50k25aLROF7daXmjHNgKtXqQvFokn&#10;f7hpw7qCnxwd5ymyofh+8NMG7hHsACpKoV/2OwaWVN6BAEfDDHkrFw2qvBI+3AiHoQEwrFW4xlFp&#10;QhLaSZzV5L78Sx/90UtYOeswhAX3n9fCKc70O4Mun47GY4QN6TI+fn2Ii3tsWT62mHV7QQA/wgJb&#10;mcToH/RerBy1n7B985gVJmEkchc87MWLMKwGtleq+Tw5YU6tCFfm1soYOlJtaL4OVDWpJZGmgZsd&#10;e5jURPtuq+IqPL4nr4d/k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IWFW9UAAAALAQAADwAA&#10;AAAAAAABACAAAAAiAAAAZHJzL2Rvd25yZXYueG1sUEsBAhQAFAAAAAgAh07iQGT3CXBSAgAAkQQA&#10;AA4AAAAAAAAAAQAgAAAAJAEAAGRycy9lMm9Eb2MueG1sUEsFBgAAAAAGAAYAWQEAAOgFA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附图1项目位置图</w:t>
                      </w:r>
                    </w:p>
                  </w:txbxContent>
                </v:textbox>
              </v:shape>
            </w:pict>
          </mc:Fallback>
        </mc:AlternateContent>
      </w:r>
    </w:p>
    <w:p>
      <w:pPr>
        <w:jc w:val="center"/>
        <w:rPr>
          <w:rFonts w:hint="eastAsia" w:ascii="Times New Roman" w:hAnsi="Times New Roman" w:eastAsia="宋体" w:cs="Times New Roman"/>
          <w:b/>
          <w:bCs/>
          <w:sz w:val="24"/>
          <w:szCs w:val="24"/>
          <w:lang w:eastAsia="zh-CN"/>
        </w:rPr>
      </w:pPr>
    </w:p>
    <w:p>
      <w:pPr>
        <w:jc w:val="center"/>
        <w:rPr>
          <w:rFonts w:hint="eastAsia" w:ascii="Times New Roman" w:hAnsi="Times New Roman" w:eastAsia="宋体" w:cs="Times New Roman"/>
          <w:b/>
          <w:bCs/>
          <w:sz w:val="24"/>
          <w:szCs w:val="24"/>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2070100</wp:posOffset>
                </wp:positionH>
                <wp:positionV relativeFrom="paragraph">
                  <wp:posOffset>734695</wp:posOffset>
                </wp:positionV>
                <wp:extent cx="657225" cy="314325"/>
                <wp:effectExtent l="27305" t="6350" r="20320" b="288925"/>
                <wp:wrapNone/>
                <wp:docPr id="6" name="圆角矩形标注 6"/>
                <wp:cNvGraphicFramePr/>
                <a:graphic xmlns:a="http://schemas.openxmlformats.org/drawingml/2006/main">
                  <a:graphicData uri="http://schemas.microsoft.com/office/word/2010/wordprocessingShape">
                    <wps:wsp>
                      <wps:cNvSpPr/>
                      <wps:spPr>
                        <a:xfrm>
                          <a:off x="0" y="0"/>
                          <a:ext cx="657225" cy="314325"/>
                        </a:xfrm>
                        <a:prstGeom prst="wedgeRoundRectCallout">
                          <a:avLst>
                            <a:gd name="adj1" fmla="val -51256"/>
                            <a:gd name="adj2" fmla="val 129191"/>
                            <a:gd name="adj3" fmla="val 16667"/>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3pt;margin-top:57.85pt;height:24.75pt;width:51.75pt;z-index:251663360;v-text-anchor:middle;mso-width-relative:page;mso-height-relative:page;" fillcolor="#5B9BD5" filled="t" stroked="t" coordsize="21600,21600" o:gfxdata="UEsDBAoAAAAAAIdO4kAAAAAAAAAAAAAAAAAEAAAAZHJzL1BLAwQUAAAACACHTuJAnKOjItcAAAAL&#10;AQAADwAAAGRycy9kb3ducmV2LnhtbE2PsU7EMBBEeyT+wVokOs6xIQZCnCtOQpSIAyHonNgkEfE6&#10;sp273N+zVFDuzGj2Tb1d/cQOLqYxoAaxKYA57IIdsdfw9vp4dQcsZYPWTAGdhpNLsG3Oz2pT2XDE&#10;F3fY555RCabKaBhynivOUzc4b9ImzA7J+wrRm0xn7LmN5kjlfuKyKBT3ZkT6MJjZ7QbXfe8Xr0Gd&#10;xPNOttjG9L5w9bnKpw/htb68EMUDsOzW/BeGX3xCh4aY2rCgTWzScC0VbclkiPIWGCVu5H0JrCVF&#10;lRJ4U/P/G5ofUEsDBBQAAAAIAIdO4kB8Bczk3AIAAMEFAAAOAAAAZHJzL2Uyb0RvYy54bWytVM1u&#10;00AQviPxDqu9t47dJG2iOlWaqAipolUL4rxZr2Oj/WN3E6c8ANw5I4G4AGfOPE4Lj8HsepOmpYce&#10;yMGZ8Yy/mfnm5/BoJThaMmNrJXOc7nYwYpKqopbzHL96ebJzgJF1RBaEK8lyfMUsPho9fXLY6CHL&#10;VKV4wQwCEGmHjc5x5ZweJomlFRPE7irNJBhLZQRxoJp5UhjSALrgSdbp9JNGmUIbRZm18HbaGnFE&#10;NI8BVGVZUzZVdCGYdC2qYZw4KMlWtbZ4FLItS0bdWVla5hDPMVTqwhOCgDzzz2R0SIZzQ3RV05gC&#10;eUwK92oSpJYQdAM1JY6ghan/gRI1Ncqq0u1SJZK2kMAIVJF27nFzWRHNQi1AtdUb0u3/g6UvlucG&#10;1UWO+xhJIqDh15/e//n28ffnH9e/vt58+XDz8zvqe54abYfgfqnPTdQsiL7oVWmE/4dy0Cpwe7Xh&#10;lq0covCy39vPsh5GFEx7aXcPZEBJbj/WxrpnTAnkhRw3rJizC7WQxQU0cUI4VwsXKCbLU+sC10XM&#10;mBRvUoxKwaF1S8LRTi/NeiFnaMiWU7btlGaDdJDGAdhy2rvj1O/392OiMS6kvE7VJ2EVr4uTmvOg&#10;mPlswg2CJHLcOx4cT9dV3nHjEjWwetl+B8aQEliiEoYXRKGhEVbOMSJ8DttJnQkl3/naPhAkBK9I&#10;wWLoDvxi2tE9cH0Hx1cxJbZqPwmmlg1RO9hwXoscH3igNRKXPgwLWwUt8O3zM9FOgZfcaraKozFT&#10;xRUMllHtxllNT2qId0qsOycG+gSVwxFyZ/AouQI6VJQwqpR599B77w+TD1aMGlhZoOrtghiGEX8u&#10;YScGabfrdzwoXZg3UMy2ZbZtkQsxUdAmmBzILoje3/G1WBolXsOtGvuoYCKSQuy2KVGZuPaUwLWj&#10;bDwObrDXmrhTeampB/eUSTVeOFXWG8padiJ/sNmhOfEK+dOxrQev28s7+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co6Mi1wAAAAsBAAAPAAAAAAAAAAEAIAAAACIAAABkcnMvZG93bnJldi54bWxQ&#10;SwECFAAUAAAACACHTuJAfAXM5NwCAADBBQAADgAAAAAAAAABACAAAAAmAQAAZHJzL2Uyb0RvYy54&#10;bWxQSwUGAAAAAAYABgBZAQAAdAYAAAAA&#10;" adj="-271,38705,14400">
                <v:fill on="t" focussize="0,0"/>
                <v:stroke weight="1pt" color="#41719C [3204]" miterlimit="8" joinstyle="miter"/>
                <v:imagedata o:title=""/>
                <o:lock v:ext="edit" aspectratio="f"/>
                <v:textbo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1983740</wp:posOffset>
                </wp:positionH>
                <wp:positionV relativeFrom="paragraph">
                  <wp:posOffset>1271270</wp:posOffset>
                </wp:positionV>
                <wp:extent cx="95250" cy="85725"/>
                <wp:effectExtent l="20320" t="19685" r="36830" b="27940"/>
                <wp:wrapNone/>
                <wp:docPr id="7" name="五角星 7"/>
                <wp:cNvGraphicFramePr/>
                <a:graphic xmlns:a="http://schemas.openxmlformats.org/drawingml/2006/main">
                  <a:graphicData uri="http://schemas.microsoft.com/office/word/2010/wordprocessingShape">
                    <wps:wsp>
                      <wps:cNvSpPr/>
                      <wps:spPr>
                        <a:xfrm>
                          <a:off x="0" y="0"/>
                          <a:ext cx="95250" cy="85725"/>
                        </a:xfrm>
                        <a:prstGeom prst="star5">
                          <a:avLst/>
                        </a:prstGeom>
                        <a:solidFill>
                          <a:srgbClr val="FF0000"/>
                        </a:solid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6.2pt;margin-top:100.1pt;height:6.75pt;width:7.5pt;z-index:251664384;v-text-anchor:middle;mso-width-relative:page;mso-height-relative:page;" fillcolor="#FF0000" filled="t" stroked="t" coordsize="95250,85725" o:gfxdata="UEsDBAoAAAAAAIdO4kAAAAAAAAAAAAAAAAAEAAAAZHJzL1BLAwQUAAAACACHTuJAKtGCFdcAAAAL&#10;AQAADwAAAGRycy9kb3ducmV2LnhtbE2Py2rDMBBF94X+g5hAd40kO8TFsRxoIdBVIKmyV6ypbWJJ&#10;xlISt1/f6apdzp3DfVTb2Q3shlPsg1cglwIY+ibY3rcK9Mfu+QVYTMZbMwSPCr4wwrZ+fKhMacPd&#10;H/B2TC0jEx9Lo6BLaSw5j02HzsRlGNHT7zNMziQ6p5bbydzJ3A08E2LNnek9JXRmxLcOm8vx6hQU&#10;K/l9kfPJrvfvWr8e9sLqnVbqaSHFBljCOf3B8FufqkNNnc7h6m1kg4JcZitCFVBMBoyIPCtIOZMi&#10;8wJ4XfH/G+ofUEsDBBQAAAAIAIdO4kAGyv9qdgIAAAMFAAAOAAAAZHJzL2Uyb0RvYy54bWytVM1u&#10;EzEQviPxDpbvdJOoIW3UTRU1CkKqaKWCODteb9aS/7CdbMpjIA7cOPYdeB6EeAw+e7dNWjj0QA6b&#10;mZ3Zmfk+f+Oz851WZCt8kNaUdHg0oEQYbitp1iX98H756oSSEJmpmLJGlPRWBHo+e/nirHVTMbKN&#10;VZXwBEVMmLaupE2MbloUgTdCs3BknTAI1tZrFuH6dVF51qK6VsVoMHhdtNZXzlsuQsDbRRekfUX/&#10;nIK2riUXC8s3WpjYVfVCsQhIoZEu0Fmetq4Fj1d1HUQkqqRAGvMTTWCv0rOYnbHp2jPXSN6PwJ4z&#10;whNMmkmDpg+lFiwysvHyr1Jacm+DreMRt7rogGRGgGI4eMLNTcOcyFhAdXAPpIf/V5a/2157IquS&#10;TigxTOPAf/74+vvuy69v38kk0dO6MEXWjbv2vRdgJqy72uv0DxRklym9faBU7CLheHk6Ho3BNUfk&#10;ZDwZjVPFYv+p8yG+EVaTZJQUuvPjzCPbXobY5d7npFbBKlktpVLZ8evVhfJky3C4y+UAv778ozRl&#10;SAuhjyYIE84g2RpSgakdYAezpoSpNXaBR597P/o6PK9JGnLBQtMNkyukWdhUy4h1UVKDgDTh/YjK&#10;pKjIEu2hJqY7bpO1stUtjsbbTrPB8aVEk0sW4jXzECnQYI3jFR61soBoe4uSxvrP/3qf8qEdRClp&#10;IXrA/7RhXlCi3hqo6nR4fIyyMTvHOC84/jCyOoyYjb6woH6IC8PxbKb8qO7N2lv9Eds+T10RYoaj&#10;d0d071zEbhlxX3Axn+c0bIZj8dLcOJ6KJ56MnW+irWWWxJ4daCk52I2sqn6P0/Id+jlrf3fN/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0YIV1wAAAAsBAAAPAAAAAAAAAAEAIAAAACIAAABkcnMv&#10;ZG93bnJldi54bWxQSwECFAAUAAAACACHTuJABsr/anYCAAADBQAADgAAAAAAAAABACAAAAAmAQAA&#10;ZHJzL2Uyb0RvYy54bWxQSwUGAAAAAAYABgBZAQAADgYAAAAA&#10;" path="m0,32743l36382,32744,47625,0,58867,32744,95249,32743,65815,52980,77058,85724,47625,65487,18191,85724,29434,52980xe">
                <v:path o:connectlocs="47625,0;0,32743;18191,85724;77058,85724;95249,32743" o:connectangles="247,164,82,82,0"/>
                <v:fill on="t" focussize="0,0"/>
                <v:stroke weight="1pt" color="#FF0000 [3204]" miterlimit="8" joinstyle="miter"/>
                <v:imagedata o:title=""/>
                <o:lock v:ext="edit" aspectratio="f"/>
              </v:shape>
            </w:pict>
          </mc:Fallback>
        </mc:AlternateContent>
      </w:r>
    </w:p>
    <w:p>
      <w:pPr>
        <w:jc w:val="center"/>
        <w:rPr>
          <w:rFonts w:hint="default"/>
        </w:rPr>
        <w:sectPr>
          <w:pgSz w:w="11906" w:h="16838"/>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rPr>
          <w:rFonts w:hint="default"/>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6817995</wp:posOffset>
                </wp:positionH>
                <wp:positionV relativeFrom="paragraph">
                  <wp:posOffset>-358775</wp:posOffset>
                </wp:positionV>
                <wp:extent cx="1146810" cy="531495"/>
                <wp:effectExtent l="953135" t="6350" r="14605" b="1138555"/>
                <wp:wrapNone/>
                <wp:docPr id="95" name="圆角矩形标注 95"/>
                <wp:cNvGraphicFramePr/>
                <a:graphic xmlns:a="http://schemas.openxmlformats.org/drawingml/2006/main">
                  <a:graphicData uri="http://schemas.microsoft.com/office/word/2010/wordprocessingShape">
                    <wps:wsp>
                      <wps:cNvSpPr/>
                      <wps:spPr>
                        <a:xfrm>
                          <a:off x="0" y="0"/>
                          <a:ext cx="1146810" cy="531495"/>
                        </a:xfrm>
                        <a:prstGeom prst="wedgeRoundRectCallout">
                          <a:avLst>
                            <a:gd name="adj1" fmla="val -129568"/>
                            <a:gd name="adj2" fmla="val 254659"/>
                            <a:gd name="adj3" fmla="val 16667"/>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imes New Roman" w:hAnsi="Times New Roman" w:eastAsia="宋体" w:cs="Times New Roman"/>
                                <w:sz w:val="44"/>
                                <w:szCs w:val="52"/>
                                <w:lang w:eastAsia="zh-CN"/>
                              </w:rPr>
                            </w:pPr>
                            <w:r>
                              <w:rPr>
                                <w:rFonts w:hint="eastAsia" w:ascii="Times New Roman" w:hAnsi="Times New Roman" w:eastAsia="宋体" w:cs="Times New Roman"/>
                                <w:sz w:val="44"/>
                                <w:szCs w:val="52"/>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536.85pt;margin-top:-28.25pt;height:41.85pt;width:90.3pt;z-index:251677696;v-text-anchor:middle;mso-width-relative:page;mso-height-relative:page;" fillcolor="#5B9BD5" filled="t" stroked="t" coordsize="21600,21600" o:gfxdata="UEsDBAoAAAAAAIdO4kAAAAAAAAAAAAAAAAAEAAAAZHJzL1BLAwQUAAAACACHTuJAXutgCdsAAAAM&#10;AQAADwAAAGRycy9kb3ducmV2LnhtbE2Py07DMBBF90j8gzVI7Fo7KWlQiFOpCBYsaZFod048JCHx&#10;ONjug7/HXZXl1Rzde6Zcnc3Ijuh8b0lCMhfAkBqre2olfGxfZ4/AfFCk1WgJJfyih1V1e1OqQtsT&#10;veNxE1oWS8gXSkIXwlRw7psOjfJzOyHF25d1RoUYXcu1U6dYbkaeCrHkRvUUFzo14XOHzbA5GAn7&#10;3Xr781Zn+89k7fDlux+asBukvL9LxBOwgOdwheGiH9Whik61PZD2bIxZ5Is8shJm2TIDdkHS7GEB&#10;rJaQ5inwquT/n6j+AFBLAwQUAAAACACHTuJAvxLtMd0CAADFBQAADgAAAGRycy9lMm9Eb2MueG1s&#10;rVTNbhMxEL4j8Q6W7+1m0yRNom6qkKgIqaJVC+LseL27Rv7DdrIpDwB3zkggLsCZM4/TwmMw9m7T&#10;9OfQAzk4453xNzPf/BwcrqVAK2Yd1yrD6W4HI6aozrkqM/z61dHOECPnicqJ0Ipl+II5fDh5+uSg&#10;NmPW1ZUWObMIQJQb1ybDlfdmnCSOVkwSt6sNU6AstJXEw9WWSW5JDehSJN1OZ5DU2ubGasqcg6/z&#10;RolbRPsYQF0UnLK5pkvJlG9QLRPEQ0qu4sbhSYy2KBj1J0XhmEciw5Cpjyc4AXkRzmRyQMalJabi&#10;tA2BPCaEOzlJwhU43UDNiSdoafk9KMmp1U4XfpdqmTSJREYgi7Rzh5vzihgWcwGqndmQ7v4fLH25&#10;OrWI5xke9TFSRELFLz9/+Pv9058vPy9/f7v6+vHq1w8ESmCqNm4MD87NqW1vDsSQ9rqwMvxDQmgd&#10;2b3YsMvWHlH4mKa9wTAF4ino+ntprwFNbl4b6/xzpiUKQoZrlpfsTC9VfgZ1nBEh9NJHlsnq2PlI&#10;d97GTPK3KUaFFFC9FRFoJ+2O+oNhW98tq+62VbffG/RH9432to3SwWCwH2wg0tYxSNexhiicFjw/&#10;4kLEiy0XM2ERRAFpPhs9m0fu4MktM6FQDZx09zuBEQKDVEADgygNFMOpEiMiSphQ6m3M+dZr94CT&#10;6LwiOWtdd+DXht2axxRu4YQs5sRVzZOoatiQ3MOUCy4zPAxA10hCBTcsThbUILASuqLpgyD59WLd&#10;NsdC5xfQXFY3U+cMPeLg75g4f0osFAoyh0XkT+AohAY6dCthVGn7/qHvwR66H7QY1TC2QNW7JbEM&#10;I/FCwVyM0l4PYH289Pr7XbjYbc1iW6OWcqahTNA6EF0Ug70X12JhtXwD+2oavIKKKAq+m6K0l5lv&#10;1glsPMqm02gGs22IP1bnhgbwQJnS06XXBd9Q1rDT8gfTHYvTbqKwPrbv0epm+07+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F7rYAnbAAAADAEAAA8AAAAAAAAAAQAgAAAAIgAAAGRycy9kb3ducmV2&#10;LnhtbFBLAQIUABQAAAAIAIdO4kC/Eu0x3QIAAMUFAAAOAAAAAAAAAAEAIAAAACoBAABkcnMvZTJv&#10;RG9jLnhtbFBLBQYAAAAABgAGAFkBAAB5BgAAAAA=&#10;" adj="-17187,65806,14400">
                <v:fill on="t" focussize="0,0"/>
                <v:stroke weight="1pt" color="#41719C [3204]" miterlimit="8" joinstyle="miter"/>
                <v:imagedata o:title=""/>
                <o:lock v:ext="edit" aspectratio="f"/>
                <v:textbox>
                  <w:txbxContent>
                    <w:p>
                      <w:pPr>
                        <w:jc w:val="center"/>
                        <w:rPr>
                          <w:rFonts w:hint="eastAsia" w:ascii="Times New Roman" w:hAnsi="Times New Roman" w:eastAsia="宋体" w:cs="Times New Roman"/>
                          <w:sz w:val="44"/>
                          <w:szCs w:val="52"/>
                          <w:lang w:eastAsia="zh-CN"/>
                        </w:rPr>
                      </w:pPr>
                      <w:r>
                        <w:rPr>
                          <w:rFonts w:hint="eastAsia" w:ascii="Times New Roman" w:hAnsi="Times New Roman" w:eastAsia="宋体" w:cs="Times New Roman"/>
                          <w:sz w:val="44"/>
                          <w:szCs w:val="52"/>
                          <w:lang w:eastAsia="zh-CN"/>
                        </w:rPr>
                        <w:t>本项目</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5751830</wp:posOffset>
                </wp:positionH>
                <wp:positionV relativeFrom="paragraph">
                  <wp:posOffset>1062990</wp:posOffset>
                </wp:positionV>
                <wp:extent cx="258445" cy="262255"/>
                <wp:effectExtent l="6350" t="6985" r="20955" b="35560"/>
                <wp:wrapNone/>
                <wp:docPr id="96" name="五角星 96"/>
                <wp:cNvGraphicFramePr/>
                <a:graphic xmlns:a="http://schemas.openxmlformats.org/drawingml/2006/main">
                  <a:graphicData uri="http://schemas.microsoft.com/office/word/2010/wordprocessingShape">
                    <wps:wsp>
                      <wps:cNvSpPr/>
                      <wps:spPr>
                        <a:xfrm>
                          <a:off x="0" y="0"/>
                          <a:ext cx="258445" cy="262255"/>
                        </a:xfrm>
                        <a:prstGeom prst="star5">
                          <a:avLst>
                            <a:gd name="adj" fmla="val 50000"/>
                            <a:gd name="hf" fmla="val 105146"/>
                            <a:gd name="vf" fmla="val 110557"/>
                          </a:avLst>
                        </a:prstGeom>
                        <a:solidFill>
                          <a:srgbClr val="FF0000"/>
                        </a:solid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2.9pt;margin-top:83.7pt;height:20.65pt;width:20.35pt;z-index:251678720;v-text-anchor:middle;mso-width-relative:page;mso-height-relative:page;" fillcolor="#FF0000" filled="t" stroked="t" coordsize="258445,262255" o:gfxdata="UEsDBAoAAAAAAIdO4kAAAAAAAAAAAAAAAAAEAAAAZHJzL1BLAwQUAAAACACHTuJAB0Qd3tgAAAAL&#10;AQAADwAAAGRycy9kb3ducmV2LnhtbE2PMW/CMBSE90r9D9ar1KUqNiiEEOIwVGWuCizdTGziqPZz&#10;iB0I/76vUzue7nT3XbWdvGNXM8QuoIT5TAAz2ATdYSvheNi9FsBiUqiVC2gk3E2Ebf34UKlShxt+&#10;mus+tYxKMJZKgk2pLzmPjTVexVnoDZJ3DoNXieTQcj2oG5V7xxdC5NyrDmnBqt68WdN870cvQfCX&#10;e9FlYrx8fcTLtDu67N06KZ+f5mIDLJkp/YXhF5/QoSamUxhRR+YkrMWS0BMZ+SoDRol1li+BnSQs&#10;RLECXlf8/4f6B1BLAwQUAAAACACHTuJASDIuCaoCAAB5BQAADgAAAGRycy9lMm9Eb2MueG1srVTN&#10;bhMxEL4j8Q6W73STVbY/UTdV1CgIqaKVCuLseL3ZRf7Ddn7KYyAO3HrkHXgehHgMPns3aVo49EAO&#10;mxnPeGa+bzxzfrFVkqyF863RJR0eDSgRmpuq1cuSvn83f3VKiQ9MV0waLUp6Jzy9mLx8cb6xY5Gb&#10;xshKOIIg2o83tqRNCHacZZ43QjF/ZKzQMNbGKRagumVWObZBdCWzfDA4zjbGVdYZLrzH6awz0j6i&#10;e05AU9ctFzPDV0ro0EV1QrIASL5praeTVG1dCx6u69qLQGRJgTSkL5JAXsRvNjln46Vjtml5XwJ7&#10;TglPMCnWaiTdh5qxwMjKtX+FUi13xps6HHGjsg5IYgQohoMn3Nw2zIqEBVR7uyfd/7+w/O36xpG2&#10;KunZMSWaKXT854+vv79/+fXtnuAMBG2sH8Pv1t64XvMQI9pt7VT8Bw6yTaTe7UkV20A4DvPidDQq&#10;KOEw5cd5XhQxZvZw2TofXgujSBRKirfnisQlW1/5kEit+spY9ZGSWkm0aM0kKQb49S3cuTT1ocdw&#10;UAxHCQRas3NZP3aBT3HS19SnRHW7qmJ+b2RbzVspk+KWi0vpCAoo6Xy+KwFXHrlJTTYYr/wEFRLO&#10;MCg1HihEZUG210tKmFxiAnlwCe2j2/55SWKRM+abrpgUoaNDtQFDKltV0tNYYWIJJUodIYg0GCA3&#10;NiJ2t+tnlBamusODcKabFG/5vEWSK+bDDXPgHWiwPMI1PrU0gGh6iZLGuM//Oo/+eLGwUrLBqAH+&#10;pxVzghL5RuMtnw1HozibSRkVJzkUd2hZHFr0Sl0aUD/EmrI8idE/yJ1YO6M+YMdMY1aYmObI3RHd&#10;K5ehWwHYUlxMp8kN82hZuNK3lsfgkSdtpqtg6nbPU8dOTxomMr3jfnvEkT/Uk9fDxpz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dEHd7YAAAACwEAAA8AAAAAAAAAAQAgAAAAIgAAAGRycy9kb3du&#10;cmV2LnhtbFBLAQIUABQAAAAIAIdO4kBIMi4JqgIAAHkFAAAOAAAAAAAAAAEAIAAAACcBAABkcnMv&#10;ZTJvRG9jLnhtbFBLBQYAAAAABgAGAFkBAABDBgAAAAA=&#10;" path="m0,100172l49358,27686,129222,0,209086,27686,258444,100172,258444,189769,209086,262254,129222,289941,49358,262254,0,189769xe">
                <v:path o:connectlocs="129222,0;0,100172;49358,262254;209086,262254;258444,100172" o:connectangles="247,164,82,82,0"/>
                <v:fill on="t" focussize="0,0"/>
                <v:stroke weight="1pt" color="#FF0000 [3204]" miterlimit="8" joinstyle="miter"/>
                <v:imagedata o:title=""/>
                <o:lock v:ext="edit" aspectratio="f"/>
              </v:shape>
            </w:pict>
          </mc:Fallback>
        </mc:AlternateContent>
      </w:r>
      <w:r>
        <w:drawing>
          <wp:anchor distT="0" distB="0" distL="114300" distR="114300" simplePos="0" relativeHeight="251672576" behindDoc="0" locked="0" layoutInCell="1" allowOverlap="1">
            <wp:simplePos x="0" y="0"/>
            <wp:positionH relativeFrom="column">
              <wp:posOffset>4297045</wp:posOffset>
            </wp:positionH>
            <wp:positionV relativeFrom="paragraph">
              <wp:posOffset>2214245</wp:posOffset>
            </wp:positionV>
            <wp:extent cx="4982845" cy="3609975"/>
            <wp:effectExtent l="0" t="0" r="8255" b="9525"/>
            <wp:wrapNone/>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39"/>
                    <a:stretch>
                      <a:fillRect/>
                    </a:stretch>
                  </pic:blipFill>
                  <pic:spPr>
                    <a:xfrm>
                      <a:off x="0" y="0"/>
                      <a:ext cx="4982845" cy="3609975"/>
                    </a:xfrm>
                    <a:prstGeom prst="rect">
                      <a:avLst/>
                    </a:prstGeom>
                    <a:noFill/>
                    <a:ln>
                      <a:noFill/>
                    </a:ln>
                  </pic:spPr>
                </pic:pic>
              </a:graphicData>
            </a:graphic>
          </wp:anchor>
        </w:drawing>
      </w:r>
      <w:r>
        <w:drawing>
          <wp:anchor distT="0" distB="0" distL="114300" distR="114300" simplePos="0" relativeHeight="251674624" behindDoc="0" locked="0" layoutInCell="1" allowOverlap="1">
            <wp:simplePos x="0" y="0"/>
            <wp:positionH relativeFrom="column">
              <wp:posOffset>4635500</wp:posOffset>
            </wp:positionH>
            <wp:positionV relativeFrom="paragraph">
              <wp:posOffset>-133350</wp:posOffset>
            </wp:positionV>
            <wp:extent cx="2734310" cy="2774315"/>
            <wp:effectExtent l="9525" t="9525" r="18415" b="16510"/>
            <wp:wrapNone/>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40"/>
                    <a:stretch>
                      <a:fillRect/>
                    </a:stretch>
                  </pic:blipFill>
                  <pic:spPr>
                    <a:xfrm>
                      <a:off x="0" y="0"/>
                      <a:ext cx="2734310" cy="2774315"/>
                    </a:xfrm>
                    <a:prstGeom prst="rect">
                      <a:avLst/>
                    </a:prstGeom>
                    <a:noFill/>
                    <a:ln>
                      <a:solidFill>
                        <a:srgbClr val="FF0000"/>
                      </a:solidFill>
                    </a:ln>
                  </pic:spPr>
                </pic:pic>
              </a:graphicData>
            </a:graphic>
          </wp:anchor>
        </w:drawing>
      </w:r>
      <w:r>
        <w:rPr>
          <w:sz w:val="32"/>
        </w:rPr>
        <mc:AlternateContent>
          <mc:Choice Requires="wps">
            <w:drawing>
              <wp:anchor distT="0" distB="0" distL="114300" distR="114300" simplePos="0" relativeHeight="251673600" behindDoc="0" locked="0" layoutInCell="1" allowOverlap="1">
                <wp:simplePos x="0" y="0"/>
                <wp:positionH relativeFrom="column">
                  <wp:posOffset>2214880</wp:posOffset>
                </wp:positionH>
                <wp:positionV relativeFrom="paragraph">
                  <wp:posOffset>3297555</wp:posOffset>
                </wp:positionV>
                <wp:extent cx="124460" cy="154940"/>
                <wp:effectExtent l="6350" t="6350" r="21590" b="10160"/>
                <wp:wrapNone/>
                <wp:docPr id="91" name="文本框 91"/>
                <wp:cNvGraphicFramePr/>
                <a:graphic xmlns:a="http://schemas.openxmlformats.org/drawingml/2006/main">
                  <a:graphicData uri="http://schemas.microsoft.com/office/word/2010/wordprocessingShape">
                    <wps:wsp>
                      <wps:cNvSpPr txBox="1"/>
                      <wps:spPr>
                        <a:xfrm>
                          <a:off x="0" y="0"/>
                          <a:ext cx="124460" cy="15494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59.65pt;height:12.2pt;width:9.8pt;z-index:251673600;mso-width-relative:page;mso-height-relative:page;" filled="f" stroked="t" coordsize="21600,21600" o:gfxdata="UEsDBAoAAAAAAIdO4kAAAAAAAAAAAAAAAAAEAAAAZHJzL1BLAwQUAAAACACHTuJAFGXVuNoAAAAL&#10;AQAADwAAAGRycy9kb3ducmV2LnhtbE2PzU7DMBCE70i8g7VI3KiTJqQhxKnE77FAmktv29gkofE6&#10;st20vD3mBMedHc18U67PemSzsm4wJCBeRMAUtUYO1Aloti83OTDnkSSOhpSAb+VgXV1elFhIc6IP&#10;Nde+YyGEXIECeu+ngnPX9kqjW5hJUfh9GqvRh9N2XFo8hXA98mUUZVzjQKGhx0k99qo91Ect4GGX&#10;vW6frORfy/e3pn7eHDTOjRDXV3F0D8yrs/8zwy9+QIcqMO3NkaRjo4AkzQO6F3Ab3yXAgiPJ8hTY&#10;PihpsgJelfz/huoHUEsDBBQAAAAIAIdO4kDsuqkvUgIAAJEEAAAOAAAAZHJzL2Uyb0RvYy54bWyt&#10;VM1uEzEQviPxDpbvdDdR2pKomyq0CkKqaKWCODteb9aS/7Cd7JYHgDfg1At3nqvPwWdv0kaFQw/k&#10;4IxnxjPzfTOzZ+e9VmQrfJDWVHR0VFIiDLe1NOuKfv60fPOWkhCZqZmyRlT0TgR6Pn/96qxzMzG2&#10;rVW18ARBTJh1rqJtjG5WFIG3QrNwZJ0wMDbWaxZx9eui9qxDdK2KcVmeFJ31tfOWixCgvRyMdBfR&#10;vySgbRrJxaXlGy1MHKJ6oVgEpNBKF+g8V9s0gsfrpgkiElVRII35RBLIq3QW8zM2W3vmWsl3JbCX&#10;lPAMk2bSIOljqEsWGdl4+VcoLbm3wTbxiFtdDEAyI0AxKp9xc9syJzIWUB3cI+nh/4XlH7c3nsi6&#10;otMRJYZpdPzh54+H+98Pv74T6EBQ58IMfrcOnrF/Z3uMzV4foEy4+8br9A9EBHbQe/dIr+gj4enR&#10;eDI5gYXDNDqeTCeZ/uLpsfMhvhdWkyRU1KN7mVS2vQoRhcB175JyGbuUSuUOKkO6lOC0LPOLYJWs&#10;kzX5Bb9eXShPtgxDsFyW+KXyEe3ADTdloExgB1BJiv2q3zGwsvUdCPB2mKHg+FKizCsW4g3zGBog&#10;w1rFaxyNsijH7iRKWuu//Uuf/NFLWCnpMIQVDV83zAtK1AeDLk9HE5BEYr5Mjk/HuPhDy+rQYjb6&#10;wgIiGonqspj8o9qLjbf6C7ZvkbLCxAxH7orGvXgRh9XA9nKxWGQnzKlj8crcOp5CD8QvNtE2Mvck&#10;0TRws2MPk5rJ3W1VWoXDe/Z6+pL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ZdW42gAAAAsB&#10;AAAPAAAAAAAAAAEAIAAAACIAAABkcnMvZG93bnJldi54bWxQSwECFAAUAAAACACHTuJA7LqpL1IC&#10;AACRBAAADgAAAAAAAAABACAAAAApAQAAZHJzL2Uyb0RvYy54bWxQSwUGAAAAAAYABgBZAQAA7QUA&#10;AAAA&#10;">
                <v:fill on="f" focussize="0,0"/>
                <v:stroke weight="1pt" color="#FF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2823210</wp:posOffset>
                </wp:positionH>
                <wp:positionV relativeFrom="paragraph">
                  <wp:posOffset>5808345</wp:posOffset>
                </wp:positionV>
                <wp:extent cx="3810000" cy="445770"/>
                <wp:effectExtent l="0" t="0" r="0" b="11430"/>
                <wp:wrapNone/>
                <wp:docPr id="89" name="文本框 89"/>
                <wp:cNvGraphicFramePr/>
                <a:graphic xmlns:a="http://schemas.openxmlformats.org/drawingml/2006/main">
                  <a:graphicData uri="http://schemas.microsoft.com/office/word/2010/wordprocessingShape">
                    <wps:wsp>
                      <wps:cNvSpPr txBox="1"/>
                      <wps:spPr>
                        <a:xfrm>
                          <a:off x="0" y="0"/>
                          <a:ext cx="3810000" cy="445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附图2 本项目用地规划图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3pt;margin-top:457.35pt;height:35.1pt;width:300pt;z-index:251670528;mso-width-relative:page;mso-height-relative:page;" fillcolor="#FFFFFF [3201]" filled="t" stroked="f" coordsize="21600,21600" o:gfxdata="UEsDBAoAAAAAAIdO4kAAAAAAAAAAAAAAAAAEAAAAZHJzL1BLAwQUAAAACACHTuJAsxpCG9UAAAAM&#10;AQAADwAAAGRycy9kb3ducmV2LnhtbE2Py07DMBBF90j8gzVI7KgdZJU2xOkCiS0SbenajadxhD2O&#10;bPf59XW7geXcObpzplmcvGMHjGkIpKCaCGBIXTAD9QrWq8+XGbCUNRntAqGCMyZYtI8Pja5NONI3&#10;Hpa5Z6WEUq0V2JzHmvPUWfQ6TcKIVHa7EL3OZYw9N1EfS7l3/FWIKfd6oHLB6hE/LHa/y71XsOn9&#10;ZfNTjdEa7yR9Xc6rdRiUen6qxDuwjKf8B8NNv6hDW5y2YU8mMadASjktqIJ5Jd+A3Qhxj7Ylmsk5&#10;8Lbh/59or1BLAwQUAAAACACHTuJARSUZFFECAACRBAAADgAAAGRycy9lMm9Eb2MueG1srVTBbhMx&#10;EL0j8Q+W73STNi1t1E0VWgUhVbRSQZwdrze7ku0xtpPd8gHwB5y4cOe7+h08e5O2FA49sAdnPDOe&#10;mfdmJqdnvdFso3xoyZZ8vDfiTFlJVWtXJf/4YfHqmLMQha2EJqtKfqsCP5u9fHHauanap4Z0pTxD&#10;EBumnSt5E6ObFkWQjTIi7JFTFsaavBERV78qKi86RDe62B+NjoqOfOU8SRUCtBeDkW8j+ucEpLpu&#10;pboguTbKxiGqV1pEQApN6wKf5WrrWsl4VddBRaZLDqQxn0gCeZnOYnYqpisvXNPKbQniOSU8wWRE&#10;a5H0PtSFiIKtfftXKNNKT4HquCfJFAOQzAhQjEdPuLlphFMZC6gO7p708P/Cyveba8/aquTHJ5xZ&#10;YdDxu+/f7n78uvv5lUEHgjoXpvC7cfCM/RvqMTY7fYAy4e5rb9IvEDHYQe/tPb2qj0xCeXA8HuHj&#10;TMI2mRy+fp35Lx5eOx/iW0WGJaHkHu3LrIrNZYioBK47l5QskG6rRat1vvjV8lx7thFo9SJ/qUg8&#10;+cNNW9aV/OjgcJQjW0rvBz9t4Z7ADqCSFPtlv2VgSdUtCPA0zFBwctGiyksR4rXwGBoAw1rFKxy1&#10;JiShrcRZQ/7Lv/TJH72ElbMOQ1jy8HktvOJMv7Po8sl4MkHYmC8gbB8X/9iyfGyxa3NOAD/GAjuZ&#10;xeQf9U6sPZlP2L55ygqTsBK5Sx534nkcVgPbK9V8np0wp07ES3vjZAqdqLY0X0eq29ySRNPAzZY9&#10;TGqmfbtVaRUe37PXwz/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zGkIb1QAAAAwBAAAPAAAA&#10;AAAAAAEAIAAAACIAAABkcnMvZG93bnJldi54bWxQSwECFAAUAAAACACHTuJARSUZFFECAACRBAAA&#10;DgAAAAAAAAABACAAAAAkAQAAZHJzL2Uyb0RvYy54bWxQSwUGAAAAAAYABgBZAQAA5wU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附图2 本项目用地规划图</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2351405</wp:posOffset>
                </wp:positionH>
                <wp:positionV relativeFrom="paragraph">
                  <wp:posOffset>2632075</wp:posOffset>
                </wp:positionV>
                <wp:extent cx="2307590" cy="857250"/>
                <wp:effectExtent l="1905" t="5715" r="14605" b="13335"/>
                <wp:wrapNone/>
                <wp:docPr id="94" name="直接连接符 94"/>
                <wp:cNvGraphicFramePr/>
                <a:graphic xmlns:a="http://schemas.openxmlformats.org/drawingml/2006/main">
                  <a:graphicData uri="http://schemas.microsoft.com/office/word/2010/wordprocessingShape">
                    <wps:wsp>
                      <wps:cNvCnPr/>
                      <wps:spPr>
                        <a:xfrm flipH="1">
                          <a:off x="0" y="0"/>
                          <a:ext cx="2307590" cy="85725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5.15pt;margin-top:207.25pt;height:67.5pt;width:181.7pt;z-index:251676672;mso-width-relative:page;mso-height-relative:page;" filled="f" stroked="t" coordsize="21600,21600" o:gfxdata="UEsDBAoAAAAAAIdO4kAAAAAAAAAAAAAAAAAEAAAAZHJzL1BLAwQUAAAACACHTuJAUBjnzNsAAAAL&#10;AQAADwAAAGRycy9kb3ducmV2LnhtbE2Py07DMBBF90j8gzVI7KhtnJCSxqkQUjc8FqRl78bTJEps&#10;h9htwt9jVrAc3aN7zxTbxQzkgpPvnJXAVwwI2trpzjYSDvvd3RqID8pqNTiLEr7Rw7a8vipUrt1s&#10;P/BShYbEEutzJaENYcwp9XWLRvmVG9HG7OQmo0I8p4bqSc2x3Az0nrEHalRn40KrRnxuse6rs5Gw&#10;F0/v1fT2yud+7ZbkZdfzr8+DlLc3nG2ABFzCHwy/+lEdyuh0dGerPRkkiIyJiEpIeJICiUQmRAbk&#10;KCFNHlOgZUH//1D+AFBLAwQUAAAACACHTuJAkytBkvYBAADDAwAADgAAAGRycy9lMm9Eb2MueG1s&#10;rVPNbhMxEL4j9R0s38lul4a0q2x6aBQ4IIhU+gCO19615D953GzyErwAEjc4ceTO29A+BmNvmkK5&#10;9MAeLHt+vpnvm9n55c5oshUBlLMNPZ2UlAjLXats19Cbj6uX55RAZLZl2lnR0L0Aerk4eTEffC0q&#10;1zvdikAQxEI9+Ib2Mfq6KID3wjCYOC8sOqULhkV8hq5oAxsQ3eiiKsvXxeBC64PjAgCty9FJD4jh&#10;OYBOSsXF0vFbI2wcUYPQLCIl6JUHusjdSil4/CAliEh0Q5FpzCcWwfsmncVizuouMN8rfmiBPaeF&#10;J5wMUxaLHqGWLDJyG9Q/UEbx4MDJOOHOFCORrAiyOC2faHPdMy8yF5Qa/FF0+H+w/P12HYhqG3px&#10;RollBid+9/nHr09f739+wfPu+zeCHpRp8FBj9JVdh8ML/DokzjsZDJFa+be4T1kF5EV2WeT9UWSx&#10;i4SjsXpVzqYXqD9H3/l0Vk3zFIoRJ+H5APGNcIakS0O1skkEVrPtO4hYG0MfQpLZupXSOg9SWzJg&#10;D9WsTPgMt1PiVuDVeGQItqOE6Q7XnseQIcFp1ab0BASh21zpQLYMl2W1KvFLxLHcX2Gp9pJBP8Zl&#10;17hGRkX8M7QyyCslP2RriyBJvlGwdNu4dp91zHacbS5z2MO0PH++c/bjv7f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Y58zbAAAACwEAAA8AAAAAAAAAAQAgAAAAIgAAAGRycy9kb3ducmV2Lnht&#10;bFBLAQIUABQAAAAIAIdO4kCTK0GS9gEAAMMDAAAOAAAAAAAAAAEAIAAAACoBAABkcnMvZTJvRG9j&#10;LnhtbFBLBQYAAAAABgAGAFkBAACSBQAAAAA=&#10;">
                <v:fill on="f" focussize="0,0"/>
                <v:stroke weight="1pt" color="#FF0000 [3200]" miterlimit="8" joinstyle="miter"/>
                <v:imagedata o:title=""/>
                <o:lock v:ext="edit" aspectratio="f"/>
              </v:lin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2372995</wp:posOffset>
                </wp:positionH>
                <wp:positionV relativeFrom="paragraph">
                  <wp:posOffset>-108585</wp:posOffset>
                </wp:positionV>
                <wp:extent cx="2264410" cy="3404870"/>
                <wp:effectExtent l="5080" t="3810" r="16510" b="20320"/>
                <wp:wrapNone/>
                <wp:docPr id="93" name="直接连接符 93"/>
                <wp:cNvGraphicFramePr/>
                <a:graphic xmlns:a="http://schemas.openxmlformats.org/drawingml/2006/main">
                  <a:graphicData uri="http://schemas.microsoft.com/office/word/2010/wordprocessingShape">
                    <wps:wsp>
                      <wps:cNvCnPr/>
                      <wps:spPr>
                        <a:xfrm flipH="1">
                          <a:off x="0" y="0"/>
                          <a:ext cx="2264410" cy="340487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6.85pt;margin-top:-8.55pt;height:268.1pt;width:178.3pt;z-index:251675648;mso-width-relative:page;mso-height-relative:page;" filled="f" stroked="t" coordsize="21600,21600" o:gfxdata="UEsDBAoAAAAAAIdO4kAAAAAAAAAAAAAAAAAEAAAAZHJzL1BLAwQUAAAACACHTuJAsz7EltoAAAAL&#10;AQAADwAAAGRycy9kb3ducmV2LnhtbE2PwU7DMBBE70j8g7VI3FrbGEgb4lQIqRegB9Jyd+NtEiW2&#10;g+024e8xJziu5mnmbbGZzUAu6EPnrAS+ZEDQ1k53tpFw2G8XKyAhKqvV4CxK+MYAm/L6qlC5dpP9&#10;wEsVG5JKbMiVhDbGMac01C0aFZZuRJuyk/NGxXT6hmqvplRuBnrH2CM1qrNpoVUjvrRY99XZSNiL&#10;513l39/41K/cfP+67fnX50HK2xvOnoBEnOMfDL/6SR3K5HR0Z6sDGSSITGQJlbDgGQeSiEwwAeQo&#10;4YGvOdCyoP9/KH8AUEsDBBQAAAAIAIdO4kCCZqFW9wEAAMQDAAAOAAAAZHJzL2Uyb0RvYy54bWyt&#10;U81uEzEQviP1HSzfyW62URtW2fTQKOWAIBLwAI7X3rXkP3ncbPISvAASNzhx5M7b0D5Gx940QLn0&#10;wB4se36+me+b2cXV3miyEwGUsw2dTkpKhOWuVbZr6McP65dzSiAy2zLtrGjoQQC9Wp69WAy+FpXr&#10;nW5FIAhioR58Q/sYfV0UwHthGEycFxad0gXDIj5DV7SBDYhudFGV5UUxuND64LgAQOtqdNIjYngO&#10;oJNScbFy/NYIG0fUIDSLSAl65YEuc7dSCh7fSQkiEt1QZBrziUXwvk1nsVywugvM94ofW2DPaeEJ&#10;J8OUxaInqBWLjNwG9Q+UUTw4cDJOuDPFSCQrgiym5RNt3vfMi8wFpQZ/Eh3+Hyx/u9sEotqGvjqn&#10;xDKDE7/7/OPXp6/3P7/geff9G0EPyjR4qDH62m7C8QV+ExLnvQyGSK38a9ynrALyIvss8uEksthH&#10;wtFYVRez2RT15+g7n5Wz+WUeQzECJUAfIN4IZ0i6NFQrm1RgNdu9gYjFMfQxJJmtWyut8yS1JQM2&#10;UV2WqQDD9ZS4Fng1HimC7ShhusO95zFkSHBatSk9AUHottc6kB3DbVmvS/wScyz3V1iqvWLQj3HZ&#10;Ne6RURF/Da1MQ+cp+TFbWwRJ+o2KpdvWtYcsZLbjcHOZ4yKm7fnznbN//3z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M+xJbaAAAACwEAAA8AAAAAAAAAAQAgAAAAIgAAAGRycy9kb3ducmV2Lnht&#10;bFBLAQIUABQAAAAIAIdO4kCCZqFW9wEAAMQDAAAOAAAAAAAAAAEAIAAAACkBAABkcnMvZTJvRG9j&#10;LnhtbFBLBQYAAAAABgAGAFkBAACSBQAAAAA=&#10;">
                <v:fill on="f" focussize="0,0"/>
                <v:stroke weight="1pt" color="#FF0000 [3200]" miterlimit="8" joinstyle="miter"/>
                <v:imagedata o:title=""/>
                <o:lock v:ext="edit" aspectratio="f"/>
              </v:line>
            </w:pict>
          </mc:Fallback>
        </mc:AlternateContent>
      </w:r>
      <w:r>
        <w:drawing>
          <wp:anchor distT="0" distB="0" distL="114300" distR="114300" simplePos="0" relativeHeight="251671552" behindDoc="1" locked="0" layoutInCell="1" allowOverlap="1">
            <wp:simplePos x="0" y="0"/>
            <wp:positionH relativeFrom="column">
              <wp:posOffset>79375</wp:posOffset>
            </wp:positionH>
            <wp:positionV relativeFrom="paragraph">
              <wp:posOffset>-688975</wp:posOffset>
            </wp:positionV>
            <wp:extent cx="5777865" cy="6549390"/>
            <wp:effectExtent l="0" t="0" r="13335" b="3810"/>
            <wp:wrapNone/>
            <wp:docPr id="90" name="图片 8" descr="F:\自己用资料\环评\导则、法规\新乡县土地利用规划.jpg新乡县土地利用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 descr="F:\自己用资料\环评\导则、法规\新乡县土地利用规划.jpg新乡县土地利用规划"/>
                    <pic:cNvPicPr>
                      <a:picLocks noChangeAspect="1"/>
                    </pic:cNvPicPr>
                  </pic:nvPicPr>
                  <pic:blipFill>
                    <a:blip r:embed="rId41"/>
                    <a:srcRect/>
                    <a:stretch>
                      <a:fillRect/>
                    </a:stretch>
                  </pic:blipFill>
                  <pic:spPr>
                    <a:xfrm>
                      <a:off x="0" y="0"/>
                      <a:ext cx="5777865" cy="6549390"/>
                    </a:xfrm>
                    <a:prstGeom prst="rect">
                      <a:avLst/>
                    </a:prstGeom>
                    <a:noFill/>
                    <a:ln>
                      <a:noFill/>
                    </a:ln>
                  </pic:spPr>
                </pic:pic>
              </a:graphicData>
            </a:graphic>
          </wp:anchor>
        </w:drawing>
      </w:r>
      <w:r>
        <w:rPr>
          <w:rFonts w:hint="default"/>
          <w:lang w:val="en-US" w:eastAsia="zh-CN"/>
        </w:rPr>
        <w:br w:type="page"/>
      </w:r>
    </w:p>
    <w:p>
      <w:pPr>
        <w:bidi w:val="0"/>
        <w:rPr>
          <w:rFonts w:hint="default"/>
          <w:lang w:val="en-US" w:eastAsia="zh-CN"/>
        </w:rPr>
      </w:pPr>
      <w:r>
        <w:rPr>
          <w:rFonts w:hint="default"/>
          <w:lang w:val="en-US" w:eastAsia="zh-CN"/>
        </w:rPr>
        <w:pict>
          <v:shape id="_x0000_s1032" o:spid="_x0000_s1032" o:spt="75" type="#_x0000_t75" style="position:absolute;left:0pt;margin-left:-43.9pt;margin-top:-13.95pt;height:403.8pt;width:772.75pt;z-index:-251648000;mso-width-relative:page;mso-height-relative:page;" o:ole="t" filled="f" o:preferrelative="t" stroked="f" coordsize="21600,21600">
            <v:path/>
            <v:fill on="f" focussize="0,0"/>
            <v:stroke on="f"/>
            <v:imagedata r:id="rId43" o:title=""/>
            <o:lock v:ext="edit" aspectratio="t"/>
          </v:shape>
          <o:OLEObject Type="Embed" ProgID="Visio.Drawing.15" ShapeID="_x0000_s1032" DrawAspect="Content" ObjectID="_1468075727" r:id="rId42">
            <o:LockedField>false</o:LockedField>
          </o:OLEObject>
        </w:pict>
      </w:r>
    </w:p>
    <w:p>
      <w:pPr>
        <w:rPr>
          <w:rFonts w:hint="eastAsia" w:eastAsia="宋体"/>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2513965</wp:posOffset>
                </wp:positionH>
                <wp:positionV relativeFrom="paragraph">
                  <wp:posOffset>4896485</wp:posOffset>
                </wp:positionV>
                <wp:extent cx="3810000" cy="485775"/>
                <wp:effectExtent l="0" t="0" r="0" b="9525"/>
                <wp:wrapNone/>
                <wp:docPr id="88" name="文本框 88"/>
                <wp:cNvGraphicFramePr/>
                <a:graphic xmlns:a="http://schemas.openxmlformats.org/drawingml/2006/main">
                  <a:graphicData uri="http://schemas.microsoft.com/office/word/2010/wordprocessingShape">
                    <wps:wsp>
                      <wps:cNvSpPr txBox="1"/>
                      <wps:spPr>
                        <a:xfrm>
                          <a:off x="0" y="0"/>
                          <a:ext cx="38100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附图3 周围环境示意图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95pt;margin-top:385.55pt;height:38.25pt;width:300pt;z-index:251669504;mso-width-relative:page;mso-height-relative:page;" fillcolor="#FFFFFF [3201]" filled="t" stroked="f" coordsize="21600,21600" o:gfxdata="UEsDBAoAAAAAAIdO4kAAAAAAAAAAAAAAAAAEAAAAZHJzL1BLAwQUAAAACACHTuJAV16fSNcAAAAL&#10;AQAADwAAAGRycy9kb3ducmV2LnhtbE2Py07DMBBF90j8gzVI7KhjKE2TZtIFElsk2tK1G5s4qj2O&#10;bPf59Rg2dDkzR3fObZZnZ9lRhzh4QhCTApimzquBeoTN+v1pDiwmSUpaTxrhoiMs2/u7RtbKn+hT&#10;H1epZzmEYi0RTEpjzXnsjHYyTvyoKd++fXAy5TH0XAV5yuHO8ueimHEnB8ofjBz1m9HdfnVwCNve&#10;XbdfYgxGOTulj+tlvfED4uODKBbAkj6nfxh+9bM6tNlp5w+kIrMIL9VrlVGEshQCWCaqv80OYT4t&#10;Z8Dbht92aH8AUEsDBBQAAAAIAIdO4kA2gB08UAIAAJEEAAAOAAAAZHJzL2Uyb0RvYy54bWytVMFu&#10;EzEQvSPxD5bvZJM2aULUTRVaBSFFtFJBnB2vnbVke4ztZDd8APwBJy7c+a5+B2Pvpi2FQw/sYTOe&#10;mX3j92Ym5xet0WQvfFBgSzoaDCkRlkOl7LakHz+sXs0oCZHZimmwoqQHEejF4uWL88bNxQnUoCvh&#10;CYLYMG9cSesY3bwoAq+FYWEATlgMSvCGRTz6bVF51iC60cXJcHhWNOAr54GLENB71QVpj+ifAwhS&#10;Ki6ugO+MsLFD9UKziJRCrVygi3xbKQWP11IGEYkuKTKN+Y1F0N6kd7E4Z/OtZ65WvL8Ce84VnnAy&#10;TFkseg91xSIjO6/+gjKKewgg44CDKToiWRFkMRo+0ea2Zk5kLih1cPeih/8Hy9/vbzxRVUln2HfL&#10;DHb87vu3ux+/7n5+JehDgRoX5ph36zAztm+gxbE5+gM6E+9WepN+kRHBOMp7uJdXtJFwdJ7ORkN8&#10;KOEYG88m0+kkwRQPXzsf4lsBhiSjpB7bl1Vl+3WIXeoxJRULoFW1Ulrng99uLrUne4atXuWnR/8j&#10;TVvSlPTsdDLMyBbS9x20tniZRLYjlazYbtpegQ1UBxTAQzdDwfGVwluuWYg3zOPQIDFcq3iNL6kB&#10;i0BvUVKD//Ivf8rHXmKUkgaHsKTh8455QYl+Z7HLr0fjMcLGfBhPpid48I8jm8cRuzOXgORHuMCO&#10;ZzPlR300pQfzCbdvmapiiFmOtUsaj+Zl7FYDt5eL5TIn4Zw6Ftf21vEEnaS2sNxFkCq3JMnUadOr&#10;h5Oam9pvVVqFx+ec9fBPs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16fSNcAAAALAQAADwAA&#10;AAAAAAABACAAAAAiAAAAZHJzL2Rvd25yZXYueG1sUEsBAhQAFAAAAAgAh07iQDaAHTxQAgAAkQQA&#10;AA4AAAAAAAAAAQAgAAAAJgEAAGRycy9lMm9Eb2MueG1sUEsFBgAAAAAGAAYAWQEAAOgFA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附图3 周围环境示意图</w:t>
                      </w:r>
                    </w:p>
                  </w:txbxContent>
                </v:textbox>
              </v:shape>
            </w:pict>
          </mc:Fallback>
        </mc:AlternateContent>
      </w:r>
      <w:r>
        <w:rPr>
          <w:rFonts w:hint="eastAsia" w:eastAsia="宋体"/>
          <w:lang w:eastAsia="zh-CN"/>
        </w:rPr>
        <w:br w:type="page"/>
      </w:r>
    </w:p>
    <w:p>
      <w:pPr>
        <w:pStyle w:val="10"/>
        <w:spacing w:line="240" w:lineRule="auto"/>
        <w:jc w:val="center"/>
        <w:rPr>
          <w:rFonts w:hint="eastAsia"/>
          <w:lang w:eastAsia="zh-CN"/>
        </w:rPr>
      </w:pPr>
      <w:r>
        <mc:AlternateContent>
          <mc:Choice Requires="wps">
            <w:drawing>
              <wp:anchor distT="0" distB="0" distL="114300" distR="114300" simplePos="0" relativeHeight="251679744" behindDoc="0" locked="0" layoutInCell="1" allowOverlap="1">
                <wp:simplePos x="0" y="0"/>
                <wp:positionH relativeFrom="column">
                  <wp:posOffset>2483485</wp:posOffset>
                </wp:positionH>
                <wp:positionV relativeFrom="paragraph">
                  <wp:posOffset>2899410</wp:posOffset>
                </wp:positionV>
                <wp:extent cx="715645" cy="278130"/>
                <wp:effectExtent l="43815" t="12700" r="21590" b="204470"/>
                <wp:wrapNone/>
                <wp:docPr id="30" name="矩形标注 30"/>
                <wp:cNvGraphicFramePr/>
                <a:graphic xmlns:a="http://schemas.openxmlformats.org/drawingml/2006/main">
                  <a:graphicData uri="http://schemas.microsoft.com/office/word/2010/wordprocessingShape">
                    <wps:wsp>
                      <wps:cNvSpPr/>
                      <wps:spPr>
                        <a:xfrm>
                          <a:off x="0" y="0"/>
                          <a:ext cx="715645" cy="278130"/>
                        </a:xfrm>
                        <a:prstGeom prst="wedgeRectCallout">
                          <a:avLst>
                            <a:gd name="adj1" fmla="val -54347"/>
                            <a:gd name="adj2" fmla="val 112556"/>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wps:txbx>
                      <wps:bodyPr anchor="ctr" anchorCtr="0" upright="0"/>
                    </wps:wsp>
                  </a:graphicData>
                </a:graphic>
              </wp:anchor>
            </w:drawing>
          </mc:Choice>
          <mc:Fallback>
            <w:pict>
              <v:shape id="_x0000_s1026" o:spid="_x0000_s1026" o:spt="61" type="#_x0000_t61" style="position:absolute;left:0pt;margin-left:195.55pt;margin-top:228.3pt;height:21.9pt;width:56.35pt;z-index:251679744;v-text-anchor:middle;mso-width-relative:page;mso-height-relative:page;" fillcolor="#FFFFFF" filled="t" stroked="t" coordsize="21600,21600" o:gfxdata="UEsDBAoAAAAAAIdO4kAAAAAAAAAAAAAAAAAEAAAAZHJzL1BLAwQUAAAACACHTuJAERHBVtcAAAAL&#10;AQAADwAAAGRycy9kb3ducmV2LnhtbE2PQU7DMBBF90jcwRokNojaIWlUQpxKFHGABg7gxtMkEI+j&#10;2G1STs90BbsZzdOf98vt4gZxxin0njQkKwUCqfG2p1bD58f74wZEiIasGTyhhgsG2Fa3N6UprJ9p&#10;j+c6toJDKBRGQxfjWEgZmg6dCSs/IvHt6CdnIq9TK+1kZg53g3xSKpfO9MQfOjPirsPmuz45DUSX&#10;OTtudmmY1fKw/3qtf9RbrfX9XaJeQERc4h8MV31Wh4qdDv5ENohBQ/qcJIxqyNZ5DoKJtUq5zOE6&#10;qAxkVcr/HapfUEsDBBQAAAAIAIdO4kBxrFplRgIAAKsEAAAOAAAAZHJzL2Uyb0RvYy54bWytVM1y&#10;0zAQvjPDO2h0b2yncdrJxOkhIVwY6FB4AEWSbTH6G0mJkyfgMWA4wZkzj0N5DVaySdPCIQd8sHel&#10;1bf7fav1/GavJNpx54XRFS5GOUZcU8OEbir8/t364hojH4hmRBrNK3zgHt8snj+bd3bGx6Y1knGH&#10;AET7WWcr3IZgZ1nmacsV8SNjuYbN2jhFAriuyZgjHaArmY3zfJp1xjHrDOXew+qq38QDojsH0NS1&#10;oHxl6FZxHXpUxyUJQMm3wnq8SNXWNafhTV17HpCsMDAN6Q1JwN7Ed7aYk1njiG0FHUog55TwhJMi&#10;QkPSI9SKBIK2TvwFpQR1xps6jKhRWU8kKQIsivyJNnctsTxxAam9PYru/x8sfb27dUiwCl+CJJoo&#10;6PivT99+/vhy//nj/fevCJZBo876GYTe2Vs3eB7MSHhfOxW/QAXtk66Ho658HxCFxauinE5KjChs&#10;ja+uix4zezhsnQ8vuVEoGhXuOGv4W+jdkkhptiEpS3avfEgSs6FOwj4UGNVKQsd2RKKLcnI5uRpa&#10;ehI0Pg0qinFZTmMQ5B8wwfpTQUzgjRRsLaRMjms2S+kQJKjwOj3D4UdhUqMOyJWTHGSkBOaihvsI&#10;prKgrddN4vDoiD9FztPzL+RY2Yr4tq8gIfQUndlqlu5vywl7oRkKBwvt0zC2OFajOMNIcpjyaKXI&#10;QIQ8JxIUkRokin3vOx2tsN/sh/ZvDDvAxSGatgbGiQaHB2cZ+vHaWieaNg1cFDuehzucZB/mLQ7J&#10;qZ+iHv4x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EcFW1wAAAAsBAAAPAAAAAAAAAAEAIAAA&#10;ACIAAABkcnMvZG93bnJldi54bWxQSwECFAAUAAAACACHTuJAcaxaZUYCAACrBAAADgAAAAAAAAAB&#10;ACAAAAAmAQAAZHJzL2Uyb0RvYy54bWxQSwUGAAAAAAYABgBZAQAA3gUAAAAA&#10;" adj="-939,35112">
                <v:fill on="t" focussize="0,0"/>
                <v:stroke weight="2pt" color="#000000" joinstyle="round"/>
                <v:imagedata o:title=""/>
                <o:lock v:ext="edit" aspectratio="f"/>
                <v:textbo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2377440</wp:posOffset>
                </wp:positionH>
                <wp:positionV relativeFrom="paragraph">
                  <wp:posOffset>3308985</wp:posOffset>
                </wp:positionV>
                <wp:extent cx="76200" cy="76200"/>
                <wp:effectExtent l="12700" t="12700" r="25400" b="25400"/>
                <wp:wrapNone/>
                <wp:docPr id="97" name="流程图: 摘录 97"/>
                <wp:cNvGraphicFramePr/>
                <a:graphic xmlns:a="http://schemas.openxmlformats.org/drawingml/2006/main">
                  <a:graphicData uri="http://schemas.microsoft.com/office/word/2010/wordprocessingShape">
                    <wps:wsp>
                      <wps:cNvSpPr/>
                      <wps:spPr>
                        <a:xfrm>
                          <a:off x="0" y="0"/>
                          <a:ext cx="76200" cy="76200"/>
                        </a:xfrm>
                        <a:prstGeom prst="flowChartExtract">
                          <a:avLst/>
                        </a:prstGeom>
                        <a:solidFill>
                          <a:srgbClr val="FF0000"/>
                        </a:solidFill>
                        <a:ln w="25400" cap="flat" cmpd="sng">
                          <a:solidFill>
                            <a:srgbClr val="FF0000"/>
                          </a:solidFill>
                          <a:prstDash val="solid"/>
                          <a:round/>
                          <a:headEnd type="none" w="med" len="med"/>
                          <a:tailEnd type="none" w="med" len="med"/>
                        </a:ln>
                      </wps:spPr>
                      <wps:txbx>
                        <w:txbxContent>
                          <w:p>
                            <w:pPr>
                              <w:jc w:val="center"/>
                            </w:pPr>
                          </w:p>
                        </w:txbxContent>
                      </wps:txbx>
                      <wps:bodyPr anchor="ctr" anchorCtr="0" upright="0"/>
                    </wps:wsp>
                  </a:graphicData>
                </a:graphic>
              </wp:anchor>
            </w:drawing>
          </mc:Choice>
          <mc:Fallback>
            <w:pict>
              <v:shape id="_x0000_s1026" o:spid="_x0000_s1026" o:spt="127" type="#_x0000_t127" style="position:absolute;left:0pt;margin-left:187.2pt;margin-top:260.55pt;height:6pt;width:6pt;z-index:251680768;v-text-anchor:middle;mso-width-relative:page;mso-height-relative:page;" fillcolor="#FF0000" filled="t" stroked="t" coordsize="21600,21600" o:gfxdata="UEsDBAoAAAAAAIdO4kAAAAAAAAAAAAAAAAAEAAAAZHJzL1BLAwQUAAAACACHTuJA7o3k7dkAAAAL&#10;AQAADwAAAGRycy9kb3ducmV2LnhtbE2PwU7DMAyG70i8Q2QkbizNOspWmk5iggOadlhh96wxbUXj&#10;lCZbx9tjTnD070+/Pxfri+vFGcfQedKgZgkIpNrbjhoN728vd0sQIRqypveEGr4xwLq8vipMbv1E&#10;ezxXsRFcQiE3GtoYh1zKULfoTJj5AYl3H350JvI4NtKOZuJy18t5kmTSmY74QmsG3LRYf1Ynp2F4&#10;3T5326dVZb/wkE37OvpN3Gl9e6OSRxARL/EPhl99VoeSnY7+RDaIXkP6sFgwquF+rhQIJtJlxsmR&#10;kzRVIMtC/v+h/AFQSwMEFAAAAAgAh07iQO/D5TQkAgAAWwQAAA4AAABkcnMvZTJvRG9jLnhtbK1U&#10;zW4TMRC+I/EOlu9k0wpaWGXTQ9JwQVCp8AAT/+xa8p9sJ7s5cubEAQmJF+AFOJa3aXkNxt6Q0nLJ&#10;gRw2M+vxN/N9M7Ozi8FoshUhKmcbejKZUiIsc1zZtqEf3q+evaQkJrActLOioTsR6cX86ZNZ72tx&#10;6jqnuQgEQWyse9/QLiVfV1VknTAQJ84Li4fSBQMJ3dBWPECP6EZXp9PpWdW7wH1wTMSIb5fjId0j&#10;hmMAnZSKiaVjGyNsGlGD0JCQUuyUj3ReqpVSsPROyigS0Q1Fpqk8MQna6/ys5jOo2wC+U2xfAhxT&#10;wiNOBpTFpAeoJSQgm6D+gTKKBRedTBPmTDUSKYogi5PpI22uO/CicEGpoz+IHv8fLHu7vQpE8Ya+&#10;OqfEgsGO3/34+Ov7p9tvP2ty9/nr7c0XgmcoVO9jjfHX/irsvYhmZj3IYPI/8iFDEXd3EFcMiTB8&#10;eX6G3aeE4cloIkZ1f9WHmF4LZ0g2Giq16xcdhHQ5pAAsFXFh+yam8dqf8Jw1Oq34SmldnNCuFzqQ&#10;LWDHV6sp/nLtmOlBmLakb+jpi+elJsA5ljg/WJ7xqEW0bUn44Eo8DjlXtoTYjRUUhHHKgttYjqVA&#10;3Qngl5aTtPMot8U1o7kaIzglWuBWZqtEJlD6mEikpy2yzC0am5KtNKwHhMnm2vEdNhos6xyOP0uB&#10;7p1FGtdh44Nqu7IgWa98CWeuKLffjzzUf/sl6v6bMP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o3k7dkAAAALAQAADwAAAAAAAAABACAAAAAiAAAAZHJzL2Rvd25yZXYueG1sUEsBAhQAFAAAAAgA&#10;h07iQO/D5TQkAgAAWwQAAA4AAAAAAAAAAQAgAAAAKAEAAGRycy9lMm9Eb2MueG1sUEsFBgAAAAAG&#10;AAYAWQEAAL4FAAAAAA==&#10;">
                <v:fill on="t" focussize="0,0"/>
                <v:stroke weight="2pt" color="#FF0000" joinstyle="round"/>
                <v:imagedata o:title=""/>
                <o:lock v:ext="edit" aspectratio="f"/>
                <v:textbox>
                  <w:txbxContent>
                    <w:p>
                      <w:pPr>
                        <w:jc w:val="center"/>
                      </w:pPr>
                    </w:p>
                  </w:txbxContent>
                </v:textbox>
              </v:shape>
            </w:pict>
          </mc:Fallback>
        </mc:AlternateContent>
      </w:r>
      <w:r>
        <w:rPr>
          <w:rFonts w:hint="eastAsia"/>
          <w:lang w:eastAsia="zh-CN"/>
        </w:rPr>
        <w:drawing>
          <wp:inline distT="0" distB="0" distL="114300" distR="114300">
            <wp:extent cx="8413115" cy="4773295"/>
            <wp:effectExtent l="0" t="0" r="6985" b="8255"/>
            <wp:docPr id="29" name="图片 29" descr="d5cb3ac1e2ab9e7fc5044e6db529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5cb3ac1e2ab9e7fc5044e6db529e5a"/>
                    <pic:cNvPicPr>
                      <a:picLocks noChangeAspect="1"/>
                    </pic:cNvPicPr>
                  </pic:nvPicPr>
                  <pic:blipFill>
                    <a:blip r:embed="rId44"/>
                    <a:stretch>
                      <a:fillRect/>
                    </a:stretch>
                  </pic:blipFill>
                  <pic:spPr>
                    <a:xfrm>
                      <a:off x="0" y="0"/>
                      <a:ext cx="8413115" cy="4773295"/>
                    </a:xfrm>
                    <a:prstGeom prst="rect">
                      <a:avLst/>
                    </a:prstGeom>
                  </pic:spPr>
                </pic:pic>
              </a:graphicData>
            </a:graphic>
          </wp:inline>
        </w:drawing>
      </w:r>
    </w:p>
    <w:p>
      <w:pPr>
        <w:jc w:val="cente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cs="宋体" w:hAnsiTheme="minorHAnsi" w:eastAsiaTheme="minorEastAsia"/>
          <w:b/>
          <w:bCs/>
          <w:kern w:val="0"/>
          <w:sz w:val="28"/>
          <w:szCs w:val="28"/>
          <w:lang w:eastAsia="zh-CN"/>
        </w:rPr>
        <w:t>附图</w:t>
      </w:r>
      <w:r>
        <w:rPr>
          <w:rFonts w:hint="eastAsia" w:ascii="宋体" w:cs="宋体" w:hAnsiTheme="minorHAnsi" w:eastAsiaTheme="minorEastAsia"/>
          <w:b/>
          <w:bCs/>
          <w:kern w:val="0"/>
          <w:sz w:val="28"/>
          <w:szCs w:val="28"/>
          <w:lang w:val="en-US" w:eastAsia="zh-CN"/>
        </w:rPr>
        <w:t>4 项目所在生态保护红线位置图</w:t>
      </w:r>
    </w:p>
    <w:p>
      <w:pPr>
        <w:jc w:val="center"/>
        <w:rPr>
          <w:rFonts w:hint="eastAsia" w:eastAsia="宋体"/>
          <w:lang w:eastAsia="zh-CN"/>
        </w:rPr>
        <w:sectPr>
          <w:footerReference r:id="rId6" w:type="default"/>
          <w:pgSz w:w="11906" w:h="16838"/>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sz w:val="21"/>
        </w:rPr>
        <w:pict>
          <v:shape id="_x0000_s1033" o:spid="_x0000_s1033" o:spt="75" type="#_x0000_t75" style="position:absolute;left:0pt;margin-left:-35.45pt;margin-top:40.35pt;height:594.95pt;width:493.35pt;z-index:251682816;mso-width-relative:page;mso-height-relative:page;" o:ole="t" filled="f" o:preferrelative="t" stroked="f" coordsize="21600,21600">
            <v:path/>
            <v:fill on="f" focussize="0,0"/>
            <v:stroke on="f"/>
            <v:imagedata r:id="rId46" o:title=""/>
            <o:lock v:ext="edit" aspectratio="t"/>
          </v:shape>
          <o:OLEObject Type="Embed" ProgID="Visio.Drawing.15" ShapeID="_x0000_s1033" DrawAspect="Content" ObjectID="_1468075728" r:id="rId45">
            <o:LockedField>false</o:LockedField>
          </o:OLEObject>
        </w:pict>
      </w:r>
      <w:r>
        <w:rPr>
          <w:sz w:val="21"/>
        </w:rPr>
        <mc:AlternateContent>
          <mc:Choice Requires="wps">
            <w:drawing>
              <wp:anchor distT="0" distB="0" distL="114300" distR="114300" simplePos="0" relativeHeight="251681792" behindDoc="0" locked="0" layoutInCell="1" allowOverlap="1">
                <wp:simplePos x="0" y="0"/>
                <wp:positionH relativeFrom="column">
                  <wp:posOffset>705485</wp:posOffset>
                </wp:positionH>
                <wp:positionV relativeFrom="paragraph">
                  <wp:posOffset>8110855</wp:posOffset>
                </wp:positionV>
                <wp:extent cx="3810000" cy="485775"/>
                <wp:effectExtent l="0" t="0" r="0" b="9525"/>
                <wp:wrapNone/>
                <wp:docPr id="98" name="文本框 98"/>
                <wp:cNvGraphicFramePr/>
                <a:graphic xmlns:a="http://schemas.openxmlformats.org/drawingml/2006/main">
                  <a:graphicData uri="http://schemas.microsoft.com/office/word/2010/wordprocessingShape">
                    <wps:wsp>
                      <wps:cNvSpPr txBox="1"/>
                      <wps:spPr>
                        <a:xfrm>
                          <a:off x="0" y="0"/>
                          <a:ext cx="38100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ascii="宋体" w:cs="宋体" w:hAnsiTheme="minorHAnsi" w:eastAsiaTheme="minorEastAsia"/>
                                <w:b/>
                                <w:bCs/>
                                <w:kern w:val="0"/>
                                <w:sz w:val="28"/>
                                <w:szCs w:val="28"/>
                                <w:lang w:val="en-US" w:eastAsia="zh-CN"/>
                              </w:rPr>
                              <w:t>附图5 项目平面布置图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5pt;margin-top:638.65pt;height:38.25pt;width:300pt;z-index:251681792;mso-width-relative:page;mso-height-relative:page;" fillcolor="#FFFFFF [3201]" filled="t" stroked="f" coordsize="21600,21600" o:gfxdata="UEsDBAoAAAAAAIdO4kAAAAAAAAAAAAAAAAAEAAAAZHJzL1BLAwQUAAAACACHTuJAV9S28NQAAAAN&#10;AQAADwAAAGRycy9kb3ducmV2LnhtbE1Py07EMAy8I/EPkZG4sWm3QFel6R6QuCKxr3O2MU1F4lRJ&#10;9vn1GC7gk2c8mhm3y7N34ogxjYEUlLMCBFIfzEiDgs367WEBImVNRrtAqOCCCZbd7U2rGxNO9IHH&#10;VR4Em1BqtAKb89RImXqLXqdZmJD49hmi15lhHKSJ+sTm3sl5UTxLr0fiBKsnfLXYf60OXsFu8Nfd&#10;tpyiNd490vv1st6EUan7u7J4AZHxnP/E8FOfq0PHnfbhQCYJx5iHpbzM67oCwZL6l9ozVT1VC5Bd&#10;K/9/0X0DUEsDBBQAAAAIAIdO4kAP7icnUQIAAJEEAAAOAAAAZHJzL2Uyb0RvYy54bWytVM1uEzEQ&#10;viPxDpbvZJM26U/UTRUaBSFFtFJBnB2vnbVke4ztZDc8ALxBT1y481x9DsbeTVsKhx7Yw2Y8M/uN&#10;v29mcnHZGk12wgcFtqSjwZASYTlUym5K+unj8s0ZJSEyWzENVpR0LwK9nL1+ddG4qTiCGnQlPEEQ&#10;G6aNK2kdo5sWReC1MCwMwAmLQQnesIhHvykqzxpEN7o4Gg5PigZ85TxwEQJ6F12Q9oj+JYAgpeJi&#10;AXxrhI0dqheaRaQUauUCneXbSil4vJYyiEh0SZFpzG8sgvY6vYvZBZtuPHO14v0V2Euu8IyTYcpi&#10;0QeoBYuMbL36C8oo7iGAjAMOpuiIZEWQxWj4TJvbmjmRuaDUwT2IHv4fLP+wu/FEVSU9x75bZrDj&#10;93ff73/8uv/5jaAPBWpcmGLercPM2L6FFsfm4A/oTLxb6U36RUYE4yjv/kFe0UbC0Xl8NhriQwnH&#10;2Phscno6STDF49fOh/hOgCHJKKnH9mVV2W4VYpd6SEnFAmhVLZXW+eA36yvtyY5hq5f56dH/SNOW&#10;NCU9OZ4MM7KF9H0HrS1eJpHtSCUrtuu2V2AN1R4F8NDNUHB8qfCWKxbiDfM4NEgM1ype40tqwCLQ&#10;W5TU4L/+y5/ysZcYpaTBISxp+LJlXlCi31vs8vloPEbYmA/jyekRHvzTyPppxG7NFSD5ES6w49lM&#10;+VEfTOnBfMbtm6eqGGKWY+2SxoN5FbvVwO3lYj7PSTinjsWVvXU8QSepLcy3EaTKLUkyddr06uGk&#10;5qb2W5VW4ek5Zz3+k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fUtvDUAAAADQEAAA8AAAAA&#10;AAAAAQAgAAAAIgAAAGRycy9kb3ducmV2LnhtbFBLAQIUABQAAAAIAIdO4kAP7icnUQIAAJEEAAAO&#10;AAAAAAAAAAEAIAAAACMBAABkcnMvZTJvRG9jLnhtbFBLBQYAAAAABgAGAFkBAADmBQAAAAA=&#10;">
                <v:fill on="t" focussize="0,0"/>
                <v:stroke on="f" weight="0.5pt"/>
                <v:imagedata o:title=""/>
                <o:lock v:ext="edit" aspectratio="f"/>
                <v:textbox>
                  <w:txbxContent>
                    <w:p>
                      <w:pPr>
                        <w:jc w:val="center"/>
                        <w:rPr>
                          <w:rFonts w:hint="default"/>
                          <w:lang w:val="en-US" w:eastAsia="zh-CN"/>
                        </w:rPr>
                      </w:pPr>
                      <w:r>
                        <w:rPr>
                          <w:rFonts w:hint="eastAsia" w:ascii="宋体" w:cs="宋体" w:hAnsiTheme="minorHAnsi" w:eastAsiaTheme="minorEastAsia"/>
                          <w:b/>
                          <w:bCs/>
                          <w:kern w:val="0"/>
                          <w:sz w:val="28"/>
                          <w:szCs w:val="28"/>
                          <w:lang w:val="en-US" w:eastAsia="zh-CN"/>
                        </w:rPr>
                        <w:t>附图5 项目平面布置图</w:t>
                      </w:r>
                    </w:p>
                  </w:txbxContent>
                </v:textbox>
              </v:shape>
            </w:pict>
          </mc:Fallback>
        </mc:AlternateContent>
      </w:r>
    </w:p>
    <w:tbl>
      <w:tblPr>
        <w:tblStyle w:val="1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0"/>
        <w:gridCol w:w="4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0" w:hRule="atLeast"/>
          <w:jc w:val="center"/>
        </w:trPr>
        <w:tc>
          <w:tcPr>
            <w:tcW w:w="2522" w:type="pct"/>
            <w:noWrap w:val="0"/>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583815" cy="1938655"/>
                  <wp:effectExtent l="0" t="0" r="6985" b="4445"/>
                  <wp:docPr id="99" name="图片 99" descr="b6d1f76f3e0dd1662a736449e607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d1f76f3e0dd1662a736449e607b76"/>
                          <pic:cNvPicPr>
                            <a:picLocks noChangeAspect="1"/>
                          </pic:cNvPicPr>
                        </pic:nvPicPr>
                        <pic:blipFill>
                          <a:blip r:embed="rId47"/>
                          <a:stretch>
                            <a:fillRect/>
                          </a:stretch>
                        </pic:blipFill>
                        <pic:spPr>
                          <a:xfrm>
                            <a:off x="0" y="0"/>
                            <a:ext cx="2583815" cy="1938655"/>
                          </a:xfrm>
                          <a:prstGeom prst="rect">
                            <a:avLst/>
                          </a:prstGeom>
                        </pic:spPr>
                      </pic:pic>
                    </a:graphicData>
                  </a:graphic>
                </wp:inline>
              </w:drawing>
            </w:r>
          </w:p>
        </w:tc>
        <w:tc>
          <w:tcPr>
            <w:tcW w:w="2477"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534920" cy="1901825"/>
                  <wp:effectExtent l="0" t="0" r="17780" b="3175"/>
                  <wp:docPr id="100" name="图片 100" descr="4bc2d290fce48176f2914732a0f0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4bc2d290fce48176f2914732a0f0de6"/>
                          <pic:cNvPicPr>
                            <a:picLocks noChangeAspect="1"/>
                          </pic:cNvPicPr>
                        </pic:nvPicPr>
                        <pic:blipFill>
                          <a:blip r:embed="rId48"/>
                          <a:stretch>
                            <a:fillRect/>
                          </a:stretch>
                        </pic:blipFill>
                        <pic:spPr>
                          <a:xfrm>
                            <a:off x="0" y="0"/>
                            <a:ext cx="2534920" cy="19018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22"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cs="Times New Roman"/>
                <w:b/>
                <w:sz w:val="24"/>
                <w:szCs w:val="24"/>
                <w:lang w:eastAsia="zh-CN"/>
              </w:rPr>
              <w:t>项目</w:t>
            </w:r>
            <w:r>
              <w:rPr>
                <w:rFonts w:hint="eastAsia" w:cs="Times New Roman"/>
                <w:b/>
                <w:sz w:val="24"/>
                <w:szCs w:val="24"/>
                <w:lang w:val="en-US" w:eastAsia="zh-CN"/>
              </w:rPr>
              <w:t>西面</w:t>
            </w:r>
          </w:p>
        </w:tc>
        <w:tc>
          <w:tcPr>
            <w:tcW w:w="24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lang w:val="en-US" w:eastAsia="zh-CN"/>
              </w:rPr>
            </w:pPr>
            <w:r>
              <w:rPr>
                <w:rFonts w:hint="eastAsia" w:cs="Times New Roman"/>
                <w:b/>
                <w:sz w:val="24"/>
                <w:szCs w:val="24"/>
                <w:lang w:eastAsia="zh-CN"/>
              </w:rPr>
              <w:t>项目</w:t>
            </w:r>
            <w:r>
              <w:rPr>
                <w:rFonts w:hint="eastAsia" w:cs="Times New Roman"/>
                <w:b/>
                <w:sz w:val="24"/>
                <w:szCs w:val="24"/>
                <w:lang w:val="en-US" w:eastAsia="zh-CN"/>
              </w:rPr>
              <w:t>东面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0" w:hRule="atLeast"/>
          <w:jc w:val="center"/>
        </w:trPr>
        <w:tc>
          <w:tcPr>
            <w:tcW w:w="2522"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583815" cy="1938655"/>
                  <wp:effectExtent l="0" t="0" r="6985" b="4445"/>
                  <wp:docPr id="101" name="图片 101" descr="3b3dc3a0f52f74e2c3e62cf1c9e9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b3dc3a0f52f74e2c3e62cf1c9e99df"/>
                          <pic:cNvPicPr>
                            <a:picLocks noChangeAspect="1"/>
                          </pic:cNvPicPr>
                        </pic:nvPicPr>
                        <pic:blipFill>
                          <a:blip r:embed="rId49"/>
                          <a:stretch>
                            <a:fillRect/>
                          </a:stretch>
                        </pic:blipFill>
                        <pic:spPr>
                          <a:xfrm>
                            <a:off x="0" y="0"/>
                            <a:ext cx="2583815" cy="1938655"/>
                          </a:xfrm>
                          <a:prstGeom prst="rect">
                            <a:avLst/>
                          </a:prstGeom>
                        </pic:spPr>
                      </pic:pic>
                    </a:graphicData>
                  </a:graphic>
                </wp:inline>
              </w:drawing>
            </w:r>
          </w:p>
        </w:tc>
        <w:tc>
          <w:tcPr>
            <w:tcW w:w="2477"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534920" cy="1901825"/>
                  <wp:effectExtent l="0" t="0" r="17780" b="3175"/>
                  <wp:docPr id="102" name="图片 102" descr="bb8cfbd63b0970c490d44982e798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bb8cfbd63b0970c490d44982e79810b"/>
                          <pic:cNvPicPr>
                            <a:picLocks noChangeAspect="1"/>
                          </pic:cNvPicPr>
                        </pic:nvPicPr>
                        <pic:blipFill>
                          <a:blip r:embed="rId50"/>
                          <a:stretch>
                            <a:fillRect/>
                          </a:stretch>
                        </pic:blipFill>
                        <pic:spPr>
                          <a:xfrm>
                            <a:off x="0" y="0"/>
                            <a:ext cx="2534920" cy="19018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22"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cs="Times New Roman"/>
                <w:b/>
                <w:sz w:val="24"/>
                <w:szCs w:val="24"/>
                <w:lang w:eastAsia="zh-CN"/>
              </w:rPr>
              <w:t>项目</w:t>
            </w:r>
            <w:r>
              <w:rPr>
                <w:rFonts w:hint="eastAsia" w:cs="Times New Roman"/>
                <w:b/>
                <w:sz w:val="24"/>
                <w:szCs w:val="24"/>
                <w:lang w:val="en-US" w:eastAsia="zh-CN"/>
              </w:rPr>
              <w:t>南面</w:t>
            </w:r>
          </w:p>
        </w:tc>
        <w:tc>
          <w:tcPr>
            <w:tcW w:w="2477"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cs="Times New Roman"/>
                <w:b/>
                <w:sz w:val="24"/>
                <w:szCs w:val="24"/>
                <w:lang w:eastAsia="zh-CN"/>
              </w:rPr>
              <w:t>项目</w:t>
            </w:r>
            <w:r>
              <w:rPr>
                <w:rFonts w:hint="eastAsia" w:cs="Times New Roman"/>
                <w:b/>
                <w:sz w:val="24"/>
                <w:szCs w:val="24"/>
                <w:lang w:val="en-US" w:eastAsia="zh-CN"/>
              </w:rPr>
              <w:t>北面</w:t>
            </w:r>
          </w:p>
        </w:tc>
      </w:tr>
    </w:tbl>
    <w:p>
      <w:pPr>
        <w:rPr>
          <w:rFonts w:hint="default"/>
          <w:lang w:val="en-US" w:eastAsia="zh-CN"/>
        </w:rPr>
      </w:pPr>
      <w:r>
        <w:rPr>
          <w:rFonts w:hint="eastAsia" w:ascii="Times New Roman" w:hAnsi="Times New Roman" w:eastAsia="宋体" w:cs="Times New Roman"/>
          <w:b/>
          <w:sz w:val="24"/>
          <w:szCs w:val="24"/>
          <w:lang w:eastAsia="zh-CN"/>
        </w:rPr>
        <mc:AlternateContent>
          <mc:Choice Requires="wps">
            <w:drawing>
              <wp:anchor distT="0" distB="0" distL="114300" distR="114300" simplePos="0" relativeHeight="251660288" behindDoc="0" locked="0" layoutInCell="1" allowOverlap="1">
                <wp:simplePos x="0" y="0"/>
                <wp:positionH relativeFrom="column">
                  <wp:posOffset>-52705</wp:posOffset>
                </wp:positionH>
                <wp:positionV relativeFrom="paragraph">
                  <wp:posOffset>548005</wp:posOffset>
                </wp:positionV>
                <wp:extent cx="5439410" cy="27622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43941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6</w:t>
                            </w:r>
                            <w:r>
                              <w:rPr>
                                <w:rFonts w:hint="eastAsia" w:ascii="Times New Roman" w:hAnsi="Times New Roman" w:eastAsia="宋体" w:cs="Times New Roman"/>
                                <w:b/>
                                <w:bCs/>
                                <w:sz w:val="24"/>
                                <w:szCs w:val="24"/>
                                <w:lang w:val="en-US" w:eastAsia="zh-CN"/>
                              </w:rPr>
                              <w:t xml:space="preserve">   项目现状图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43.15pt;height:21.75pt;width:428.3pt;z-index:251660288;mso-width-relative:page;mso-height-relative:page;" filled="f" stroked="f" coordsize="21600,21600" o:gfxdata="UEsDBAoAAAAAAIdO4kAAAAAAAAAAAAAAAAAEAAAAZHJzL1BLAwQUAAAACACHTuJAoUeUadoAAAAJ&#10;AQAADwAAAGRycy9kb3ducmV2LnhtbE2PzU7DMBCE70i8g7VI3FqnASqTxqlQpAoJwaGlF25OvE2i&#10;xusQuz/w9GxP5bTandHsN/ny7HpxxDF0njTMpgkIpNrbjhoN28/VRIEI0ZA1vSfU8IMBlsXtTW4y&#10;60+0xuMmNoJDKGRGQxvjkEkZ6hadCVM/ILG286MzkdexkXY0Jw53vUyTZC6d6Yg/tGbAssV6vzk4&#10;DW/l6sOsq9Sp3758fd+9DN/bryet7+9myQJExHO8muGCz+hQMFPlD2SD6DVM1AM7Nag5T9bV4+VQ&#10;sTF9ViCLXP5vUPwBUEsDBBQAAAAIAIdO4kABL5KZQwIAAHYEAAAOAAAAZHJzL2Uyb0RvYy54bWyt&#10;VMFOGzEQvVfqP1i+l01CAiVig1IQVSVUkGjVs+P1sivZHtd22KUf0P4Bp15673fxHX32JgHRHjj0&#10;4oxnZt/MezPO8UlvNLtVPrRkSz7eG3GmrKSqtTcl//zp/M1bzkIUthKarCr5nQr8ZPH61XHn5mpC&#10;DelKeQYQG+adK3kTo5sXRZCNMiLskVMWwZq8ERFXf1NUXnRAN7qYjEYHRUe+cp6kCgHesyHIN4j+&#10;JYBU161UZyTXRtk4oHqlRQSl0LQu8EXutq6VjJd1HVRkuuRgGvOJIrBX6SwWx2J+44VrWrlpQbyk&#10;hWecjGgtiu6gzkQUbO3bv6BMKz0FquOeJFMMRLIiYDEePdPmuhFOZS6QOrid6OH/wcqPt1eetVXJ&#10;p5i7FQYTf7j/8fDz98Ov7ww+CNS5MEfetUNm7N9Rj7XZ+gOciXdfe5N+wYghDnnvdvKqPjIJ52y6&#10;fzQdIyQRmxweTCazBFM8fu18iO8VGZaMknuML6sqbi9CHFK3KamYpfNW6zxCbVlX8oP92Sh/sIsA&#10;XNuUq/IybGASo6HzZMV+1W9orqi6A0tPw6IEJ89btHIhQrwSHpuB7vF24iWOWhNK0sbirCH/7V/+&#10;lI+BIcpZh00refi6Fl5xpj9YjPJoPJ0CNubLdHY4wcU/jayeRuzanBKWeYxX6mQ2U37UW7P2ZL7g&#10;iS1TVYSElahd8rg1T+Ow/3iiUi2XOQnL6ES8sNdOJuhB3OU6Ut1m3ZNMgzaYV7pgHfPkNk8n7fvT&#10;e856/Lt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R5Rp2gAAAAkBAAAPAAAAAAAAAAEAIAAA&#10;ACIAAABkcnMvZG93bnJldi54bWxQSwECFAAUAAAACACHTuJAAS+SmUMCAAB2BAAADgAAAAAAAAAB&#10;ACAAAAApAQAAZHJzL2Uyb0RvYy54bWxQSwUGAAAAAAYABgBZAQAA3gU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6</w:t>
                      </w:r>
                      <w:r>
                        <w:rPr>
                          <w:rFonts w:hint="eastAsia" w:ascii="Times New Roman" w:hAnsi="Times New Roman" w:eastAsia="宋体" w:cs="Times New Roman"/>
                          <w:b/>
                          <w:bCs/>
                          <w:sz w:val="24"/>
                          <w:szCs w:val="24"/>
                          <w:lang w:val="en-US" w:eastAsia="zh-CN"/>
                        </w:rPr>
                        <w:t xml:space="preserve">   项目现状图</w:t>
                      </w:r>
                    </w:p>
                  </w:txbxContent>
                </v:textbox>
              </v:shape>
            </w:pict>
          </mc:Fallback>
        </mc:AlternateContent>
      </w:r>
      <w:r>
        <w:rPr>
          <w:rFonts w:hint="default" w:ascii="宋体" w:cs="宋体"/>
          <w:b/>
          <w:bCs/>
          <w:kern w:val="0"/>
          <w:sz w:val="28"/>
          <w:szCs w:val="28"/>
          <w:lang w:val="en-US" w:eastAsia="zh-CN"/>
        </w:rPr>
        <w:br w:type="page"/>
      </w:r>
    </w:p>
    <w:p>
      <w:pPr>
        <w:wordWrap w:val="0"/>
        <w:jc w:val="right"/>
        <w:rPr>
          <w:rFonts w:hint="eastAsia" w:ascii="宋体" w:cs="宋体"/>
          <w:b/>
          <w:bCs/>
          <w:kern w:val="0"/>
          <w:sz w:val="24"/>
          <w:szCs w:val="24"/>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cs="宋体"/>
          <w:b/>
          <w:bCs/>
          <w:kern w:val="0"/>
          <w:sz w:val="28"/>
          <w:szCs w:val="28"/>
          <w:lang w:val="en-US" w:eastAsia="zh-CN"/>
        </w:rPr>
        <w:drawing>
          <wp:anchor distT="0" distB="0" distL="114300" distR="114300" simplePos="0" relativeHeight="251682816" behindDoc="1" locked="0" layoutInCell="1" allowOverlap="1">
            <wp:simplePos x="0" y="0"/>
            <wp:positionH relativeFrom="column">
              <wp:posOffset>-366395</wp:posOffset>
            </wp:positionH>
            <wp:positionV relativeFrom="paragraph">
              <wp:posOffset>427990</wp:posOffset>
            </wp:positionV>
            <wp:extent cx="5941060" cy="8334375"/>
            <wp:effectExtent l="0" t="0" r="2540" b="9525"/>
            <wp:wrapNone/>
            <wp:docPr id="1" name="图片 1" descr="abb71b39aa338a28cc2e584bd288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bb71b39aa338a28cc2e584bd288c76"/>
                    <pic:cNvPicPr>
                      <a:picLocks noChangeAspect="1"/>
                    </pic:cNvPicPr>
                  </pic:nvPicPr>
                  <pic:blipFill>
                    <a:blip r:embed="rId51"/>
                    <a:stretch>
                      <a:fillRect/>
                    </a:stretch>
                  </pic:blipFill>
                  <pic:spPr>
                    <a:xfrm>
                      <a:off x="0" y="0"/>
                      <a:ext cx="5941060" cy="8334375"/>
                    </a:xfrm>
                    <a:prstGeom prst="rect">
                      <a:avLst/>
                    </a:prstGeom>
                  </pic:spPr>
                </pic:pic>
              </a:graphicData>
            </a:graphic>
          </wp:anchor>
        </w:drawing>
      </w:r>
      <w:r>
        <w:rPr>
          <w:rFonts w:hint="eastAsia" w:ascii="宋体" w:cs="宋体"/>
          <w:b/>
          <w:bCs/>
          <w:kern w:val="0"/>
          <w:sz w:val="28"/>
          <w:szCs w:val="28"/>
          <w:lang w:val="en-US" w:eastAsia="zh-CN"/>
        </w:rPr>
        <w:t>附件1 委托书</w:t>
      </w:r>
      <w:r>
        <w:rPr>
          <w:rFonts w:hint="eastAsia" w:ascii="宋体" w:cs="宋体"/>
          <w:b/>
          <w:bCs/>
          <w:kern w:val="0"/>
          <w:sz w:val="24"/>
          <w:szCs w:val="24"/>
          <w:lang w:val="en-US" w:eastAsia="zh-CN"/>
        </w:rPr>
        <w:t xml:space="preserve"> </w:t>
      </w:r>
    </w:p>
    <w:p>
      <w:pPr>
        <w:wordWrap w:val="0"/>
        <w:jc w:val="right"/>
        <w:rPr>
          <w:rFonts w:hint="eastAsia" w:ascii="宋体" w:cs="宋体"/>
          <w:b/>
          <w:bCs/>
          <w:kern w:val="0"/>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cs="宋体"/>
          <w:b/>
          <w:bCs/>
          <w:kern w:val="0"/>
          <w:sz w:val="28"/>
          <w:szCs w:val="28"/>
          <w:lang w:val="en-US" w:eastAsia="zh-CN"/>
        </w:rPr>
        <w:t>附件2 备案</w:t>
      </w:r>
      <w:r>
        <w:rPr>
          <w:rFonts w:hint="eastAsia" w:ascii="宋体" w:cs="宋体"/>
          <w:b/>
          <w:bCs/>
          <w:kern w:val="0"/>
          <w:sz w:val="28"/>
          <w:szCs w:val="28"/>
          <w:lang w:val="en-US" w:eastAsia="zh-CN"/>
        </w:rPr>
        <w:drawing>
          <wp:inline distT="0" distB="0" distL="114300" distR="114300">
            <wp:extent cx="5259705" cy="7401560"/>
            <wp:effectExtent l="0" t="0" r="17145" b="8890"/>
            <wp:docPr id="3" name="图片 3" descr="b320212e89637f3183272d57c79d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320212e89637f3183272d57c79d4c4"/>
                    <pic:cNvPicPr>
                      <a:picLocks noChangeAspect="1"/>
                    </pic:cNvPicPr>
                  </pic:nvPicPr>
                  <pic:blipFill>
                    <a:blip r:embed="rId52"/>
                    <a:stretch>
                      <a:fillRect/>
                    </a:stretch>
                  </pic:blipFill>
                  <pic:spPr>
                    <a:xfrm>
                      <a:off x="0" y="0"/>
                      <a:ext cx="5259705" cy="7401560"/>
                    </a:xfrm>
                    <a:prstGeom prst="rect">
                      <a:avLst/>
                    </a:prstGeom>
                  </pic:spPr>
                </pic:pic>
              </a:graphicData>
            </a:graphic>
          </wp:inline>
        </w:drawing>
      </w:r>
    </w:p>
    <w:p>
      <w:pPr>
        <w:jc w:val="right"/>
        <w:rPr>
          <w:rFonts w:hint="eastAsia" w:ascii="Times New Roman" w:hAnsi="Times New Roman" w:eastAsia="宋体"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drawing>
          <wp:anchor distT="0" distB="0" distL="114300" distR="114300" simplePos="0" relativeHeight="251682816" behindDoc="1" locked="0" layoutInCell="1" allowOverlap="1">
            <wp:simplePos x="0" y="0"/>
            <wp:positionH relativeFrom="column">
              <wp:posOffset>-23495</wp:posOffset>
            </wp:positionH>
            <wp:positionV relativeFrom="paragraph">
              <wp:posOffset>405765</wp:posOffset>
            </wp:positionV>
            <wp:extent cx="5266690" cy="7579360"/>
            <wp:effectExtent l="0" t="0" r="10160" b="2540"/>
            <wp:wrapNone/>
            <wp:docPr id="106" name="图片 106" descr="成分化验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成分化验单"/>
                    <pic:cNvPicPr>
                      <a:picLocks noChangeAspect="1"/>
                    </pic:cNvPicPr>
                  </pic:nvPicPr>
                  <pic:blipFill>
                    <a:blip r:embed="rId53"/>
                    <a:stretch>
                      <a:fillRect/>
                    </a:stretch>
                  </pic:blipFill>
                  <pic:spPr>
                    <a:xfrm>
                      <a:off x="0" y="0"/>
                      <a:ext cx="5266690" cy="7579360"/>
                    </a:xfrm>
                    <a:prstGeom prst="rect">
                      <a:avLst/>
                    </a:prstGeom>
                  </pic:spPr>
                </pic:pic>
              </a:graphicData>
            </a:graphic>
          </wp:anchor>
        </w:drawing>
      </w:r>
      <w:r>
        <w:rPr>
          <w:rFonts w:hint="eastAsia" w:ascii="Times New Roman" w:hAnsi="Times New Roman" w:eastAsia="宋体" w:cs="Times New Roman"/>
          <w:b/>
          <w:bCs/>
          <w:color w:val="auto"/>
          <w:kern w:val="2"/>
          <w:sz w:val="28"/>
          <w:szCs w:val="28"/>
          <w:lang w:val="en-US" w:eastAsia="zh-CN" w:bidi="ar-SA"/>
        </w:rPr>
        <w:t>附件</w:t>
      </w:r>
      <w:r>
        <w:rPr>
          <w:rFonts w:hint="eastAsia" w:ascii="Times New Roman" w:hAnsi="Times New Roman" w:cs="Times New Roman"/>
          <w:b/>
          <w:bCs/>
          <w:color w:val="auto"/>
          <w:kern w:val="2"/>
          <w:sz w:val="28"/>
          <w:szCs w:val="28"/>
          <w:lang w:val="en-US" w:eastAsia="zh-CN" w:bidi="ar-SA"/>
        </w:rPr>
        <w:t xml:space="preserve">3 </w:t>
      </w:r>
      <w:r>
        <w:rPr>
          <w:rFonts w:hint="eastAsia" w:cs="Times New Roman"/>
          <w:b/>
          <w:bCs/>
          <w:color w:val="auto"/>
          <w:kern w:val="2"/>
          <w:sz w:val="28"/>
          <w:szCs w:val="28"/>
          <w:lang w:val="en-US" w:eastAsia="zh-CN" w:bidi="ar-SA"/>
        </w:rPr>
        <w:t>腐植酸钾尾料化验单</w:t>
      </w:r>
      <w:r>
        <w:rPr>
          <w:rFonts w:hint="eastAsia" w:ascii="Times New Roman" w:hAnsi="Times New Roman" w:eastAsia="宋体" w:cs="Times New Roman"/>
          <w:b/>
          <w:bCs/>
          <w:color w:val="auto"/>
          <w:kern w:val="2"/>
          <w:sz w:val="28"/>
          <w:szCs w:val="28"/>
          <w:lang w:val="en-US" w:eastAsia="zh-CN" w:bidi="ar-SA"/>
        </w:rPr>
        <w:br w:type="page"/>
      </w:r>
    </w:p>
    <w:p>
      <w:pPr>
        <w:pStyle w:val="26"/>
        <w:wordWrap w:val="0"/>
        <w:jc w:val="right"/>
        <w:rPr>
          <w:rFonts w:hint="default" w:ascii="Times New Roman" w:hAnsi="Times New Roman" w:cs="Times New Roman"/>
          <w:b/>
          <w:bCs/>
          <w:color w:val="auto"/>
          <w:kern w:val="2"/>
          <w:sz w:val="28"/>
          <w:szCs w:val="28"/>
          <w:lang w:val="en-US" w:eastAsia="zh-CN" w:bidi="ar-SA"/>
        </w:rPr>
      </w:pPr>
      <w:r>
        <w:rPr>
          <w:rFonts w:hint="eastAsia" w:ascii="Times New Roman" w:hAnsi="Times New Roman" w:eastAsia="宋体" w:cs="Times New Roman"/>
          <w:b/>
          <w:bCs/>
          <w:color w:val="auto"/>
          <w:kern w:val="2"/>
          <w:sz w:val="28"/>
          <w:szCs w:val="28"/>
          <w:lang w:val="en-US" w:eastAsia="zh-CN" w:bidi="ar-SA"/>
        </w:rPr>
        <w:t>附件</w:t>
      </w:r>
      <w:r>
        <w:rPr>
          <w:rFonts w:hint="eastAsia" w:ascii="Times New Roman" w:hAnsi="Times New Roman" w:cs="Times New Roman"/>
          <w:b/>
          <w:bCs/>
          <w:color w:val="auto"/>
          <w:kern w:val="2"/>
          <w:sz w:val="28"/>
          <w:szCs w:val="28"/>
          <w:lang w:val="en-US" w:eastAsia="zh-CN" w:bidi="ar-SA"/>
        </w:rPr>
        <w:t>4 租赁协议</w:t>
      </w:r>
    </w:p>
    <w:p>
      <w:pPr>
        <w:pStyle w:val="25"/>
        <w:rPr>
          <w:rFonts w:hint="eastAsia" w:eastAsia="宋体"/>
          <w:lang w:eastAsia="zh-CN"/>
        </w:rPr>
      </w:pPr>
      <w:r>
        <w:rPr>
          <w:rFonts w:hint="eastAsia" w:eastAsia="宋体"/>
          <w:lang w:eastAsia="zh-CN"/>
        </w:rPr>
        <w:drawing>
          <wp:inline distT="0" distB="0" distL="114300" distR="114300">
            <wp:extent cx="5264785" cy="7357745"/>
            <wp:effectExtent l="0" t="0" r="12065" b="14605"/>
            <wp:docPr id="5" name="图片 5" descr="f621fa29110d83f8b9283d79b544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621fa29110d83f8b9283d79b544b78"/>
                    <pic:cNvPicPr>
                      <a:picLocks noChangeAspect="1"/>
                    </pic:cNvPicPr>
                  </pic:nvPicPr>
                  <pic:blipFill>
                    <a:blip r:embed="rId54"/>
                    <a:stretch>
                      <a:fillRect/>
                    </a:stretch>
                  </pic:blipFill>
                  <pic:spPr>
                    <a:xfrm>
                      <a:off x="0" y="0"/>
                      <a:ext cx="5264785" cy="7357745"/>
                    </a:xfrm>
                    <a:prstGeom prst="rect">
                      <a:avLst/>
                    </a:prstGeom>
                  </pic:spPr>
                </pic:pic>
              </a:graphicData>
            </a:graphic>
          </wp:inline>
        </w:drawing>
      </w:r>
      <w:r>
        <w:rPr>
          <w:rFonts w:hint="eastAsia" w:eastAsia="宋体"/>
          <w:lang w:eastAsia="zh-CN"/>
        </w:rPr>
        <w:drawing>
          <wp:inline distT="0" distB="0" distL="114300" distR="114300">
            <wp:extent cx="5263515" cy="7357110"/>
            <wp:effectExtent l="0" t="0" r="13335" b="15240"/>
            <wp:docPr id="4" name="图片 4" descr="a96c29a9e64c67b338328c326270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96c29a9e64c67b338328c326270e60"/>
                    <pic:cNvPicPr>
                      <a:picLocks noChangeAspect="1"/>
                    </pic:cNvPicPr>
                  </pic:nvPicPr>
                  <pic:blipFill>
                    <a:blip r:embed="rId55"/>
                    <a:stretch>
                      <a:fillRect/>
                    </a:stretch>
                  </pic:blipFill>
                  <pic:spPr>
                    <a:xfrm>
                      <a:off x="0" y="0"/>
                      <a:ext cx="5263515" cy="735711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方正小标宋_GBK">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2085"/>
      </w:tabs>
      <w:snapToGrid w:val="0"/>
      <w:ind w:right="360"/>
      <w:jc w:val="center"/>
      <w:rPr>
        <w:rFonts w:hint="default" w:ascii="Times New Roman" w:hAnsi="Times New Roman" w:eastAsia="宋体" w:cs="Times New Roman"/>
        <w:kern w:val="0"/>
        <w:sz w:val="18"/>
        <w:szCs w:val="20"/>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-148590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1.7pt;height:144pt;width:144pt;mso-position-horizontal:center;mso-position-horizontal-relative:margin;mso-wrap-style:none;z-index:251662336;mso-width-relative:page;mso-height-relative:page;" filled="f" stroked="f" coordsize="21600,21600" o:gfxdata="UEsDBAoAAAAAAIdO4kAAAAAAAAAAAAAAAAAEAAAAZHJzL1BLAwQUAAAACACHTuJAPHHV7NYAAAAI&#10;AQAADwAAAGRycy9kb3ducmV2LnhtbE2PQU/DMAyF70j8h8hI3LZ0XVVVpekkJsoRiZUDx6wxbaFx&#10;qiTryr/HnOBm+z09f686rHYSC/owOlKw2yYgkDpnRuoVvLXNpgARoiajJ0eo4BsDHOrbm0qXxl3p&#10;FZdT7AWHUCi1giHGuZQydANaHbZuRmLtw3mrI6++l8brK4fbSaZJkkurR+IPg57xOGD3dbpYBcem&#10;bf2CwU/v+NzsP18eM3xalbq/2yUPICKu8c8Mv/iMDjUznd2FTBCTAi4SFWzSfQaC5bQo+HLmIc9y&#10;kHUl/xeofwBQSwMEFAAAAAgAh07iQFqN5oE5AgAAcQQAAA4AAABkcnMvZTJvRG9jLnhtbK1UzY7T&#10;MBC+I/EOlu80aYFVVTVdla2KkCp2pQVxdh2nieQ/2W6T8gDwBpy4cN/n6nPw2Wm6aOGwBy7p2DP+&#10;Zr5vZjq/7pQkB+F8Y3RBx6OcEqG5KRu9K+jnT+tXU0p8YLpk0mhR0KPw9Hrx8sW8tTMxMbWRpXAE&#10;INrPWlvQOgQ7yzLPa6GYHxkrNJyVcYoFHN0uKx1rga5kNsnzq6w1rrTOcOE9ble9k54R3XMATVU1&#10;XKwM3yuhQ4/qhGQBlHzdWE8XqdqqEjzcVpUXgciCgmlIXySBvY3fbDFns51jtm74uQT2nBKecFKs&#10;0Uh6gVqxwMjeNX9BqYY7400VRtyorCeSFAGLcf5Em/uaWZG4QGpvL6L7/wfLPx7uHGnKgl69oUQz&#10;hY6ffnw//Xw4/fpGcAeBWutniLu3iAzdO9NhbIZ7j8vIu6ucir9gROCHvMeLvKILhMdH08l0msPF&#10;4RsOwM8en1vnw3thFIlGQR36l2Rlh40PfegQErNps26kTD2UmrQg8fptnh5cPACXOsaKNA1nmEip&#10;Lz1aodt2Z55bUx5B05l+Urzl6walbJgPd8xhNFA+lifc4lNJg5TmbFFSG/f1X/cxHh2Dl5IWo1ZQ&#10;jc2iRH7Q6CQAw2C4wdgOht6rG4PZHWMpLU8mHrggB7NyRn3BRi1jDriY5shU0DCYN6Efd2wkF8tl&#10;Ctpb1+zq/gHm0LKw0feWxzRRKm+X+wBpk+JRoF4VdCoeMImpZ+etiaP+5zlFPf5T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HHV7NYAAAAIAQAADwAAAAAAAAABACAAAAAiAAAAZHJzL2Rvd25y&#10;ZXYueG1sUEsBAhQAFAAAAAgAh07iQFqN5oE5AgAAcQQAAA4AAAAAAAAAAQAgAAAAJQEAAGRycy9l&#10;Mm9Eb2MueG1sUEsFBgAAAAAGAAYAWQEAANA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rMQ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0o0U+j4+cf3&#10;88/f51/fCO4gUGP9HHEPFpGhfWdajM1w73EZebelU/EXjAj8kPd0kVe0gfD4aDadzcZwcfiGA/Cz&#10;p+fW+fBeGEWikVOH/iVZ2XHrQxc6hMRs2mxqKVMPpSYNSLy9GqcHFw/ApY6xIk1DDxMpdaVHK7S7&#10;tue5M8UJNJ3pJsVbvqlRypb5cM8cRgPlY3nCHT6lNEhpeouSyriv/7qP8egYvJQ0GLWcamwWJfKD&#10;RicBGAbDDcZuMPRB3RrM7gRLaXky8cAFOZilM+oLNmoVc8DFNEemnIbBvA3duGMjuVitUtDBunpf&#10;dQ8wh5aFrX6wPKaJUnm7OgRImxSPAnWqoFPxgElMPeu3Jo76n+cU9fR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s/rMQ5AgAAcQQAAA4AAAAAAAAAAQAgAAAAHwEAAGRycy9lMm9Eb2Mu&#10;eG1sUEsFBgAAAAAGAAYAWQEAAMoFA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2085"/>
      </w:tabs>
      <w:snapToGrid w:val="0"/>
      <w:ind w:right="360"/>
      <w:jc w:val="center"/>
      <w:rPr>
        <w:rFonts w:hint="default" w:ascii="Times New Roman" w:hAnsi="Times New Roman" w:eastAsia="宋体" w:cs="Times New Roman"/>
        <w:kern w:val="0"/>
        <w:sz w:val="18"/>
        <w:szCs w:val="20"/>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-148590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1.7pt;height:144pt;width:144pt;mso-position-horizontal:center;mso-position-horizontal-relative:margin;mso-wrap-style:none;z-index:251667456;mso-width-relative:page;mso-height-relative:page;" filled="f" stroked="f" coordsize="21600,21600" o:gfxdata="UEsDBAoAAAAAAIdO4kAAAAAAAAAAAAAAAAAEAAAAZHJzL1BLAwQUAAAACACHTuJAPHHV7NYAAAAI&#10;AQAADwAAAGRycy9kb3ducmV2LnhtbE2PQU/DMAyF70j8h8hI3LZ0XVVVpekkJsoRiZUDx6wxbaFx&#10;qiTryr/HnOBm+z09f686rHYSC/owOlKw2yYgkDpnRuoVvLXNpgARoiajJ0eo4BsDHOrbm0qXxl3p&#10;FZdT7AWHUCi1giHGuZQydANaHbZuRmLtw3mrI6++l8brK4fbSaZJkkurR+IPg57xOGD3dbpYBcem&#10;bf2CwU/v+NzsP18eM3xalbq/2yUPICKu8c8Mv/iMDjUznd2FTBCTAi4SFWzSfQaC5bQo+HLmIc9y&#10;kHUl/xeofwBQSwMEFAAAAAgAh07iQDkX1r85AgAAcQQAAA4AAABkcnMvZTJvRG9jLnhtbK1UzY7T&#10;MBC+I/EOlu80bVesqqrpqmxVhFSxKy2Is+s4TST/yXablAeAN+DEhTvP1efYz07SRQuHPXBJx57x&#10;N/N9M9PFTaskOQrna6NzOhmNKRGam6LW+5x+/rR5M6PEB6YLJo0WOT0JT2+Wr18tGjsXU1MZWQhH&#10;AKL9vLE5rUKw8yzzvBKK+ZGxQsNZGqdYwNHts8KxBuhKZtPx+DprjCusM1x4j9t156Q9onsJoCnL&#10;mou14QcldOhQnZAsgJKvauvpMlVbloKHu7L0IhCZUzAN6YsksHfxmy0XbL53zFY170tgLynhGSfF&#10;ao2kF6g1C4wcXP0XlKq5M96UYcSNyjoiSRGwmIyfafNQMSsSF0jt7UV0//9g+cfjvSN1gUm4okQz&#10;hY6ff3w///x9/vWN4A4CNdbPEfdgERnad6ZF8HDvcRl5t6VT8ReMCPyQ93SRV7SB8PhoNp3NxnBx&#10;+IYD8LOn59b58F4YRaKRU4f+JVnZcetDFzqExGzabGopUw+lJk1Or6/ejtODiwfgUsdYkaahh4mU&#10;utKjFdpd2/PcmeIEms50k+It39QoZct8uGcOo4HysTzhDp9SGqQ0vUVJZdzXf93HeHQMXkoajFpO&#10;NTaLEvlBo5MADIPhBmM3GPqgbg1md4KltDyZeOCCHMzSGfUFG7WKOeBimiNTTsNg3oZu3LGRXKxW&#10;KehgXb2vugeYQ8vCVj9YHtNEqbxdHQKkTYpHgTpV0Kl4wCSmnvVbE0f9z3OKevqnWD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HHV7NYAAAAIAQAADwAAAAAAAAABACAAAAAiAAAAZHJzL2Rvd25y&#10;ZXYueG1sUEsBAhQAFAAAAAgAh07iQDkX1r85AgAAcQQAAA4AAAAAAAAAAQAgAAAAJQEAAGRycy9l&#10;Mm9Eb2MueG1sUEsFBgAAAAAGAAYAWQEAANA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-148590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1.7pt;height:144pt;width:144pt;mso-position-horizontal:center;mso-position-horizontal-relative:margin;mso-wrap-style:none;z-index:251659264;mso-width-relative:page;mso-height-relative:page;" filled="f" stroked="f" coordsize="21600,21600" o:gfxdata="UEsDBAoAAAAAAIdO4kAAAAAAAAAAAAAAAAAEAAAAZHJzL1BLAwQUAAAACACHTuJAPHHV7NYAAAAI&#10;AQAADwAAAGRycy9kb3ducmV2LnhtbE2PQU/DMAyF70j8h8hI3LZ0XVVVpekkJsoRiZUDx6wxbaFx&#10;qiTryr/HnOBm+z09f686rHYSC/owOlKw2yYgkDpnRuoVvLXNpgARoiajJ0eo4BsDHOrbm0qXxl3p&#10;FZdT7AWHUCi1giHGuZQydANaHbZuRmLtw3mrI6++l8brK4fbSaZJkkurR+IPg57xOGD3dbpYBcem&#10;bf2CwU/v+NzsP18eM3xalbq/2yUPICKu8c8Mv/iMDjUznd2FTBCTAi4SFWzSfQaC5bQo+HLmIc9y&#10;kHUl/xeofwBQSwMEFAAAAAgAh07iQMAQxGI6AgAAcQQAAA4AAABkcnMvZTJvRG9jLnhtbK1UzY7T&#10;MBC+I/EOlu80bVesqqrpqmxVhFSxKy2Is+s4TST/yXablAeAN+DEhTvP1efYz07SRQuHPXBJx57x&#10;N/N9M9PFTaskOQrna6NzOhmNKRGam6LW+5x+/rR5M6PEB6YLJo0WOT0JT2+Wr18tGjsXU1MZWQhH&#10;AKL9vLE5rUKw8yzzvBKK+ZGxQsNZGqdYwNHts8KxBuhKZtPx+DprjCusM1x4j9t156Q9onsJoCnL&#10;mou14QcldOhQnZAsgJKvauvpMlVbloKHu7L0IhCZUzAN6YsksHfxmy0XbL53zFY170tgLynhGSfF&#10;ao2kF6g1C4wcXP0XlKq5M96UYcSNyjoiSRGwmIyfafNQMSsSF0jt7UV0//9g+cfjvSN1kdOrKSWa&#10;KXT8/OP7+efv869vBHcQqLF+jrgHi8jQvjMtxma497iMvNvSqfgLRgR+yHu6yCvaQHh8NJvOZmO4&#10;OHzDAfjZ03PrfHgvjCLRyKlD/5Ks7Lj1oQsdQmI2bTa1lKmHUpMmp9dXb8fpwcUDcKljrEjT0MNE&#10;Sl3p0Qrtru157kxxAk1nuknxlm9qlLJlPtwzh9FA+ViecIdPKQ1Smt6ipDLu67/uYzw6Bi8lDUYt&#10;pxqbRYn8oNFJAIbBcIOxGwx9ULcGszvBUlqeTDxwQQ5m6Yz6go1axRxwMc2RKadhMG9DN+7YSC5W&#10;qxR0sK7eV90DzKFlYasfLI9polTerg4B0ibFo0CdKuhUPGASU8/6rYmj/uc5RT39Uyw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xx1ezWAAAACAEAAA8AAAAAAAAAAQAgAAAAIgAAAGRycy9kb3du&#10;cmV2LnhtbFBLAQIUABQAAAAIAIdO4kDAEMRiOgIAAHEEAAAOAAAAAAAAAAEAIAAAACUBAABkcnMv&#10;ZTJvRG9jLnhtbFBLBQYAAAAABgAGAFkBAADR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44342"/>
    <w:multiLevelType w:val="singleLevel"/>
    <w:tmpl w:val="91A44342"/>
    <w:lvl w:ilvl="0" w:tentative="0">
      <w:start w:val="5"/>
      <w:numFmt w:val="decimal"/>
      <w:suff w:val="nothing"/>
      <w:lvlText w:val="%1、"/>
      <w:lvlJc w:val="left"/>
    </w:lvl>
  </w:abstractNum>
  <w:abstractNum w:abstractNumId="1">
    <w:nsid w:val="E0BC7449"/>
    <w:multiLevelType w:val="singleLevel"/>
    <w:tmpl w:val="E0BC7449"/>
    <w:lvl w:ilvl="0" w:tentative="0">
      <w:start w:val="1"/>
      <w:numFmt w:val="decimal"/>
      <w:pStyle w:val="31"/>
      <w:suff w:val="nothing"/>
      <w:lvlText w:val="表%1"/>
      <w:lvlJc w:val="left"/>
      <w:pPr>
        <w:ind w:left="0" w:firstLine="420"/>
      </w:pPr>
      <w:rPr>
        <w:rFonts w:hint="default"/>
      </w:rPr>
    </w:lvl>
  </w:abstractNum>
  <w:abstractNum w:abstractNumId="2">
    <w:nsid w:val="0F8C940B"/>
    <w:multiLevelType w:val="singleLevel"/>
    <w:tmpl w:val="0F8C940B"/>
    <w:lvl w:ilvl="0" w:tentative="0">
      <w:start w:val="3"/>
      <w:numFmt w:val="decimal"/>
      <w:suff w:val="nothing"/>
      <w:lvlText w:val="%1、"/>
      <w:lvlJc w:val="left"/>
    </w:lvl>
  </w:abstractNum>
  <w:abstractNum w:abstractNumId="3">
    <w:nsid w:val="25508E4C"/>
    <w:multiLevelType w:val="singleLevel"/>
    <w:tmpl w:val="25508E4C"/>
    <w:lvl w:ilvl="0" w:tentative="0">
      <w:start w:val="1"/>
      <w:numFmt w:val="chineseCounting"/>
      <w:suff w:val="nothing"/>
      <w:lvlText w:val="%1、"/>
      <w:lvlJc w:val="left"/>
      <w:rPr>
        <w:rFonts w:hint="eastAsia"/>
      </w:rPr>
    </w:lvl>
  </w:abstractNum>
  <w:abstractNum w:abstractNumId="4">
    <w:nsid w:val="461C9D4F"/>
    <w:multiLevelType w:val="singleLevel"/>
    <w:tmpl w:val="461C9D4F"/>
    <w:lvl w:ilvl="0" w:tentative="0">
      <w:start w:val="1"/>
      <w:numFmt w:val="decimal"/>
      <w:pStyle w:val="4"/>
      <w:suff w:val="nothing"/>
      <w:lvlText w:val="表%1"/>
      <w:lvlJc w:val="left"/>
      <w:pPr>
        <w:tabs>
          <w:tab w:val="left" w:pos="0"/>
        </w:tabs>
        <w:ind w:left="0" w:firstLine="420"/>
      </w:pPr>
      <w:rPr>
        <w:rFonts w:hint="default" w:ascii="宋体" w:hAnsi="宋体" w:eastAsia="宋体" w:cs="宋体"/>
        <w:b/>
        <w:bCs/>
        <w:sz w:val="24"/>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1Mjc5YmU5ZTA2MDJiOTk3Mjc5NzQzOGVmNzNjZTIifQ=="/>
    <w:docVar w:name="KSO_WPS_MARK_KEY" w:val="eb1d5dc5-d9a3-4084-91ad-da84ae98f60b"/>
  </w:docVars>
  <w:rsids>
    <w:rsidRoot w:val="13033257"/>
    <w:rsid w:val="000F5645"/>
    <w:rsid w:val="00372DC8"/>
    <w:rsid w:val="00466EC1"/>
    <w:rsid w:val="00486D2F"/>
    <w:rsid w:val="006B31C3"/>
    <w:rsid w:val="00773916"/>
    <w:rsid w:val="00C26F9F"/>
    <w:rsid w:val="00F66F31"/>
    <w:rsid w:val="01091551"/>
    <w:rsid w:val="01395BF8"/>
    <w:rsid w:val="01421910"/>
    <w:rsid w:val="01D803E5"/>
    <w:rsid w:val="01FD62E0"/>
    <w:rsid w:val="02021905"/>
    <w:rsid w:val="024150E6"/>
    <w:rsid w:val="02427F54"/>
    <w:rsid w:val="025868A6"/>
    <w:rsid w:val="02E27E7B"/>
    <w:rsid w:val="02EC31EC"/>
    <w:rsid w:val="02FE0DF2"/>
    <w:rsid w:val="033624C6"/>
    <w:rsid w:val="03954DE2"/>
    <w:rsid w:val="03EC63C9"/>
    <w:rsid w:val="041766C2"/>
    <w:rsid w:val="041C6AD9"/>
    <w:rsid w:val="043D09D3"/>
    <w:rsid w:val="0448609E"/>
    <w:rsid w:val="04A70060"/>
    <w:rsid w:val="04B2532F"/>
    <w:rsid w:val="050E13DB"/>
    <w:rsid w:val="051A58B9"/>
    <w:rsid w:val="05301988"/>
    <w:rsid w:val="05366990"/>
    <w:rsid w:val="053924A8"/>
    <w:rsid w:val="059D23EA"/>
    <w:rsid w:val="05C23886"/>
    <w:rsid w:val="05D62E8D"/>
    <w:rsid w:val="06064044"/>
    <w:rsid w:val="06261AA9"/>
    <w:rsid w:val="06C52BF1"/>
    <w:rsid w:val="07036F3E"/>
    <w:rsid w:val="07141260"/>
    <w:rsid w:val="072061EE"/>
    <w:rsid w:val="07813C23"/>
    <w:rsid w:val="079162A2"/>
    <w:rsid w:val="07D07CBB"/>
    <w:rsid w:val="0825634E"/>
    <w:rsid w:val="083107D9"/>
    <w:rsid w:val="08730E67"/>
    <w:rsid w:val="093004BF"/>
    <w:rsid w:val="095134DF"/>
    <w:rsid w:val="09903C9B"/>
    <w:rsid w:val="0A285B89"/>
    <w:rsid w:val="0A3F558F"/>
    <w:rsid w:val="0A4707FD"/>
    <w:rsid w:val="0A4B7434"/>
    <w:rsid w:val="0A7C0731"/>
    <w:rsid w:val="0A98400E"/>
    <w:rsid w:val="0AC41E4E"/>
    <w:rsid w:val="0ADC1015"/>
    <w:rsid w:val="0AF67B2D"/>
    <w:rsid w:val="0AF73FD1"/>
    <w:rsid w:val="0B1A418A"/>
    <w:rsid w:val="0B696551"/>
    <w:rsid w:val="0BCA5516"/>
    <w:rsid w:val="0BEA6C5E"/>
    <w:rsid w:val="0BF37379"/>
    <w:rsid w:val="0BF57D37"/>
    <w:rsid w:val="0C397D83"/>
    <w:rsid w:val="0C4D07AA"/>
    <w:rsid w:val="0C7700F0"/>
    <w:rsid w:val="0C965124"/>
    <w:rsid w:val="0D042A38"/>
    <w:rsid w:val="0D14139C"/>
    <w:rsid w:val="0D70555E"/>
    <w:rsid w:val="0D743EDF"/>
    <w:rsid w:val="0DC3019B"/>
    <w:rsid w:val="0DD75B9C"/>
    <w:rsid w:val="0DEB6DFC"/>
    <w:rsid w:val="0E3548AB"/>
    <w:rsid w:val="0E504D73"/>
    <w:rsid w:val="0E547045"/>
    <w:rsid w:val="0E7B4CEB"/>
    <w:rsid w:val="0E916375"/>
    <w:rsid w:val="0F0E7B3C"/>
    <w:rsid w:val="0F143AB4"/>
    <w:rsid w:val="0F197556"/>
    <w:rsid w:val="0F82342A"/>
    <w:rsid w:val="0FE02DBB"/>
    <w:rsid w:val="10054225"/>
    <w:rsid w:val="101304E0"/>
    <w:rsid w:val="10492BB2"/>
    <w:rsid w:val="107E5786"/>
    <w:rsid w:val="10F6698A"/>
    <w:rsid w:val="10FF1B4C"/>
    <w:rsid w:val="11380EA0"/>
    <w:rsid w:val="114E045F"/>
    <w:rsid w:val="120A5FE6"/>
    <w:rsid w:val="120C50A7"/>
    <w:rsid w:val="12150CA4"/>
    <w:rsid w:val="12411F64"/>
    <w:rsid w:val="125028D0"/>
    <w:rsid w:val="12EC70DB"/>
    <w:rsid w:val="13033257"/>
    <w:rsid w:val="13484E49"/>
    <w:rsid w:val="13691A6F"/>
    <w:rsid w:val="138A30CC"/>
    <w:rsid w:val="13B668C3"/>
    <w:rsid w:val="141F4D55"/>
    <w:rsid w:val="142E0338"/>
    <w:rsid w:val="14465F8D"/>
    <w:rsid w:val="14784EEC"/>
    <w:rsid w:val="147C72F5"/>
    <w:rsid w:val="151E215B"/>
    <w:rsid w:val="15316332"/>
    <w:rsid w:val="1549690E"/>
    <w:rsid w:val="163C45CB"/>
    <w:rsid w:val="1679607E"/>
    <w:rsid w:val="16F05B2A"/>
    <w:rsid w:val="172435E9"/>
    <w:rsid w:val="172A1F97"/>
    <w:rsid w:val="173B52B1"/>
    <w:rsid w:val="1789234E"/>
    <w:rsid w:val="17A34B99"/>
    <w:rsid w:val="17FC0062"/>
    <w:rsid w:val="18B25327"/>
    <w:rsid w:val="19637CB0"/>
    <w:rsid w:val="19782558"/>
    <w:rsid w:val="19ED38D1"/>
    <w:rsid w:val="1A3600A2"/>
    <w:rsid w:val="1A5F0570"/>
    <w:rsid w:val="1AC65570"/>
    <w:rsid w:val="1AD05CA5"/>
    <w:rsid w:val="1AF20311"/>
    <w:rsid w:val="1B8D1E98"/>
    <w:rsid w:val="1B940DDF"/>
    <w:rsid w:val="1C0479CC"/>
    <w:rsid w:val="1C3243D6"/>
    <w:rsid w:val="1C47468D"/>
    <w:rsid w:val="1C5841A4"/>
    <w:rsid w:val="1C733622"/>
    <w:rsid w:val="1C8962AD"/>
    <w:rsid w:val="1CA91817"/>
    <w:rsid w:val="1CDB6B83"/>
    <w:rsid w:val="1CE44490"/>
    <w:rsid w:val="1D177B20"/>
    <w:rsid w:val="1D54709C"/>
    <w:rsid w:val="1D6622B4"/>
    <w:rsid w:val="1D6D1ED1"/>
    <w:rsid w:val="1D96265E"/>
    <w:rsid w:val="1D986B55"/>
    <w:rsid w:val="1DA22D8A"/>
    <w:rsid w:val="1DD77C2A"/>
    <w:rsid w:val="1DE71C83"/>
    <w:rsid w:val="1DF868E2"/>
    <w:rsid w:val="1E077883"/>
    <w:rsid w:val="1E734D0E"/>
    <w:rsid w:val="1EA37219"/>
    <w:rsid w:val="1EBE4ACD"/>
    <w:rsid w:val="1F310AF0"/>
    <w:rsid w:val="1F43738D"/>
    <w:rsid w:val="1F5E35CF"/>
    <w:rsid w:val="1F972A0D"/>
    <w:rsid w:val="1FB15C15"/>
    <w:rsid w:val="200E2BF2"/>
    <w:rsid w:val="208E6C79"/>
    <w:rsid w:val="20951403"/>
    <w:rsid w:val="2095729A"/>
    <w:rsid w:val="20AB5E67"/>
    <w:rsid w:val="20F2349D"/>
    <w:rsid w:val="20F24C65"/>
    <w:rsid w:val="210F7EF7"/>
    <w:rsid w:val="2167282F"/>
    <w:rsid w:val="21832138"/>
    <w:rsid w:val="219A357D"/>
    <w:rsid w:val="21E1137E"/>
    <w:rsid w:val="222F49F4"/>
    <w:rsid w:val="22387230"/>
    <w:rsid w:val="22433200"/>
    <w:rsid w:val="224A2F3D"/>
    <w:rsid w:val="22576A26"/>
    <w:rsid w:val="22833F45"/>
    <w:rsid w:val="22C24A6D"/>
    <w:rsid w:val="22CA49C5"/>
    <w:rsid w:val="22F96139"/>
    <w:rsid w:val="231063F4"/>
    <w:rsid w:val="233E645E"/>
    <w:rsid w:val="23773F5B"/>
    <w:rsid w:val="238E0DF3"/>
    <w:rsid w:val="23A7780F"/>
    <w:rsid w:val="23E924D3"/>
    <w:rsid w:val="246C595F"/>
    <w:rsid w:val="24C75F11"/>
    <w:rsid w:val="24CE0CF0"/>
    <w:rsid w:val="24E94D75"/>
    <w:rsid w:val="259546EA"/>
    <w:rsid w:val="25A70B7B"/>
    <w:rsid w:val="25B0124C"/>
    <w:rsid w:val="25BF1684"/>
    <w:rsid w:val="25C74FD6"/>
    <w:rsid w:val="25E80086"/>
    <w:rsid w:val="25F52241"/>
    <w:rsid w:val="262F6C4E"/>
    <w:rsid w:val="265F73DC"/>
    <w:rsid w:val="26663F7F"/>
    <w:rsid w:val="266A5519"/>
    <w:rsid w:val="26A22160"/>
    <w:rsid w:val="26A261E2"/>
    <w:rsid w:val="26B122BE"/>
    <w:rsid w:val="26B20955"/>
    <w:rsid w:val="26C8461C"/>
    <w:rsid w:val="26D91012"/>
    <w:rsid w:val="26E44BFC"/>
    <w:rsid w:val="27957EEE"/>
    <w:rsid w:val="27BB6190"/>
    <w:rsid w:val="27F75D53"/>
    <w:rsid w:val="28136333"/>
    <w:rsid w:val="283903D3"/>
    <w:rsid w:val="286701B3"/>
    <w:rsid w:val="28B72D91"/>
    <w:rsid w:val="28CB6B48"/>
    <w:rsid w:val="29122433"/>
    <w:rsid w:val="29411C46"/>
    <w:rsid w:val="29E11C7D"/>
    <w:rsid w:val="29F46E72"/>
    <w:rsid w:val="29FF0A08"/>
    <w:rsid w:val="2A085334"/>
    <w:rsid w:val="2A23570F"/>
    <w:rsid w:val="2A793F66"/>
    <w:rsid w:val="2A825A57"/>
    <w:rsid w:val="2AA50EFC"/>
    <w:rsid w:val="2AE354C8"/>
    <w:rsid w:val="2AE77448"/>
    <w:rsid w:val="2AED1A94"/>
    <w:rsid w:val="2AF75C2D"/>
    <w:rsid w:val="2AFF3BE5"/>
    <w:rsid w:val="2B043FCC"/>
    <w:rsid w:val="2B1C6B79"/>
    <w:rsid w:val="2B4E46A4"/>
    <w:rsid w:val="2B6C1A1A"/>
    <w:rsid w:val="2B70498F"/>
    <w:rsid w:val="2B777AB1"/>
    <w:rsid w:val="2BD524BA"/>
    <w:rsid w:val="2C2E6CCF"/>
    <w:rsid w:val="2C4A503E"/>
    <w:rsid w:val="2D016192"/>
    <w:rsid w:val="2D1070E6"/>
    <w:rsid w:val="2D140993"/>
    <w:rsid w:val="2D6D22A0"/>
    <w:rsid w:val="2D947E81"/>
    <w:rsid w:val="2D996E86"/>
    <w:rsid w:val="2DBA7833"/>
    <w:rsid w:val="2DD613CD"/>
    <w:rsid w:val="2DDF18FD"/>
    <w:rsid w:val="2DED7DC4"/>
    <w:rsid w:val="2E0577A7"/>
    <w:rsid w:val="2E0F24E5"/>
    <w:rsid w:val="2E1A5CD6"/>
    <w:rsid w:val="2E2959A0"/>
    <w:rsid w:val="2E4F6592"/>
    <w:rsid w:val="2EA55470"/>
    <w:rsid w:val="2EC05645"/>
    <w:rsid w:val="2EC56F5F"/>
    <w:rsid w:val="2EC73366"/>
    <w:rsid w:val="2F67406B"/>
    <w:rsid w:val="2F924510"/>
    <w:rsid w:val="2F973DC6"/>
    <w:rsid w:val="2FC85390"/>
    <w:rsid w:val="2FD41817"/>
    <w:rsid w:val="300E30A0"/>
    <w:rsid w:val="302428C3"/>
    <w:rsid w:val="3072158B"/>
    <w:rsid w:val="30843362"/>
    <w:rsid w:val="308771AA"/>
    <w:rsid w:val="30A4253E"/>
    <w:rsid w:val="30D20571"/>
    <w:rsid w:val="31173248"/>
    <w:rsid w:val="31280191"/>
    <w:rsid w:val="313522D4"/>
    <w:rsid w:val="314F2672"/>
    <w:rsid w:val="31A55684"/>
    <w:rsid w:val="31B97685"/>
    <w:rsid w:val="31DC123A"/>
    <w:rsid w:val="320B083E"/>
    <w:rsid w:val="321149C8"/>
    <w:rsid w:val="321C7AAD"/>
    <w:rsid w:val="33276D40"/>
    <w:rsid w:val="332901F1"/>
    <w:rsid w:val="342B6231"/>
    <w:rsid w:val="342E4937"/>
    <w:rsid w:val="346D235F"/>
    <w:rsid w:val="34DA41D8"/>
    <w:rsid w:val="35017AC0"/>
    <w:rsid w:val="352B412E"/>
    <w:rsid w:val="35326549"/>
    <w:rsid w:val="35814FAC"/>
    <w:rsid w:val="358D580E"/>
    <w:rsid w:val="35904557"/>
    <w:rsid w:val="35B44695"/>
    <w:rsid w:val="35F270B2"/>
    <w:rsid w:val="3617433A"/>
    <w:rsid w:val="36351176"/>
    <w:rsid w:val="364C336E"/>
    <w:rsid w:val="366C7E6C"/>
    <w:rsid w:val="36DE3726"/>
    <w:rsid w:val="371600EA"/>
    <w:rsid w:val="37B207B5"/>
    <w:rsid w:val="37D84993"/>
    <w:rsid w:val="382044C2"/>
    <w:rsid w:val="384E3CA6"/>
    <w:rsid w:val="3875607F"/>
    <w:rsid w:val="389A1E43"/>
    <w:rsid w:val="38A21F1B"/>
    <w:rsid w:val="38B44611"/>
    <w:rsid w:val="38CF02A2"/>
    <w:rsid w:val="38EC7B57"/>
    <w:rsid w:val="38F21D45"/>
    <w:rsid w:val="38FB618B"/>
    <w:rsid w:val="39202096"/>
    <w:rsid w:val="39330871"/>
    <w:rsid w:val="396417AA"/>
    <w:rsid w:val="39712D2B"/>
    <w:rsid w:val="397F1AA9"/>
    <w:rsid w:val="39C20E18"/>
    <w:rsid w:val="39F44C81"/>
    <w:rsid w:val="3A2071AA"/>
    <w:rsid w:val="3A3E485C"/>
    <w:rsid w:val="3AA86D3C"/>
    <w:rsid w:val="3B4237C4"/>
    <w:rsid w:val="3B463878"/>
    <w:rsid w:val="3B555854"/>
    <w:rsid w:val="3B716D99"/>
    <w:rsid w:val="3BC46D08"/>
    <w:rsid w:val="3BC96A15"/>
    <w:rsid w:val="3BFB7BD3"/>
    <w:rsid w:val="3C003E02"/>
    <w:rsid w:val="3C142468"/>
    <w:rsid w:val="3C8343DC"/>
    <w:rsid w:val="3CB04DEE"/>
    <w:rsid w:val="3CE965E1"/>
    <w:rsid w:val="3D29776B"/>
    <w:rsid w:val="3D4C3271"/>
    <w:rsid w:val="3D770BC6"/>
    <w:rsid w:val="3D802923"/>
    <w:rsid w:val="3DCC459A"/>
    <w:rsid w:val="3DE27ABA"/>
    <w:rsid w:val="3E151A9D"/>
    <w:rsid w:val="3E25578E"/>
    <w:rsid w:val="3E95498C"/>
    <w:rsid w:val="3EA90437"/>
    <w:rsid w:val="3EAB41B0"/>
    <w:rsid w:val="3EC05384"/>
    <w:rsid w:val="3ED96F6F"/>
    <w:rsid w:val="3EE576C2"/>
    <w:rsid w:val="3EF552CC"/>
    <w:rsid w:val="3F0449EC"/>
    <w:rsid w:val="3F2F4A4B"/>
    <w:rsid w:val="3F2F6CA0"/>
    <w:rsid w:val="3F3D5B5E"/>
    <w:rsid w:val="3F5672FF"/>
    <w:rsid w:val="3F680126"/>
    <w:rsid w:val="3F7D2FE7"/>
    <w:rsid w:val="3F877B1B"/>
    <w:rsid w:val="3F9A7DAB"/>
    <w:rsid w:val="3FD124CF"/>
    <w:rsid w:val="3FF41D22"/>
    <w:rsid w:val="3FF762AF"/>
    <w:rsid w:val="40757AAF"/>
    <w:rsid w:val="40C96B6F"/>
    <w:rsid w:val="40CC3FCB"/>
    <w:rsid w:val="40D239D9"/>
    <w:rsid w:val="40DC2D46"/>
    <w:rsid w:val="40F04BBE"/>
    <w:rsid w:val="41270BD1"/>
    <w:rsid w:val="41B70324"/>
    <w:rsid w:val="41D81760"/>
    <w:rsid w:val="41E45910"/>
    <w:rsid w:val="41F8770C"/>
    <w:rsid w:val="41F92D8C"/>
    <w:rsid w:val="420419EC"/>
    <w:rsid w:val="42116A20"/>
    <w:rsid w:val="424051F2"/>
    <w:rsid w:val="424C68B6"/>
    <w:rsid w:val="42626E91"/>
    <w:rsid w:val="42870F07"/>
    <w:rsid w:val="42A8653E"/>
    <w:rsid w:val="42D42ADA"/>
    <w:rsid w:val="432977AF"/>
    <w:rsid w:val="4341211E"/>
    <w:rsid w:val="443E0C06"/>
    <w:rsid w:val="4444718B"/>
    <w:rsid w:val="44483A79"/>
    <w:rsid w:val="445D035A"/>
    <w:rsid w:val="44B7206F"/>
    <w:rsid w:val="44DD478D"/>
    <w:rsid w:val="44F9657A"/>
    <w:rsid w:val="45440ADD"/>
    <w:rsid w:val="45A266F3"/>
    <w:rsid w:val="45C716A2"/>
    <w:rsid w:val="45EB1118"/>
    <w:rsid w:val="45EC2E12"/>
    <w:rsid w:val="45F823D0"/>
    <w:rsid w:val="46016864"/>
    <w:rsid w:val="464253F9"/>
    <w:rsid w:val="46EE04C6"/>
    <w:rsid w:val="46F25071"/>
    <w:rsid w:val="46F522DA"/>
    <w:rsid w:val="47AD21BF"/>
    <w:rsid w:val="47C403EA"/>
    <w:rsid w:val="4803495B"/>
    <w:rsid w:val="48240D6C"/>
    <w:rsid w:val="485C23FD"/>
    <w:rsid w:val="4880083A"/>
    <w:rsid w:val="493556E9"/>
    <w:rsid w:val="49466E17"/>
    <w:rsid w:val="49626529"/>
    <w:rsid w:val="49D4380E"/>
    <w:rsid w:val="49E8664F"/>
    <w:rsid w:val="4A0A0924"/>
    <w:rsid w:val="4A2804EC"/>
    <w:rsid w:val="4A5635B7"/>
    <w:rsid w:val="4A903529"/>
    <w:rsid w:val="4AD06F6C"/>
    <w:rsid w:val="4ADA6548"/>
    <w:rsid w:val="4B1D2683"/>
    <w:rsid w:val="4B24104E"/>
    <w:rsid w:val="4B35377F"/>
    <w:rsid w:val="4B602091"/>
    <w:rsid w:val="4B971D44"/>
    <w:rsid w:val="4B9C55AC"/>
    <w:rsid w:val="4B9E7576"/>
    <w:rsid w:val="4BA6467C"/>
    <w:rsid w:val="4BC43E10"/>
    <w:rsid w:val="4BD40961"/>
    <w:rsid w:val="4BF4363A"/>
    <w:rsid w:val="4C4C6FD2"/>
    <w:rsid w:val="4C9E5354"/>
    <w:rsid w:val="4CE11174"/>
    <w:rsid w:val="4D012096"/>
    <w:rsid w:val="4D105248"/>
    <w:rsid w:val="4D2A30A0"/>
    <w:rsid w:val="4D381CBD"/>
    <w:rsid w:val="4DB561E2"/>
    <w:rsid w:val="4DD202D7"/>
    <w:rsid w:val="4DF21835"/>
    <w:rsid w:val="4E5043E9"/>
    <w:rsid w:val="4E8A2F97"/>
    <w:rsid w:val="4EDF11BB"/>
    <w:rsid w:val="4EFF50EA"/>
    <w:rsid w:val="4F3B50DC"/>
    <w:rsid w:val="4F9A4344"/>
    <w:rsid w:val="4F9B5B7A"/>
    <w:rsid w:val="500171C3"/>
    <w:rsid w:val="5008234C"/>
    <w:rsid w:val="504808C6"/>
    <w:rsid w:val="505A212F"/>
    <w:rsid w:val="50616DC4"/>
    <w:rsid w:val="50811089"/>
    <w:rsid w:val="50A05608"/>
    <w:rsid w:val="50A1406A"/>
    <w:rsid w:val="512953B4"/>
    <w:rsid w:val="513375D9"/>
    <w:rsid w:val="515B3DD2"/>
    <w:rsid w:val="51702654"/>
    <w:rsid w:val="51907961"/>
    <w:rsid w:val="51D75A5D"/>
    <w:rsid w:val="521D4E51"/>
    <w:rsid w:val="52263F2C"/>
    <w:rsid w:val="52310101"/>
    <w:rsid w:val="523B5203"/>
    <w:rsid w:val="52462783"/>
    <w:rsid w:val="5248023B"/>
    <w:rsid w:val="52536D2D"/>
    <w:rsid w:val="52592449"/>
    <w:rsid w:val="53621B0C"/>
    <w:rsid w:val="539F20DD"/>
    <w:rsid w:val="53B65679"/>
    <w:rsid w:val="53C0244D"/>
    <w:rsid w:val="53E0250F"/>
    <w:rsid w:val="53E2606E"/>
    <w:rsid w:val="540C769B"/>
    <w:rsid w:val="543C16DA"/>
    <w:rsid w:val="54772588"/>
    <w:rsid w:val="54796EF6"/>
    <w:rsid w:val="54E4698D"/>
    <w:rsid w:val="54ED2CFF"/>
    <w:rsid w:val="54EE7A00"/>
    <w:rsid w:val="55173EF5"/>
    <w:rsid w:val="55382BA4"/>
    <w:rsid w:val="5565482D"/>
    <w:rsid w:val="55852E44"/>
    <w:rsid w:val="559F34C5"/>
    <w:rsid w:val="55A82D9F"/>
    <w:rsid w:val="56004989"/>
    <w:rsid w:val="56410EA1"/>
    <w:rsid w:val="56711619"/>
    <w:rsid w:val="56B91708"/>
    <w:rsid w:val="57172442"/>
    <w:rsid w:val="572457DB"/>
    <w:rsid w:val="572B3928"/>
    <w:rsid w:val="5780619A"/>
    <w:rsid w:val="57885760"/>
    <w:rsid w:val="57C27B42"/>
    <w:rsid w:val="57E861DF"/>
    <w:rsid w:val="57EC23F0"/>
    <w:rsid w:val="586236D9"/>
    <w:rsid w:val="587A6C75"/>
    <w:rsid w:val="58883D88"/>
    <w:rsid w:val="58B01AEB"/>
    <w:rsid w:val="58F30A05"/>
    <w:rsid w:val="5903310E"/>
    <w:rsid w:val="59376BFA"/>
    <w:rsid w:val="595C281E"/>
    <w:rsid w:val="59627198"/>
    <w:rsid w:val="596963A7"/>
    <w:rsid w:val="597E4984"/>
    <w:rsid w:val="59A03C26"/>
    <w:rsid w:val="5A05069E"/>
    <w:rsid w:val="5A1153B7"/>
    <w:rsid w:val="5A226EDD"/>
    <w:rsid w:val="5A494BC1"/>
    <w:rsid w:val="5A7E331D"/>
    <w:rsid w:val="5A8C76CC"/>
    <w:rsid w:val="5ABF0AA3"/>
    <w:rsid w:val="5AF10DDF"/>
    <w:rsid w:val="5B01542B"/>
    <w:rsid w:val="5B3D3F8A"/>
    <w:rsid w:val="5B5152A0"/>
    <w:rsid w:val="5C134749"/>
    <w:rsid w:val="5C6D1713"/>
    <w:rsid w:val="5CA67329"/>
    <w:rsid w:val="5CC432C4"/>
    <w:rsid w:val="5D05379C"/>
    <w:rsid w:val="5D331782"/>
    <w:rsid w:val="5D5E0687"/>
    <w:rsid w:val="5D7546B2"/>
    <w:rsid w:val="5D7D7BFC"/>
    <w:rsid w:val="5D935650"/>
    <w:rsid w:val="5DBD292F"/>
    <w:rsid w:val="5DE415B0"/>
    <w:rsid w:val="5E5C7A1C"/>
    <w:rsid w:val="5E652175"/>
    <w:rsid w:val="5E993BCD"/>
    <w:rsid w:val="5EC81189"/>
    <w:rsid w:val="5F5F785A"/>
    <w:rsid w:val="5F812FDF"/>
    <w:rsid w:val="5FAF0389"/>
    <w:rsid w:val="5FC71570"/>
    <w:rsid w:val="5FD84B66"/>
    <w:rsid w:val="5FE74F09"/>
    <w:rsid w:val="602B194E"/>
    <w:rsid w:val="60730B79"/>
    <w:rsid w:val="60FA3BCB"/>
    <w:rsid w:val="61074F35"/>
    <w:rsid w:val="615D2185"/>
    <w:rsid w:val="617701F5"/>
    <w:rsid w:val="61F3516C"/>
    <w:rsid w:val="627604AD"/>
    <w:rsid w:val="62854B94"/>
    <w:rsid w:val="62FB09B2"/>
    <w:rsid w:val="63065CD5"/>
    <w:rsid w:val="63992CAF"/>
    <w:rsid w:val="63B953FF"/>
    <w:rsid w:val="6408563D"/>
    <w:rsid w:val="644D728C"/>
    <w:rsid w:val="648D1ADE"/>
    <w:rsid w:val="64A07A63"/>
    <w:rsid w:val="64A54544"/>
    <w:rsid w:val="64DE64C4"/>
    <w:rsid w:val="64F71571"/>
    <w:rsid w:val="65025FAF"/>
    <w:rsid w:val="65110961"/>
    <w:rsid w:val="65B512EC"/>
    <w:rsid w:val="65B65064"/>
    <w:rsid w:val="666878CC"/>
    <w:rsid w:val="66744CF1"/>
    <w:rsid w:val="66EC51E2"/>
    <w:rsid w:val="66F810A2"/>
    <w:rsid w:val="673A4C42"/>
    <w:rsid w:val="67801DCE"/>
    <w:rsid w:val="679B2764"/>
    <w:rsid w:val="67BA634C"/>
    <w:rsid w:val="67D0452E"/>
    <w:rsid w:val="67D53EC8"/>
    <w:rsid w:val="67E96CAF"/>
    <w:rsid w:val="67F0425A"/>
    <w:rsid w:val="67F14863"/>
    <w:rsid w:val="67FA3E1D"/>
    <w:rsid w:val="68914CF6"/>
    <w:rsid w:val="689B63E2"/>
    <w:rsid w:val="68D1407C"/>
    <w:rsid w:val="69061AAE"/>
    <w:rsid w:val="69C32CE6"/>
    <w:rsid w:val="69CC12FA"/>
    <w:rsid w:val="6A427A12"/>
    <w:rsid w:val="6A4743B2"/>
    <w:rsid w:val="6A4D498C"/>
    <w:rsid w:val="6AA370CA"/>
    <w:rsid w:val="6AA44EAA"/>
    <w:rsid w:val="6ADF68F7"/>
    <w:rsid w:val="6AE756EB"/>
    <w:rsid w:val="6AFC0FA8"/>
    <w:rsid w:val="6B2C1344"/>
    <w:rsid w:val="6B60054F"/>
    <w:rsid w:val="6B66104F"/>
    <w:rsid w:val="6B757AC3"/>
    <w:rsid w:val="6BC73B27"/>
    <w:rsid w:val="6C112375"/>
    <w:rsid w:val="6C8408FE"/>
    <w:rsid w:val="6C9E2160"/>
    <w:rsid w:val="6CB1450D"/>
    <w:rsid w:val="6CCC0374"/>
    <w:rsid w:val="6D16555E"/>
    <w:rsid w:val="6D34781D"/>
    <w:rsid w:val="6D4B272D"/>
    <w:rsid w:val="6D5664B1"/>
    <w:rsid w:val="6DA86E3B"/>
    <w:rsid w:val="6DC5076F"/>
    <w:rsid w:val="6DDA38FC"/>
    <w:rsid w:val="6DFE6790"/>
    <w:rsid w:val="6E0616B0"/>
    <w:rsid w:val="6E1D3B76"/>
    <w:rsid w:val="6E2D090E"/>
    <w:rsid w:val="6E675A0E"/>
    <w:rsid w:val="6F0602A2"/>
    <w:rsid w:val="6F09738B"/>
    <w:rsid w:val="6F332507"/>
    <w:rsid w:val="6F722731"/>
    <w:rsid w:val="6F94671B"/>
    <w:rsid w:val="6FEF3E8F"/>
    <w:rsid w:val="702039A9"/>
    <w:rsid w:val="70423106"/>
    <w:rsid w:val="708433EF"/>
    <w:rsid w:val="709D7504"/>
    <w:rsid w:val="70E45264"/>
    <w:rsid w:val="710B6BAC"/>
    <w:rsid w:val="711348A9"/>
    <w:rsid w:val="71685DAD"/>
    <w:rsid w:val="72526EE9"/>
    <w:rsid w:val="72783DCD"/>
    <w:rsid w:val="72A2709C"/>
    <w:rsid w:val="730B4C41"/>
    <w:rsid w:val="731F514A"/>
    <w:rsid w:val="732D2EA2"/>
    <w:rsid w:val="733530E5"/>
    <w:rsid w:val="733C4DFB"/>
    <w:rsid w:val="735B764F"/>
    <w:rsid w:val="735D13CB"/>
    <w:rsid w:val="73627D71"/>
    <w:rsid w:val="73980EBD"/>
    <w:rsid w:val="73C50966"/>
    <w:rsid w:val="74484563"/>
    <w:rsid w:val="748F2620"/>
    <w:rsid w:val="74CE4179"/>
    <w:rsid w:val="74D86DA5"/>
    <w:rsid w:val="755E374E"/>
    <w:rsid w:val="75931D2D"/>
    <w:rsid w:val="75B72E5F"/>
    <w:rsid w:val="75E5678F"/>
    <w:rsid w:val="76520D43"/>
    <w:rsid w:val="765A29C5"/>
    <w:rsid w:val="76670AE0"/>
    <w:rsid w:val="76717490"/>
    <w:rsid w:val="76A128C3"/>
    <w:rsid w:val="76F26EDA"/>
    <w:rsid w:val="771800F1"/>
    <w:rsid w:val="776E198D"/>
    <w:rsid w:val="77846112"/>
    <w:rsid w:val="77A33940"/>
    <w:rsid w:val="77B81294"/>
    <w:rsid w:val="77BB4701"/>
    <w:rsid w:val="77FB0FEB"/>
    <w:rsid w:val="780A5EB9"/>
    <w:rsid w:val="789D40D9"/>
    <w:rsid w:val="79062103"/>
    <w:rsid w:val="7951128F"/>
    <w:rsid w:val="79776C40"/>
    <w:rsid w:val="7983518A"/>
    <w:rsid w:val="79C8388C"/>
    <w:rsid w:val="79EB757B"/>
    <w:rsid w:val="79F71A7C"/>
    <w:rsid w:val="7A080935"/>
    <w:rsid w:val="7A3902E6"/>
    <w:rsid w:val="7A4B79F0"/>
    <w:rsid w:val="7A765AA1"/>
    <w:rsid w:val="7A8D23E0"/>
    <w:rsid w:val="7A922676"/>
    <w:rsid w:val="7AC06311"/>
    <w:rsid w:val="7ACB6A1D"/>
    <w:rsid w:val="7AD306F3"/>
    <w:rsid w:val="7B087CB8"/>
    <w:rsid w:val="7B0C59FB"/>
    <w:rsid w:val="7B107545"/>
    <w:rsid w:val="7B155FAB"/>
    <w:rsid w:val="7B656EB9"/>
    <w:rsid w:val="7B887FB6"/>
    <w:rsid w:val="7C0A1838"/>
    <w:rsid w:val="7C0C3FBA"/>
    <w:rsid w:val="7C501917"/>
    <w:rsid w:val="7C7E237D"/>
    <w:rsid w:val="7CE11A06"/>
    <w:rsid w:val="7D223DB6"/>
    <w:rsid w:val="7DB61C4E"/>
    <w:rsid w:val="7DBF4FA6"/>
    <w:rsid w:val="7DE01E82"/>
    <w:rsid w:val="7E6C4E98"/>
    <w:rsid w:val="7E843AFA"/>
    <w:rsid w:val="7E981EE2"/>
    <w:rsid w:val="7EA66570"/>
    <w:rsid w:val="7ED22AB7"/>
    <w:rsid w:val="7ED272AF"/>
    <w:rsid w:val="7ED508DB"/>
    <w:rsid w:val="7EF01FD0"/>
    <w:rsid w:val="7EF748A1"/>
    <w:rsid w:val="7F0D3AEF"/>
    <w:rsid w:val="7F7865E3"/>
    <w:rsid w:val="7FAB3A34"/>
    <w:rsid w:val="7FD55163"/>
    <w:rsid w:val="7FF93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widowControl w:val="0"/>
      <w:overflowPunct w:val="0"/>
      <w:snapToGrid w:val="0"/>
      <w:spacing w:before="120" w:after="160" w:line="259" w:lineRule="auto"/>
      <w:ind w:left="432" w:hanging="432"/>
      <w:jc w:val="both"/>
      <w:outlineLvl w:val="0"/>
    </w:pPr>
    <w:rPr>
      <w:rFonts w:ascii="Times New Roman" w:hAnsi="Times New Roman" w:eastAsia="黑体" w:cs="Times New Roman"/>
      <w:b/>
      <w:bCs/>
      <w:color w:val="000000"/>
      <w:kern w:val="44"/>
      <w:sz w:val="30"/>
      <w:szCs w:val="30"/>
      <w:lang w:val="en-US" w:eastAsia="zh-CN" w:bidi="ar-SA"/>
    </w:rPr>
  </w:style>
  <w:style w:type="paragraph" w:styleId="4">
    <w:name w:val="heading 3"/>
    <w:basedOn w:val="1"/>
    <w:next w:val="1"/>
    <w:unhideWhenUsed/>
    <w:qFormat/>
    <w:uiPriority w:val="0"/>
    <w:pPr>
      <w:keepNext/>
      <w:keepLines/>
      <w:numPr>
        <w:ilvl w:val="0"/>
        <w:numId w:val="1"/>
      </w:numPr>
      <w:spacing w:beforeLines="0" w:beforeAutospacing="0" w:afterLines="0" w:afterAutospacing="0" w:line="440" w:lineRule="exact"/>
      <w:jc w:val="center"/>
      <w:outlineLvl w:val="2"/>
    </w:pPr>
    <w:rPr>
      <w:rFonts w:ascii="Times New Roman" w:hAnsi="Times New Roman" w:eastAsia="宋体"/>
      <w:b/>
      <w:sz w:val="24"/>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widowControl w:val="0"/>
      <w:tabs>
        <w:tab w:val="left" w:pos="210"/>
      </w:tabs>
      <w:spacing w:after="120"/>
      <w:ind w:left="420" w:leftChars="200" w:firstLine="420" w:firstLineChars="200"/>
      <w:jc w:val="both"/>
    </w:pPr>
    <w:rPr>
      <w:rFonts w:ascii="Times New Roman" w:hAnsi="Times New Roman" w:eastAsia="宋体" w:cs="Times New Roman"/>
      <w:kern w:val="0"/>
      <w:sz w:val="24"/>
      <w:szCs w:val="20"/>
      <w:lang w:val="en-US" w:eastAsia="zh-CN" w:bidi="ar-SA"/>
    </w:rPr>
  </w:style>
  <w:style w:type="paragraph" w:styleId="5">
    <w:name w:val="Normal Indent"/>
    <w:basedOn w:val="1"/>
    <w:next w:val="2"/>
    <w:qFormat/>
    <w:uiPriority w:val="0"/>
    <w:pPr>
      <w:widowControl w:val="0"/>
      <w:spacing w:line="240" w:lineRule="auto"/>
      <w:ind w:firstLine="0" w:firstLineChars="0"/>
      <w:jc w:val="center"/>
    </w:pPr>
    <w:rPr>
      <w:rFonts w:ascii="Times New Roman" w:hAnsi="Times New Roman" w:eastAsia="宋体" w:cs="Times New Roman"/>
      <w:kern w:val="2"/>
      <w:sz w:val="21"/>
      <w:szCs w:val="20"/>
      <w:lang w:val="en-US" w:eastAsia="zh-CN" w:bidi="ar-SA"/>
    </w:rPr>
  </w:style>
  <w:style w:type="paragraph" w:styleId="6">
    <w:name w:val="caption"/>
    <w:basedOn w:val="1"/>
    <w:next w:val="1"/>
    <w:unhideWhenUsed/>
    <w:qFormat/>
    <w:uiPriority w:val="0"/>
    <w:pPr>
      <w:widowControl w:val="0"/>
      <w:jc w:val="both"/>
    </w:pPr>
    <w:rPr>
      <w:rFonts w:ascii="Cambria" w:hAnsi="Cambria" w:eastAsia="黑体" w:cs="Times New Roman"/>
      <w:kern w:val="2"/>
      <w:sz w:val="20"/>
      <w:szCs w:val="20"/>
      <w:lang w:val="en-US" w:eastAsia="zh-CN" w:bidi="ar-SA"/>
    </w:rPr>
  </w:style>
  <w:style w:type="paragraph" w:styleId="7">
    <w:name w:val="annotation text"/>
    <w:basedOn w:val="1"/>
    <w:qFormat/>
    <w:uiPriority w:val="99"/>
    <w:pPr>
      <w:jc w:val="left"/>
    </w:pPr>
    <w:rPr>
      <w:kern w:val="0"/>
      <w:sz w:val="24"/>
      <w:szCs w:val="20"/>
    </w:rPr>
  </w:style>
  <w:style w:type="paragraph" w:styleId="8">
    <w:name w:val="Body Text"/>
    <w:basedOn w:val="1"/>
    <w:next w:val="1"/>
    <w:qFormat/>
    <w:uiPriority w:val="0"/>
    <w:pPr>
      <w:spacing w:beforeLines="0" w:afterLines="0" w:line="520" w:lineRule="exact"/>
      <w:ind w:left="0" w:firstLine="863" w:firstLineChars="200"/>
    </w:pPr>
    <w:rPr>
      <w:rFonts w:hint="eastAsia" w:ascii="宋体" w:hAnsi="宋体" w:eastAsia="宋体"/>
      <w:sz w:val="24"/>
    </w:rPr>
  </w:style>
  <w:style w:type="paragraph" w:styleId="9">
    <w:name w:val="Body Text Indent"/>
    <w:basedOn w:val="1"/>
    <w:next w:val="8"/>
    <w:qFormat/>
    <w:uiPriority w:val="0"/>
    <w:pPr>
      <w:tabs>
        <w:tab w:val="left" w:pos="210"/>
      </w:tabs>
      <w:spacing w:line="240" w:lineRule="auto"/>
      <w:ind w:firstLine="0" w:firstLineChars="0"/>
      <w:jc w:val="center"/>
    </w:pPr>
    <w:rPr>
      <w:sz w:val="21"/>
    </w:rPr>
  </w:style>
  <w:style w:type="paragraph" w:styleId="10">
    <w:name w:val="Block Text"/>
    <w:basedOn w:val="1"/>
    <w:next w:val="1"/>
    <w:qFormat/>
    <w:uiPriority w:val="0"/>
    <w:pPr>
      <w:autoSpaceDE w:val="0"/>
      <w:autoSpaceDN w:val="0"/>
      <w:adjustRightInd w:val="0"/>
      <w:spacing w:before="1" w:line="537" w:lineRule="exact"/>
      <w:ind w:left="88" w:right="6"/>
    </w:pPr>
    <w:rPr>
      <w:rFonts w:cs="宋体"/>
      <w:color w:val="000000"/>
      <w:kern w:val="0"/>
      <w:sz w:val="28"/>
    </w:rPr>
  </w:style>
  <w:style w:type="paragraph" w:styleId="11">
    <w:name w:val="Plain Text"/>
    <w:basedOn w:val="1"/>
    <w:qFormat/>
    <w:uiPriority w:val="0"/>
    <w:rPr>
      <w:rFonts w:ascii="宋体" w:hAnsi="Courier New"/>
      <w:szCs w:val="21"/>
    </w:rPr>
  </w:style>
  <w:style w:type="paragraph" w:styleId="12">
    <w:name w:val="Body Text Indent 2"/>
    <w:basedOn w:val="1"/>
    <w:qFormat/>
    <w:uiPriority w:val="0"/>
    <w:pPr>
      <w:spacing w:after="120" w:afterLines="0" w:afterAutospacing="0" w:line="480" w:lineRule="auto"/>
      <w:ind w:left="420" w:leftChars="200"/>
    </w:pPr>
  </w:style>
  <w:style w:type="paragraph" w:styleId="13">
    <w:name w:val="footer"/>
    <w:basedOn w:val="1"/>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2"/>
    <w:qFormat/>
    <w:uiPriority w:val="0"/>
    <w:pPr>
      <w:widowControl w:val="0"/>
      <w:spacing w:after="120" w:afterLines="0" w:afterAutospacing="0" w:line="480" w:lineRule="auto"/>
      <w:jc w:val="both"/>
    </w:pPr>
    <w:rPr>
      <w:rFonts w:ascii="Times New Roman" w:hAnsi="Times New Roman" w:eastAsia="宋体" w:cs="Times New Roman"/>
      <w:kern w:val="2"/>
      <w:sz w:val="21"/>
      <w:szCs w:val="24"/>
      <w:lang w:val="en-US" w:eastAsia="zh-CN" w:bidi="ar-SA"/>
    </w:rPr>
  </w:style>
  <w:style w:type="paragraph" w:styleId="16">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17">
    <w:name w:val="Body Text First Indent"/>
    <w:basedOn w:val="8"/>
    <w:next w:val="1"/>
    <w:qFormat/>
    <w:uiPriority w:val="0"/>
    <w:pPr>
      <w:ind w:firstLine="420" w:firstLineChars="100"/>
    </w:pPr>
  </w:style>
  <w:style w:type="table" w:styleId="19">
    <w:name w:val="Table Grid"/>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paragraph" w:customStyle="1" w:styleId="22">
    <w:name w:val="正文首行缩进2个字 Char"/>
    <w:qFormat/>
    <w:uiPriority w:val="0"/>
    <w:pPr>
      <w:widowControl w:val="0"/>
      <w:ind w:firstLine="480" w:firstLineChars="200"/>
      <w:jc w:val="both"/>
    </w:pPr>
    <w:rPr>
      <w:rFonts w:ascii="Georgia" w:hAnsi="Georgia" w:eastAsia="楷体" w:cs="Times New Roman"/>
      <w:kern w:val="2"/>
      <w:sz w:val="24"/>
      <w:szCs w:val="24"/>
      <w:lang w:val="en-US" w:eastAsia="zh-CN" w:bidi="ar-SA"/>
    </w:rPr>
  </w:style>
  <w:style w:type="paragraph" w:customStyle="1" w:styleId="23">
    <w:name w:val="xl27"/>
    <w:basedOn w:val="1"/>
    <w:next w:val="24"/>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24">
    <w:name w:val="0 GBJ正文"/>
    <w:basedOn w:val="1"/>
    <w:qFormat/>
    <w:uiPriority w:val="0"/>
    <w:pPr>
      <w:spacing w:line="460" w:lineRule="exact"/>
      <w:ind w:firstLine="480"/>
    </w:pPr>
    <w:rPr>
      <w:rFonts w:ascii="Calibri" w:hAnsi="Calibri" w:eastAsia="宋体"/>
      <w:kern w:val="0"/>
      <w:sz w:val="24"/>
    </w:rPr>
  </w:style>
  <w:style w:type="paragraph" w:customStyle="1" w:styleId="25">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6">
    <w:name w:val="Default"/>
    <w:basedOn w:val="27"/>
    <w:next w:val="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7">
    <w:name w:val="纯文本1"/>
    <w:basedOn w:val="1"/>
    <w:qFormat/>
    <w:uiPriority w:val="0"/>
    <w:rPr>
      <w:rFonts w:ascii="宋体" w:hAnsi="Courier New"/>
    </w:rPr>
  </w:style>
  <w:style w:type="paragraph" w:customStyle="1" w:styleId="28">
    <w:name w:val="表内 定"/>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29">
    <w:name w:val="5表格内容"/>
    <w:next w:val="1"/>
    <w:qFormat/>
    <w:uiPriority w:val="0"/>
    <w:pPr>
      <w:widowControl w:val="0"/>
      <w:spacing w:line="320" w:lineRule="exact"/>
      <w:jc w:val="center"/>
    </w:pPr>
    <w:rPr>
      <w:rFonts w:ascii="Times New Roman" w:hAnsi="Times New Roman" w:eastAsia="宋体" w:cs="Times New Roman"/>
      <w:kern w:val="2"/>
      <w:sz w:val="21"/>
      <w:szCs w:val="24"/>
      <w:lang w:val="en-US" w:eastAsia="zh-CN" w:bidi="ar-SA"/>
    </w:rPr>
  </w:style>
  <w:style w:type="paragraph" w:customStyle="1" w:styleId="30">
    <w:name w:val="_Style 1"/>
    <w:qFormat/>
    <w:uiPriority w:val="0"/>
    <w:pPr>
      <w:widowControl w:val="0"/>
      <w:spacing w:line="481" w:lineRule="atLeast"/>
      <w:ind w:firstLine="623"/>
      <w:jc w:val="both"/>
      <w:textAlignment w:val="baseline"/>
    </w:pPr>
    <w:rPr>
      <w:rFonts w:ascii="Times New Roman" w:hAnsi="Times New Roman" w:eastAsia="仿宋_GB2312" w:cs="Times New Roman"/>
      <w:color w:val="000000"/>
      <w:kern w:val="2"/>
      <w:sz w:val="31"/>
      <w:szCs w:val="24"/>
      <w:lang w:val="en-US" w:eastAsia="zh-CN" w:bidi="ar-SA"/>
    </w:rPr>
  </w:style>
  <w:style w:type="paragraph" w:customStyle="1" w:styleId="31">
    <w:name w:val="表标题"/>
    <w:basedOn w:val="1"/>
    <w:next w:val="1"/>
    <w:qFormat/>
    <w:uiPriority w:val="0"/>
    <w:pPr>
      <w:keepNext/>
      <w:numPr>
        <w:ilvl w:val="0"/>
        <w:numId w:val="2"/>
      </w:numPr>
      <w:spacing w:line="440" w:lineRule="exact"/>
      <w:ind w:firstLine="0"/>
      <w:jc w:val="center"/>
      <w:textAlignment w:val="center"/>
    </w:pPr>
    <w:rPr>
      <w:rFonts w:ascii="Times New Roman" w:hAnsi="Times New Roman" w:eastAsia="宋体"/>
      <w:b/>
      <w:sz w:val="21"/>
    </w:rPr>
  </w:style>
  <w:style w:type="paragraph" w:customStyle="1" w:styleId="32">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33">
    <w:name w:val="鸿达表加粗"/>
    <w:basedOn w:val="1"/>
    <w:qFormat/>
    <w:uiPriority w:val="0"/>
    <w:pPr>
      <w:jc w:val="center"/>
    </w:pPr>
    <w:rPr>
      <w:rFonts w:cs="宋体"/>
      <w:b/>
      <w:color w:val="000000"/>
      <w:szCs w:val="20"/>
    </w:rPr>
  </w:style>
  <w:style w:type="paragraph" w:customStyle="1" w:styleId="34">
    <w:name w:val="鸿达表格文字"/>
    <w:basedOn w:val="1"/>
    <w:qFormat/>
    <w:uiPriority w:val="0"/>
    <w:pPr>
      <w:contextualSpacing/>
      <w:jc w:val="center"/>
      <w:textAlignment w:val="baseline"/>
    </w:pPr>
    <w:rPr>
      <w:kern w:val="0"/>
      <w:szCs w:val="21"/>
    </w:rPr>
  </w:style>
  <w:style w:type="paragraph" w:customStyle="1" w:styleId="35">
    <w:name w:val="正文1"/>
    <w:basedOn w:val="1"/>
    <w:qFormat/>
    <w:uiPriority w:val="0"/>
    <w:pPr>
      <w:jc w:val="center"/>
    </w:pPr>
    <w:rPr>
      <w:szCs w:val="21"/>
    </w:rPr>
  </w:style>
  <w:style w:type="paragraph" w:customStyle="1" w:styleId="36">
    <w:name w:val="段落"/>
    <w:basedOn w:val="11"/>
    <w:qFormat/>
    <w:uiPriority w:val="99"/>
    <w:pPr>
      <w:spacing w:line="500" w:lineRule="exact"/>
      <w:ind w:firstLine="578"/>
    </w:pPr>
    <w:rPr>
      <w:rFonts w:ascii="Times New Roman" w:hAnsi="Times New Roman"/>
      <w:sz w:val="28"/>
      <w:szCs w:val="24"/>
    </w:rPr>
  </w:style>
  <w:style w:type="paragraph" w:customStyle="1" w:styleId="37">
    <w:name w:val="报告书表格表头"/>
    <w:basedOn w:val="1"/>
    <w:qFormat/>
    <w:uiPriority w:val="0"/>
    <w:pPr>
      <w:widowControl w:val="0"/>
      <w:adjustRightInd w:val="0"/>
      <w:snapToGrid w:val="0"/>
      <w:spacing w:line="520" w:lineRule="exact"/>
      <w:ind w:firstLine="200" w:firstLineChars="200"/>
      <w:jc w:val="both"/>
    </w:pPr>
    <w:rPr>
      <w:rFonts w:ascii="Times New Roman" w:hAnsi="Times New Roman" w:eastAsia="黑体" w:cs="Times New Roman"/>
      <w:color w:val="000000"/>
      <w:kern w:val="2"/>
      <w:szCs w:val="22"/>
    </w:rPr>
  </w:style>
  <w:style w:type="paragraph" w:customStyle="1" w:styleId="38">
    <w:name w:val="正文缩进1"/>
    <w:qFormat/>
    <w:uiPriority w:val="0"/>
    <w:pPr>
      <w:widowControl w:val="0"/>
      <w:jc w:val="both"/>
    </w:pPr>
    <w:rPr>
      <w:rFonts w:ascii="Calibri" w:hAnsi="Calibri" w:eastAsia="宋体" w:cs="Times New Roman"/>
      <w:kern w:val="2"/>
      <w:sz w:val="28"/>
      <w:szCs w:val="22"/>
      <w:lang w:val="en-US" w:eastAsia="zh-CN" w:bidi="ar-SA"/>
    </w:rPr>
  </w:style>
  <w:style w:type="paragraph" w:customStyle="1" w:styleId="39">
    <w:name w:val="p0"/>
    <w:qFormat/>
    <w:uiPriority w:val="0"/>
    <w:pPr>
      <w:widowControl/>
      <w:jc w:val="both"/>
    </w:pPr>
    <w:rPr>
      <w:rFonts w:ascii="Times New Roman" w:hAnsi="Times New Roman" w:eastAsia="宋体" w:cs="Times New Roman"/>
      <w:kern w:val="0"/>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emf"/><Relationship Id="rId45" Type="http://schemas.openxmlformats.org/officeDocument/2006/relationships/oleObject" Target="embeddings/oleObject4.bin"/><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oleObject" Target="embeddings/oleObject3.bin"/><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jpeg"/><Relationship Id="rId37" Type="http://schemas.openxmlformats.org/officeDocument/2006/relationships/image" Target="media/image27.emf"/><Relationship Id="rId36" Type="http://schemas.openxmlformats.org/officeDocument/2006/relationships/oleObject" Target="embeddings/oleObject2.bin"/><Relationship Id="rId35" Type="http://schemas.openxmlformats.org/officeDocument/2006/relationships/image" Target="media/image26.wmf"/><Relationship Id="rId34" Type="http://schemas.openxmlformats.org/officeDocument/2006/relationships/image" Target="media/image25.wmf"/><Relationship Id="rId33" Type="http://schemas.openxmlformats.org/officeDocument/2006/relationships/image" Target="media/image24.wmf"/><Relationship Id="rId32" Type="http://schemas.openxmlformats.org/officeDocument/2006/relationships/image" Target="media/image23.wmf"/><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e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4"/>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20688</Words>
  <Characters>23352</Characters>
  <Lines>0</Lines>
  <Paragraphs>0</Paragraphs>
  <TotalTime>3</TotalTime>
  <ScaleCrop>false</ScaleCrop>
  <LinksUpToDate>false</LinksUpToDate>
  <CharactersWithSpaces>23669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2023-03-09T01:01:00Z</dcterms:created>
  <dc:creator>@Jamie</dc:creator>
  <cp:lastModifiedBy>王威</cp:lastModifiedBy>
  <cp:lastPrinted>2023-08-25T08:39:00Z</cp:lastPrinted>
  <dcterms:modified xsi:type="dcterms:W3CDTF">2023-11-01T07:35:39Z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5A937DA1399B48F7A4241F6DBE30C617_13</vt:lpwstr>
  </property>
</Properties>
</file>